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
      </w:r>
    </w:p>
    <w:p>
      <w:pPr>
        <w:pStyle w:val="Heading1"/>
        <w:spacing w:before="360" w:after="200"/>
      </w:pPr>
      <w:r>
        <w:rPr>
          <w:rFonts w:ascii="Arial" w:cs="Arial" w:eastAsia="Arial" w:hAnsi="Arial"/>
          <w:b/>
          <w:bCs/>
          <w:color w:val="1a3c5e"/>
          <w:sz w:val="36"/>
          <w:szCs w:val="36"/>
        </w:rPr>
        <w:t xml:space="preserve">How is Property Divided in Divorce UK: A Complete Guide</w:t>
      </w:r>
    </w:p>
    <w:p>
      <w:pPr>
        <w:pStyle w:val="Heading2"/>
        <w:spacing w:before="280" w:after="140"/>
      </w:pPr>
      <w:r>
        <w:rPr>
          <w:rFonts w:ascii="Arial" w:cs="Arial" w:eastAsia="Arial" w:hAnsi="Arial"/>
          <w:b/>
          <w:bCs/>
          <w:color w:val="2563a8"/>
          <w:sz w:val="28"/>
          <w:szCs w:val="28"/>
        </w:rPr>
        <w:t xml:space="preserve">Understanding How Property is Divided in Divorce in the UK</w:t>
      </w:r>
    </w:p>
    <w:p>
      <w:pPr>
        <w:spacing w:before="80" w:after="80"/>
      </w:pPr>
      <w:r>
        <w:rPr>
          <w:rFonts w:ascii="Arial" w:cs="Arial" w:eastAsia="Arial" w:hAnsi="Arial"/>
          <w:sz w:val="22"/>
          <w:szCs w:val="22"/>
        </w:rPr>
        <w:t xml:space="preserve">When a marriage ends, one of the most pressing questions is: how is property divided in divorce UK? The short answer is that there is no automatic 50/50 split. Under English and Welsh law, courts aim for a 'fair' division, which takes into account a wide range of factors including the length of your marriage, each person's financial needs, contributions made, and the welfare of any children. Property division is rarely simple, and the outcome depends heavily on your specific circumstances.</w:t>
      </w:r>
    </w:p>
    <w:p>
      <w:pPr>
        <w:pStyle w:val="Heading2"/>
        <w:spacing w:before="280" w:after="140"/>
      </w:pPr>
      <w:r>
        <w:rPr>
          <w:rFonts w:ascii="Arial" w:cs="Arial" w:eastAsia="Arial" w:hAnsi="Arial"/>
          <w:b/>
          <w:bCs/>
          <w:color w:val="2563a8"/>
          <w:sz w:val="28"/>
          <w:szCs w:val="28"/>
        </w:rPr>
        <w:t xml:space="preserve">What Counts as Matrimonial Property?</w:t>
      </w:r>
    </w:p>
    <w:p>
      <w:pPr>
        <w:spacing w:before="80" w:after="80"/>
      </w:pPr>
      <w:r>
        <w:rPr>
          <w:rFonts w:ascii="Arial" w:cs="Arial" w:eastAsia="Arial" w:hAnsi="Arial"/>
          <w:sz w:val="22"/>
          <w:szCs w:val="22"/>
        </w:rPr>
        <w:t xml:space="preserve">Before dividing assets, it is important to understand what falls within the scope of a divorce financial settlement.</w:t>
      </w:r>
    </w:p>
    <w:p>
      <w:pPr>
        <w:spacing w:before="200" w:after="100"/>
      </w:pPr>
      <w:r>
        <w:rPr>
          <w:rFonts w:ascii="Arial" w:cs="Arial" w:eastAsia="Arial" w:hAnsi="Arial"/>
          <w:b/>
          <w:bCs/>
          <w:color w:val="1a3c5e"/>
          <w:sz w:val="24"/>
          <w:szCs w:val="24"/>
        </w:rPr>
        <w:t xml:space="preserve">Assets typically included:</w:t>
      </w:r>
    </w:p>
    <w:p>
      <w:pPr>
        <w:pStyle w:val="ListParagraph"/>
        <w:numPr>
          <w:ilvl w:val="0"/>
          <w:numId w:val="2"/>
        </w:numPr>
        <w:spacing w:before="60" w:after="60"/>
      </w:pPr>
      <w:r>
        <w:rPr>
          <w:rFonts w:ascii="Arial" w:cs="Arial" w:eastAsia="Arial" w:hAnsi="Arial"/>
          <w:sz w:val="22"/>
          <w:szCs w:val="22"/>
        </w:rPr>
        <w:t xml:space="preserve">The family home, even if only one person is on the mortgage</w:t>
      </w:r>
    </w:p>
    <w:p>
      <w:pPr>
        <w:pStyle w:val="ListParagraph"/>
        <w:numPr>
          <w:ilvl w:val="0"/>
          <w:numId w:val="2"/>
        </w:numPr>
        <w:spacing w:before="60" w:after="60"/>
      </w:pPr>
      <w:r>
        <w:rPr>
          <w:rFonts w:ascii="Arial" w:cs="Arial" w:eastAsia="Arial" w:hAnsi="Arial"/>
          <w:sz w:val="22"/>
          <w:szCs w:val="22"/>
        </w:rPr>
        <w:t xml:space="preserve">Savings and bank accounts built up during the marriage</w:t>
      </w:r>
    </w:p>
    <w:p>
      <w:pPr>
        <w:pStyle w:val="ListParagraph"/>
        <w:numPr>
          <w:ilvl w:val="0"/>
          <w:numId w:val="2"/>
        </w:numPr>
        <w:spacing w:before="60" w:after="60"/>
      </w:pPr>
      <w:r>
        <w:rPr>
          <w:rFonts w:ascii="Arial" w:cs="Arial" w:eastAsia="Arial" w:hAnsi="Arial"/>
          <w:sz w:val="22"/>
          <w:szCs w:val="22"/>
        </w:rPr>
        <w:t xml:space="preserve">Pensions accumulated during the marriage</w:t>
      </w:r>
    </w:p>
    <w:p>
      <w:pPr>
        <w:pStyle w:val="ListParagraph"/>
        <w:numPr>
          <w:ilvl w:val="0"/>
          <w:numId w:val="2"/>
        </w:numPr>
        <w:spacing w:before="60" w:after="60"/>
      </w:pPr>
      <w:r>
        <w:rPr>
          <w:rFonts w:ascii="Arial" w:cs="Arial" w:eastAsia="Arial" w:hAnsi="Arial"/>
          <w:sz w:val="22"/>
          <w:szCs w:val="22"/>
        </w:rPr>
        <w:t xml:space="preserve">Investments and shares</w:t>
      </w:r>
    </w:p>
    <w:p>
      <w:pPr>
        <w:pStyle w:val="ListParagraph"/>
        <w:numPr>
          <w:ilvl w:val="0"/>
          <w:numId w:val="2"/>
        </w:numPr>
        <w:spacing w:before="60" w:after="60"/>
      </w:pPr>
      <w:r>
        <w:rPr>
          <w:rFonts w:ascii="Arial" w:cs="Arial" w:eastAsia="Arial" w:hAnsi="Arial"/>
          <w:sz w:val="22"/>
          <w:szCs w:val="22"/>
        </w:rPr>
        <w:t xml:space="preserve">Business interests</w:t>
      </w:r>
    </w:p>
    <w:p>
      <w:pPr>
        <w:pStyle w:val="ListParagraph"/>
        <w:numPr>
          <w:ilvl w:val="0"/>
          <w:numId w:val="2"/>
        </w:numPr>
        <w:spacing w:before="60" w:after="60"/>
      </w:pPr>
      <w:r>
        <w:rPr>
          <w:rFonts w:ascii="Arial" w:cs="Arial" w:eastAsia="Arial" w:hAnsi="Arial"/>
          <w:sz w:val="22"/>
          <w:szCs w:val="22"/>
        </w:rPr>
        <w:t xml:space="preserve">Vehicles</w:t>
      </w:r>
    </w:p>
    <w:p>
      <w:pPr>
        <w:spacing w:before="200" w:after="100"/>
      </w:pPr>
      <w:r>
        <w:rPr>
          <w:rFonts w:ascii="Arial" w:cs="Arial" w:eastAsia="Arial" w:hAnsi="Arial"/>
          <w:b/>
          <w:bCs/>
          <w:color w:val="1a3c5e"/>
          <w:sz w:val="24"/>
          <w:szCs w:val="24"/>
        </w:rPr>
        <w:t xml:space="preserve">Assets that may be treated differently:</w:t>
      </w:r>
    </w:p>
    <w:p>
      <w:pPr>
        <w:pStyle w:val="ListParagraph"/>
        <w:numPr>
          <w:ilvl w:val="0"/>
          <w:numId w:val="2"/>
        </w:numPr>
        <w:spacing w:before="60" w:after="60"/>
      </w:pPr>
      <w:r>
        <w:rPr>
          <w:rFonts w:ascii="Arial" w:cs="Arial" w:eastAsia="Arial" w:hAnsi="Arial"/>
          <w:sz w:val="22"/>
          <w:szCs w:val="22"/>
        </w:rPr>
        <w:t xml:space="preserve">Inheritance received before or during the marriage (though courts can still consider this)</w:t>
      </w:r>
    </w:p>
    <w:p>
      <w:pPr>
        <w:pStyle w:val="ListParagraph"/>
        <w:numPr>
          <w:ilvl w:val="0"/>
          <w:numId w:val="2"/>
        </w:numPr>
        <w:spacing w:before="60" w:after="60"/>
      </w:pPr>
      <w:r>
        <w:rPr>
          <w:rFonts w:ascii="Arial" w:cs="Arial" w:eastAsia="Arial" w:hAnsi="Arial"/>
          <w:sz w:val="22"/>
          <w:szCs w:val="22"/>
        </w:rPr>
        <w:t xml:space="preserve">Gifts from third parties</w:t>
      </w:r>
    </w:p>
    <w:p>
      <w:pPr>
        <w:pStyle w:val="ListParagraph"/>
        <w:numPr>
          <w:ilvl w:val="0"/>
          <w:numId w:val="2"/>
        </w:numPr>
        <w:spacing w:before="60" w:after="60"/>
      </w:pPr>
      <w:r>
        <w:rPr>
          <w:rFonts w:ascii="Arial" w:cs="Arial" w:eastAsia="Arial" w:hAnsi="Arial"/>
          <w:sz w:val="22"/>
          <w:szCs w:val="22"/>
        </w:rPr>
        <w:t xml:space="preserve">Assets owned outright before the marriage</w:t>
      </w:r>
    </w:p>
    <w:p>
      <w:pPr>
        <w:spacing w:before="80" w:after="80"/>
      </w:pPr>
      <w:r>
        <w:rPr>
          <w:rFonts w:ascii="Arial" w:cs="Arial" w:eastAsia="Arial" w:hAnsi="Arial"/>
          <w:sz w:val="22"/>
          <w:szCs w:val="22"/>
        </w:rPr>
        <w:t xml:space="preserve">Whether pre-marital or inherited assets are included in the pot depends on the length of the marriage and financial need. In shorter marriages, non-matrimonial assets are more likely to be ring-fenced.</w:t>
      </w:r>
    </w:p>
    <w:p>
      <w:pPr>
        <w:pStyle w:val="Heading2"/>
        <w:spacing w:before="280" w:after="140"/>
      </w:pPr>
      <w:r>
        <w:rPr>
          <w:rFonts w:ascii="Arial" w:cs="Arial" w:eastAsia="Arial" w:hAnsi="Arial"/>
          <w:b/>
          <w:bCs/>
          <w:color w:val="2563a8"/>
          <w:sz w:val="28"/>
          <w:szCs w:val="28"/>
        </w:rPr>
        <w:t xml:space="preserve">How Courts Decide How Property is Divided in Divorce UK</w:t>
      </w:r>
    </w:p>
    <w:p>
      <w:pPr>
        <w:spacing w:before="80" w:after="80"/>
      </w:pPr>
      <w:r>
        <w:rPr>
          <w:rFonts w:ascii="Arial" w:cs="Arial" w:eastAsia="Arial" w:hAnsi="Arial"/>
          <w:sz w:val="22"/>
          <w:szCs w:val="22"/>
        </w:rPr>
        <w:t xml:space="preserve">English and Welsh courts use Section 25 of the Matrimonial Causes Act 1973 as their framework. Judges consider the following factors:</w:t>
      </w:r>
    </w:p>
    <w:p>
      <w:pPr>
        <w:pStyle w:val="ListParagraph"/>
        <w:numPr>
          <w:ilvl w:val="0"/>
          <w:numId w:val="2"/>
        </w:numPr>
        <w:spacing w:before="60" w:after="60"/>
      </w:pPr>
      <w:r>
        <w:rPr>
          <w:rFonts w:ascii="Arial" w:cs="Arial" w:eastAsia="Arial" w:hAnsi="Arial"/>
          <w:sz w:val="22"/>
          <w:szCs w:val="22"/>
        </w:rPr>
        <w:t xml:space="preserve">The welfare of any children under 18 — this is the first consideration</w:t>
      </w:r>
    </w:p>
    <w:p>
      <w:pPr>
        <w:pStyle w:val="ListParagraph"/>
        <w:numPr>
          <w:ilvl w:val="0"/>
          <w:numId w:val="2"/>
        </w:numPr>
        <w:spacing w:before="60" w:after="60"/>
      </w:pPr>
      <w:r>
        <w:rPr>
          <w:rFonts w:ascii="Arial" w:cs="Arial" w:eastAsia="Arial" w:hAnsi="Arial"/>
          <w:sz w:val="22"/>
          <w:szCs w:val="22"/>
        </w:rPr>
        <w:t xml:space="preserve">The income, earning capacity, and financial resources of each spouse</w:t>
      </w:r>
    </w:p>
    <w:p>
      <w:pPr>
        <w:pStyle w:val="ListParagraph"/>
        <w:numPr>
          <w:ilvl w:val="0"/>
          <w:numId w:val="2"/>
        </w:numPr>
        <w:spacing w:before="60" w:after="60"/>
      </w:pPr>
      <w:r>
        <w:rPr>
          <w:rFonts w:ascii="Arial" w:cs="Arial" w:eastAsia="Arial" w:hAnsi="Arial"/>
          <w:sz w:val="22"/>
          <w:szCs w:val="22"/>
        </w:rPr>
        <w:t xml:space="preserve">Financial needs, obligations, and responsibilities of each party</w:t>
      </w:r>
    </w:p>
    <w:p>
      <w:pPr>
        <w:pStyle w:val="ListParagraph"/>
        <w:numPr>
          <w:ilvl w:val="0"/>
          <w:numId w:val="2"/>
        </w:numPr>
        <w:spacing w:before="60" w:after="60"/>
      </w:pPr>
      <w:r>
        <w:rPr>
          <w:rFonts w:ascii="Arial" w:cs="Arial" w:eastAsia="Arial" w:hAnsi="Arial"/>
          <w:sz w:val="22"/>
          <w:szCs w:val="22"/>
        </w:rPr>
        <w:t xml:space="preserve">The standard of living enjoyed during the marriage</w:t>
      </w:r>
    </w:p>
    <w:p>
      <w:pPr>
        <w:pStyle w:val="ListParagraph"/>
        <w:numPr>
          <w:ilvl w:val="0"/>
          <w:numId w:val="2"/>
        </w:numPr>
        <w:spacing w:before="60" w:after="60"/>
      </w:pPr>
      <w:r>
        <w:rPr>
          <w:rFonts w:ascii="Arial" w:cs="Arial" w:eastAsia="Arial" w:hAnsi="Arial"/>
          <w:sz w:val="22"/>
          <w:szCs w:val="22"/>
        </w:rPr>
        <w:t xml:space="preserve">Age of each party and length of the marriage</w:t>
      </w:r>
    </w:p>
    <w:p>
      <w:pPr>
        <w:pStyle w:val="ListParagraph"/>
        <w:numPr>
          <w:ilvl w:val="0"/>
          <w:numId w:val="2"/>
        </w:numPr>
        <w:spacing w:before="60" w:after="60"/>
      </w:pPr>
      <w:r>
        <w:rPr>
          <w:rFonts w:ascii="Arial" w:cs="Arial" w:eastAsia="Arial" w:hAnsi="Arial"/>
          <w:sz w:val="22"/>
          <w:szCs w:val="22"/>
        </w:rPr>
        <w:t xml:space="preserve">Physical or mental disability of either spouse</w:t>
      </w:r>
    </w:p>
    <w:p>
      <w:pPr>
        <w:pStyle w:val="ListParagraph"/>
        <w:numPr>
          <w:ilvl w:val="0"/>
          <w:numId w:val="2"/>
        </w:numPr>
        <w:spacing w:before="60" w:after="60"/>
      </w:pPr>
      <w:r>
        <w:rPr>
          <w:rFonts w:ascii="Arial" w:cs="Arial" w:eastAsia="Arial" w:hAnsi="Arial"/>
          <w:sz w:val="22"/>
          <w:szCs w:val="22"/>
        </w:rPr>
        <w:t xml:space="preserve">Contributions made to the family's welfare, including non-financial contributions like childcare</w:t>
      </w:r>
    </w:p>
    <w:p>
      <w:pPr>
        <w:pStyle w:val="ListParagraph"/>
        <w:numPr>
          <w:ilvl w:val="0"/>
          <w:numId w:val="2"/>
        </w:numPr>
        <w:spacing w:before="60" w:after="60"/>
      </w:pPr>
      <w:r>
        <w:rPr>
          <w:rFonts w:ascii="Arial" w:cs="Arial" w:eastAsia="Arial" w:hAnsi="Arial"/>
          <w:sz w:val="22"/>
          <w:szCs w:val="22"/>
        </w:rPr>
        <w:t xml:space="preserve">Conduct, in exceptional cases where it would be inequitable to disregard it</w:t>
      </w:r>
    </w:p>
    <w:p>
      <w:pPr>
        <w:pStyle w:val="ListParagraph"/>
        <w:numPr>
          <w:ilvl w:val="0"/>
          <w:numId w:val="2"/>
        </w:numPr>
        <w:spacing w:before="60" w:after="60"/>
      </w:pPr>
      <w:r>
        <w:rPr>
          <w:rFonts w:ascii="Arial" w:cs="Arial" w:eastAsia="Arial" w:hAnsi="Arial"/>
          <w:sz w:val="22"/>
          <w:szCs w:val="22"/>
        </w:rPr>
        <w:t xml:space="preserve">The value of any benefit (such as a pension) either party will lose as a result of the divorce</w:t>
      </w:r>
    </w:p>
    <w:p>
      <w:pPr>
        <w:spacing w:before="200" w:after="100"/>
      </w:pPr>
      <w:r>
        <w:rPr>
          <w:rFonts w:ascii="Arial" w:cs="Arial" w:eastAsia="Arial" w:hAnsi="Arial"/>
          <w:b/>
          <w:bCs/>
          <w:color w:val="1a3c5e"/>
          <w:sz w:val="24"/>
          <w:szCs w:val="24"/>
        </w:rPr>
        <w:t xml:space="preserve">The Starting Point: Equal Shares</w:t>
      </w:r>
    </w:p>
    <w:p>
      <w:pPr>
        <w:spacing w:before="80" w:after="80"/>
      </w:pPr>
      <w:r>
        <w:rPr>
          <w:rFonts w:ascii="Arial" w:cs="Arial" w:eastAsia="Arial" w:hAnsi="Arial"/>
          <w:sz w:val="22"/>
          <w:szCs w:val="22"/>
        </w:rPr>
        <w:t xml:space="preserve">Courts in England and Wales typically start from an assumption of equal division when it comes to matrimonial assets. This is the principle from the landmark case White v White [2000]. However, the final division can depart from 50/50 based on the factors above — particularly where there are significant differences in earning capacity or where one party has primary care of children.</w:t>
      </w:r>
    </w:p>
    <w:p>
      <w:pPr>
        <w:pStyle w:val="Heading2"/>
        <w:spacing w:before="280" w:after="140"/>
      </w:pPr>
      <w:r>
        <w:rPr>
          <w:rFonts w:ascii="Arial" w:cs="Arial" w:eastAsia="Arial" w:hAnsi="Arial"/>
          <w:b/>
          <w:bCs/>
          <w:color w:val="2563a8"/>
          <w:sz w:val="28"/>
          <w:szCs w:val="28"/>
        </w:rPr>
        <w:t xml:space="preserve">What Happens to the Family Home?</w:t>
      </w:r>
    </w:p>
    <w:p>
      <w:pPr>
        <w:spacing w:before="80" w:after="80"/>
      </w:pPr>
      <w:r>
        <w:rPr>
          <w:rFonts w:ascii="Arial" w:cs="Arial" w:eastAsia="Arial" w:hAnsi="Arial"/>
          <w:sz w:val="22"/>
          <w:szCs w:val="22"/>
        </w:rPr>
        <w:t xml:space="preserve">The family home is often the most significant asset in a divorce. There are four main outcomes:</w:t>
      </w:r>
    </w:p>
    <w:p>
      <w:pPr>
        <w:spacing w:before="200" w:after="100"/>
      </w:pPr>
      <w:r>
        <w:rPr>
          <w:rFonts w:ascii="Arial" w:cs="Arial" w:eastAsia="Arial" w:hAnsi="Arial"/>
          <w:b/>
          <w:bCs/>
          <w:color w:val="1a3c5e"/>
          <w:sz w:val="24"/>
          <w:szCs w:val="24"/>
        </w:rPr>
        <w:t xml:space="preserve">1. Sale and division of proceeds</w:t>
      </w:r>
    </w:p>
    <w:p>
      <w:pPr>
        <w:spacing w:before="80" w:after="80"/>
      </w:pPr>
      <w:r>
        <w:rPr>
          <w:rFonts w:ascii="Arial" w:cs="Arial" w:eastAsia="Arial" w:hAnsi="Arial"/>
          <w:sz w:val="22"/>
          <w:szCs w:val="22"/>
        </w:rPr>
        <w:t xml:space="preserve">The most straightforward outcome. The property is sold and the equity divided — though not necessarily equally. Legal costs, mortgage redemption, and estate agency fees are deducted first.</w:t>
      </w:r>
    </w:p>
    <w:p>
      <w:pPr>
        <w:spacing w:before="200" w:after="100"/>
      </w:pPr>
      <w:r>
        <w:rPr>
          <w:rFonts w:ascii="Arial" w:cs="Arial" w:eastAsia="Arial" w:hAnsi="Arial"/>
          <w:b/>
          <w:bCs/>
          <w:color w:val="1a3c5e"/>
          <w:sz w:val="24"/>
          <w:szCs w:val="24"/>
        </w:rPr>
        <w:t xml:space="preserve">2. One party buys the other out</w:t>
      </w:r>
    </w:p>
    <w:p>
      <w:pPr>
        <w:spacing w:before="80" w:after="80"/>
      </w:pPr>
      <w:r>
        <w:rPr>
          <w:rFonts w:ascii="Arial" w:cs="Arial" w:eastAsia="Arial" w:hAnsi="Arial"/>
          <w:sz w:val="22"/>
          <w:szCs w:val="22"/>
        </w:rPr>
        <w:t xml:space="preserve">One spouse pays the other their share of the equity in exchange for becoming the sole owner. This requires a mortgage in sole name or sufficient savings to pay outright. The buying-out spouse must be able to afford the mortgage independently.</w:t>
      </w:r>
    </w:p>
    <w:p>
      <w:pPr>
        <w:spacing w:before="200" w:after="100"/>
      </w:pPr>
      <w:r>
        <w:rPr>
          <w:rFonts w:ascii="Arial" w:cs="Arial" w:eastAsia="Arial" w:hAnsi="Arial"/>
          <w:b/>
          <w:bCs/>
          <w:color w:val="1a3c5e"/>
          <w:sz w:val="24"/>
          <w:szCs w:val="24"/>
        </w:rPr>
        <w:t xml:space="preserve">3. Mesher Order (deferred sale)</w:t>
      </w:r>
    </w:p>
    <w:p>
      <w:pPr>
        <w:spacing w:before="80" w:after="80"/>
      </w:pPr>
      <w:r>
        <w:rPr>
          <w:rFonts w:ascii="Arial" w:cs="Arial" w:eastAsia="Arial" w:hAnsi="Arial"/>
          <w:sz w:val="22"/>
          <w:szCs w:val="22"/>
        </w:rPr>
        <w:t xml:space="preserve">The sale is deferred — usually until the youngest child reaches 18 or finishes education. Both parties retain a share of the equity but the parent with care remains in the property. This can create complications when the deferred sale eventually happens.</w:t>
      </w:r>
    </w:p>
    <w:p>
      <w:pPr>
        <w:spacing w:before="200" w:after="100"/>
      </w:pPr>
      <w:r>
        <w:rPr>
          <w:rFonts w:ascii="Arial" w:cs="Arial" w:eastAsia="Arial" w:hAnsi="Arial"/>
          <w:b/>
          <w:bCs/>
          <w:color w:val="1a3c5e"/>
          <w:sz w:val="24"/>
          <w:szCs w:val="24"/>
        </w:rPr>
        <w:t xml:space="preserve">4. Martin Order</w:t>
      </w:r>
    </w:p>
    <w:p>
      <w:pPr>
        <w:spacing w:before="80" w:after="80"/>
      </w:pPr>
      <w:r>
        <w:rPr>
          <w:rFonts w:ascii="Arial" w:cs="Arial" w:eastAsia="Arial" w:hAnsi="Arial"/>
          <w:sz w:val="22"/>
          <w:szCs w:val="22"/>
        </w:rPr>
        <w:t xml:space="preserve">One spouse has the right to remain in the property for their lifetime or until they choose to leave. The other party's share is paid out at that point. These are less common and typically used when the resident spouse has no housing alternatives.</w:t>
      </w:r>
    </w:p>
    <w:p>
      <w:pPr>
        <w:pStyle w:val="Heading2"/>
        <w:spacing w:before="280" w:after="140"/>
      </w:pPr>
      <w:r>
        <w:rPr>
          <w:rFonts w:ascii="Arial" w:cs="Arial" w:eastAsia="Arial" w:hAnsi="Arial"/>
          <w:b/>
          <w:bCs/>
          <w:color w:val="2563a8"/>
          <w:sz w:val="28"/>
          <w:szCs w:val="28"/>
        </w:rPr>
        <w:t xml:space="preserve">Real-World Example: How Property Division Might Work</w:t>
      </w:r>
    </w:p>
    <w:p>
      <w:pPr>
        <w:spacing w:before="80" w:after="80"/>
      </w:pPr>
      <w:r>
        <w:rPr>
          <w:rFonts w:ascii="Arial" w:cs="Arial" w:eastAsia="Arial" w:hAnsi="Arial"/>
          <w:sz w:val="22"/>
          <w:szCs w:val="22"/>
        </w:rPr>
        <w:t xml:space="preserve">Sarah and James have been married for 14 years. Their family home is worth £400,000 with an outstanding mortgage of £150,000 — leaving equity of £250,000. Sarah works part-time due to caring for their two children (ages 8 and 11). James earns significantly more.</w:t>
      </w:r>
    </w:p>
    <w:p>
      <w:pPr>
        <w:spacing w:before="80" w:after="80"/>
      </w:pPr>
      <w:r>
        <w:rPr>
          <w:rFonts w:ascii="Arial" w:cs="Arial" w:eastAsia="Arial" w:hAnsi="Arial"/>
          <w:sz w:val="22"/>
          <w:szCs w:val="22"/>
        </w:rPr>
        <w:t xml:space="preserve">A court would likely prioritise housing the children. Sarah may be awarded a greater share of the equity to allow her to rehouse locally, or the home may be deferred via a Mesher Order until the children finish school. James would receive his share but may also pay child maintenance. His higher earning capacity could mean a less-than-50% share of total assets is considered fair.</w:t>
      </w:r>
    </w:p>
    <w:p>
      <w:pPr>
        <w:pStyle w:val="Heading2"/>
        <w:spacing w:before="280" w:after="140"/>
      </w:pPr>
      <w:r>
        <w:rPr>
          <w:rFonts w:ascii="Arial" w:cs="Arial" w:eastAsia="Arial" w:hAnsi="Arial"/>
          <w:b/>
          <w:bCs/>
          <w:color w:val="2563a8"/>
          <w:sz w:val="28"/>
          <w:szCs w:val="28"/>
        </w:rPr>
        <w:t xml:space="preserve">Pensions and Property Division</w:t>
      </w:r>
    </w:p>
    <w:p>
      <w:pPr>
        <w:spacing w:before="80" w:after="80"/>
      </w:pPr>
      <w:r>
        <w:rPr>
          <w:rFonts w:ascii="Arial" w:cs="Arial" w:eastAsia="Arial" w:hAnsi="Arial"/>
          <w:sz w:val="22"/>
          <w:szCs w:val="22"/>
        </w:rPr>
        <w:t xml:space="preserve">Pensions are often overlooked but can be the second-largest asset in a marriage. Pension rights accumulated during the marriage are generally treated as a matrimonial asset. There are three main ways pensions are dealt with: pension sharing (a percentage is transferred immediately), pension offsetting (one party keeps the pension but gets less of other assets), or pension attachment (payments from the pension are directed to the other party on retirement).</w:t>
      </w:r>
    </w:p>
    <w:p>
      <w:pPr>
        <w:spacing w:before="80" w:after="80"/>
      </w:pPr>
      <w:r>
        <w:rPr>
          <w:rFonts w:ascii="Arial" w:cs="Arial" w:eastAsia="Arial" w:hAnsi="Arial"/>
          <w:sz w:val="22"/>
          <w:szCs w:val="22"/>
        </w:rPr>
        <w:t xml:space="preserve">Given the complexity, a pension actuary's report is often required to value the pension correctly before any division takes place. Using a divorce financial settlement calculator that includes pension valuations can help you understand the trade-offs between keeping the house versus taking a pension share.</w:t>
      </w:r>
    </w:p>
    <w:p>
      <w:pPr>
        <w:pStyle w:val="Heading2"/>
        <w:spacing w:before="280" w:after="140"/>
      </w:pPr>
      <w:r>
        <w:rPr>
          <w:rFonts w:ascii="Arial" w:cs="Arial" w:eastAsia="Arial" w:hAnsi="Arial"/>
          <w:b/>
          <w:bCs/>
          <w:color w:val="2563a8"/>
          <w:sz w:val="28"/>
          <w:szCs w:val="28"/>
        </w:rPr>
        <w:t xml:space="preserve">What About Debts?</w:t>
      </w:r>
    </w:p>
    <w:p>
      <w:pPr>
        <w:spacing w:before="80" w:after="80"/>
      </w:pPr>
      <w:r>
        <w:rPr>
          <w:rFonts w:ascii="Arial" w:cs="Arial" w:eastAsia="Arial" w:hAnsi="Arial"/>
          <w:sz w:val="22"/>
          <w:szCs w:val="22"/>
        </w:rPr>
        <w:t xml:space="preserve">Debts built up during the marriage are also considered — not just assets. Joint debts, mortgages, credit cards, and loans can all feature in a financial settlement. Courts look at the overall financial picture, including liabilities.</w:t>
      </w:r>
    </w:p>
    <w:p>
      <w:pPr>
        <w:pStyle w:val="Heading2"/>
        <w:spacing w:before="280" w:after="140"/>
      </w:pPr>
      <w:r>
        <w:rPr>
          <w:rFonts w:ascii="Arial" w:cs="Arial" w:eastAsia="Arial" w:hAnsi="Arial"/>
          <w:b/>
          <w:bCs/>
          <w:color w:val="2563a8"/>
          <w:sz w:val="28"/>
          <w:szCs w:val="28"/>
        </w:rPr>
        <w:t xml:space="preserve">Understanding Your Position Before Negotiations</w:t>
      </w:r>
    </w:p>
    <w:p>
      <w:pPr>
        <w:spacing w:before="80" w:after="80"/>
      </w:pPr>
      <w:r>
        <w:rPr>
          <w:rFonts w:ascii="Arial" w:cs="Arial" w:eastAsia="Arial" w:hAnsi="Arial"/>
          <w:sz w:val="22"/>
          <w:szCs w:val="22"/>
        </w:rPr>
        <w:t xml:space="preserve">Before entering negotiations or proceedings, it is important to understand your own financial position clearly. This means gathering details of all assets, all debts, income, and pension values. Full financial disclosure is required in any financial remedy process — both parties must provide complete information.</w:t>
      </w:r>
    </w:p>
    <w:p>
      <w:pPr>
        <w:spacing w:before="80" w:after="80"/>
      </w:pPr>
      <w:r>
        <w:rPr>
          <w:rFonts w:ascii="Arial" w:cs="Arial" w:eastAsia="Arial" w:hAnsi="Arial"/>
          <w:sz w:val="22"/>
          <w:szCs w:val="22"/>
        </w:rPr>
        <w:t xml:space="preserve">A divorce financial settlement calculator can give you a starting point to model different scenarios — for example, what happens if you take the house but waive pension rights, versus taking a pension share and selling the property. Understanding your options before speaking to a solicitor can save significant time and cost.</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There is no automatic 50/50 split — courts aim for 'fairness' based on individual circumstances</w:t>
      </w:r>
    </w:p>
    <w:p>
      <w:pPr>
        <w:pStyle w:val="ListParagraph"/>
        <w:numPr>
          <w:ilvl w:val="0"/>
          <w:numId w:val="2"/>
        </w:numPr>
        <w:spacing w:before="60" w:after="60"/>
      </w:pPr>
      <w:r>
        <w:rPr>
          <w:rFonts w:ascii="Arial" w:cs="Arial" w:eastAsia="Arial" w:hAnsi="Arial"/>
          <w:sz w:val="22"/>
          <w:szCs w:val="22"/>
        </w:rPr>
        <w:t xml:space="preserve">Children's welfare is the courts' first consideration</w:t>
      </w:r>
    </w:p>
    <w:p>
      <w:pPr>
        <w:pStyle w:val="ListParagraph"/>
        <w:numPr>
          <w:ilvl w:val="0"/>
          <w:numId w:val="2"/>
        </w:numPr>
        <w:spacing w:before="60" w:after="60"/>
      </w:pPr>
      <w:r>
        <w:rPr>
          <w:rFonts w:ascii="Arial" w:cs="Arial" w:eastAsia="Arial" w:hAnsi="Arial"/>
          <w:sz w:val="22"/>
          <w:szCs w:val="22"/>
        </w:rPr>
        <w:t xml:space="preserve">Matrimonial property includes most assets built up during the marriage</w:t>
      </w:r>
    </w:p>
    <w:p>
      <w:pPr>
        <w:pStyle w:val="ListParagraph"/>
        <w:numPr>
          <w:ilvl w:val="0"/>
          <w:numId w:val="2"/>
        </w:numPr>
        <w:spacing w:before="60" w:after="60"/>
      </w:pPr>
      <w:r>
        <w:rPr>
          <w:rFonts w:ascii="Arial" w:cs="Arial" w:eastAsia="Arial" w:hAnsi="Arial"/>
          <w:sz w:val="22"/>
          <w:szCs w:val="22"/>
        </w:rPr>
        <w:t xml:space="preserve">Pre-marital and inherited assets may be included depending on marriage length and need</w:t>
      </w:r>
    </w:p>
    <w:p>
      <w:pPr>
        <w:pStyle w:val="ListParagraph"/>
        <w:numPr>
          <w:ilvl w:val="0"/>
          <w:numId w:val="2"/>
        </w:numPr>
        <w:spacing w:before="60" w:after="60"/>
      </w:pPr>
      <w:r>
        <w:rPr>
          <w:rFonts w:ascii="Arial" w:cs="Arial" w:eastAsia="Arial" w:hAnsi="Arial"/>
          <w:sz w:val="22"/>
          <w:szCs w:val="22"/>
        </w:rPr>
        <w:t xml:space="preserve">The family home can be sold, bought out, or subject to a deferred order</w:t>
      </w:r>
    </w:p>
    <w:p>
      <w:pPr>
        <w:pStyle w:val="ListParagraph"/>
        <w:numPr>
          <w:ilvl w:val="0"/>
          <w:numId w:val="2"/>
        </w:numPr>
        <w:spacing w:before="60" w:after="60"/>
      </w:pPr>
      <w:r>
        <w:rPr>
          <w:rFonts w:ascii="Arial" w:cs="Arial" w:eastAsia="Arial" w:hAnsi="Arial"/>
          <w:sz w:val="22"/>
          <w:szCs w:val="22"/>
        </w:rPr>
        <w:t xml:space="preserve">Pensions are a major asset and must be valued properly</w:t>
      </w:r>
    </w:p>
    <w:p>
      <w:pPr>
        <w:pStyle w:val="ListParagraph"/>
        <w:numPr>
          <w:ilvl w:val="0"/>
          <w:numId w:val="2"/>
        </w:numPr>
        <w:spacing w:before="60" w:after="60"/>
      </w:pPr>
      <w:r>
        <w:rPr>
          <w:rFonts w:ascii="Arial" w:cs="Arial" w:eastAsia="Arial" w:hAnsi="Arial"/>
          <w:sz w:val="22"/>
          <w:szCs w:val="22"/>
        </w:rPr>
        <w:t xml:space="preserve">Understanding your financial position before negotiations is critical</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Is property always split 50/50 in divorce in the UK?</w:t>
      </w:r>
    </w:p>
    <w:p>
      <w:pPr>
        <w:spacing w:before="80" w:after="80"/>
      </w:pPr>
      <w:r>
        <w:rPr>
          <w:rFonts w:ascii="Arial" w:cs="Arial" w:eastAsia="Arial" w:hAnsi="Arial"/>
          <w:sz w:val="22"/>
          <w:szCs w:val="22"/>
        </w:rPr>
        <w:t xml:space="preserve">No. Courts start from an equal division but will depart from it based on factors including financial need, children's welfare, earning capacity, and contributions made. Short marriages often result in different splits.</w:t>
      </w:r>
    </w:p>
    <w:p>
      <w:pPr>
        <w:spacing w:before="200" w:after="100"/>
      </w:pPr>
      <w:r>
        <w:rPr>
          <w:rFonts w:ascii="Arial" w:cs="Arial" w:eastAsia="Arial" w:hAnsi="Arial"/>
          <w:b/>
          <w:bCs/>
          <w:color w:val="1a3c5e"/>
          <w:sz w:val="24"/>
          <w:szCs w:val="24"/>
        </w:rPr>
        <w:t xml:space="preserve">Can my spouse claim the house if it was in my name before we married?</w:t>
      </w:r>
    </w:p>
    <w:p>
      <w:pPr>
        <w:spacing w:before="80" w:after="80"/>
      </w:pPr>
      <w:r>
        <w:rPr>
          <w:rFonts w:ascii="Arial" w:cs="Arial" w:eastAsia="Arial" w:hAnsi="Arial"/>
          <w:sz w:val="22"/>
          <w:szCs w:val="22"/>
        </w:rPr>
        <w:t xml:space="preserve">Possibly. Pre-marital property is not automatically excluded. Courts consider the full picture, and in a long marriage with a financially weaker spouse or children to house, a court may include pre-marital property in the settlement.</w:t>
      </w:r>
    </w:p>
    <w:p>
      <w:pPr>
        <w:spacing w:before="200" w:after="100"/>
      </w:pPr>
      <w:r>
        <w:rPr>
          <w:rFonts w:ascii="Arial" w:cs="Arial" w:eastAsia="Arial" w:hAnsi="Arial"/>
          <w:b/>
          <w:bCs/>
          <w:color w:val="1a3c5e"/>
          <w:sz w:val="24"/>
          <w:szCs w:val="24"/>
        </w:rPr>
        <w:t xml:space="preserve">What if we cannot agree on how to divide property?</w:t>
      </w:r>
    </w:p>
    <w:p>
      <w:pPr>
        <w:spacing w:before="80" w:after="80"/>
      </w:pPr>
      <w:r>
        <w:rPr>
          <w:rFonts w:ascii="Arial" w:cs="Arial" w:eastAsia="Arial" w:hAnsi="Arial"/>
          <w:sz w:val="22"/>
          <w:szCs w:val="22"/>
        </w:rPr>
        <w:t xml:space="preserve">If you cannot reach agreement through negotiation or mediation, either party can apply to court for a Financial Remedy Order. A judge will then decide the division based on the Section 25 factors.</w:t>
      </w:r>
    </w:p>
    <w:p>
      <w:pPr>
        <w:spacing w:before="200" w:after="100"/>
      </w:pPr>
      <w:r>
        <w:rPr>
          <w:rFonts w:ascii="Arial" w:cs="Arial" w:eastAsia="Arial" w:hAnsi="Arial"/>
          <w:b/>
          <w:bCs/>
          <w:color w:val="1a3c5e"/>
          <w:sz w:val="24"/>
          <w:szCs w:val="24"/>
        </w:rPr>
        <w:t xml:space="preserve">Does it matter who is at fault for the divorce?</w:t>
      </w:r>
    </w:p>
    <w:p>
      <w:pPr>
        <w:spacing w:before="80" w:after="80"/>
      </w:pPr>
      <w:r>
        <w:rPr>
          <w:rFonts w:ascii="Arial" w:cs="Arial" w:eastAsia="Arial" w:hAnsi="Arial"/>
          <w:sz w:val="22"/>
          <w:szCs w:val="22"/>
        </w:rPr>
        <w:t xml:space="preserve">Rarely. Under the current law (and especially since no-fault divorce was introduced in 2022), conduct is only considered in exceptional circumstances where it would be clearly inequitable to ignore it.</w:t>
      </w:r>
    </w:p>
    <w:p>
      <w:pPr>
        <w:spacing w:before="200" w:after="100"/>
      </w:pPr>
      <w:r>
        <w:rPr>
          <w:rFonts w:ascii="Arial" w:cs="Arial" w:eastAsia="Arial" w:hAnsi="Arial"/>
          <w:b/>
          <w:bCs/>
          <w:color w:val="1a3c5e"/>
          <w:sz w:val="24"/>
          <w:szCs w:val="24"/>
        </w:rPr>
        <w:t xml:space="preserve">How long does it take to divide property in a divorce?</w:t>
      </w:r>
    </w:p>
    <w:p>
      <w:pPr>
        <w:spacing w:before="80" w:after="80"/>
      </w:pPr>
      <w:r>
        <w:rPr>
          <w:rFonts w:ascii="Arial" w:cs="Arial" w:eastAsia="Arial" w:hAnsi="Arial"/>
          <w:sz w:val="22"/>
          <w:szCs w:val="22"/>
        </w:rPr>
        <w:t xml:space="preserve">An agreed settlement can be formalised in a consent order within a few months of reaching agreement. Contested financial proceedings can take 12-24 months or longer.</w:t>
      </w:r>
    </w:p>
    <w:p>
      <w:pPr>
        <w:spacing w:before="200" w:after="100"/>
      </w:pPr>
      <w:r>
        <w:rPr>
          <w:rFonts w:ascii="Arial" w:cs="Arial" w:eastAsia="Arial" w:hAnsi="Arial"/>
          <w:b/>
          <w:bCs/>
          <w:color w:val="1a3c5e"/>
          <w:sz w:val="24"/>
          <w:szCs w:val="24"/>
        </w:rPr>
        <w:t xml:space="preserve">Do I need a solicitor to divide property in a divorce?</w:t>
      </w:r>
    </w:p>
    <w:p>
      <w:pPr>
        <w:spacing w:before="80" w:after="80"/>
      </w:pPr>
      <w:r>
        <w:rPr>
          <w:rFonts w:ascii="Arial" w:cs="Arial" w:eastAsia="Arial" w:hAnsi="Arial"/>
          <w:sz w:val="22"/>
          <w:szCs w:val="22"/>
        </w:rPr>
        <w:t xml:space="preserve">You are not legally required to use a solicitor, but given the sums involved and the legal complexity, independent legal advice is strongly recommended. At minimum, any agreement should be formalised in a court-approved consent order.</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What Happens to Debts in Divorce UK: Who is Responsible?</w:t>
      </w:r>
    </w:p>
    <w:p>
      <w:pPr>
        <w:pStyle w:val="Heading2"/>
        <w:spacing w:before="280" w:after="140"/>
      </w:pPr>
      <w:r>
        <w:rPr>
          <w:rFonts w:ascii="Arial" w:cs="Arial" w:eastAsia="Arial" w:hAnsi="Arial"/>
          <w:b/>
          <w:bCs/>
          <w:color w:val="2563a8"/>
          <w:sz w:val="28"/>
          <w:szCs w:val="28"/>
        </w:rPr>
        <w:t xml:space="preserve">What Happens to Debts in Divorce UK?</w:t>
      </w:r>
    </w:p>
    <w:p>
      <w:pPr>
        <w:spacing w:before="80" w:after="80"/>
      </w:pPr>
      <w:r>
        <w:rPr>
          <w:rFonts w:ascii="Arial" w:cs="Arial" w:eastAsia="Arial" w:hAnsi="Arial"/>
          <w:sz w:val="22"/>
          <w:szCs w:val="22"/>
        </w:rPr>
        <w:t xml:space="preserve">When a marriage ends, most people focus on dividing assets — but what happens to debts in divorce UK is equally important. Debts do not disappear when you divorce. Both matrimonial and personal debts must be addressed in any financial settlement. The key principle is that a divorce decree does not override your legal obligations to creditors: if your name is on a loan, you remain liable — regardless of what a divorce settlement says between the two of you.</w:t>
      </w:r>
    </w:p>
    <w:p>
      <w:pPr>
        <w:pStyle w:val="Heading2"/>
        <w:spacing w:before="280" w:after="140"/>
      </w:pPr>
      <w:r>
        <w:rPr>
          <w:rFonts w:ascii="Arial" w:cs="Arial" w:eastAsia="Arial" w:hAnsi="Arial"/>
          <w:b/>
          <w:bCs/>
          <w:color w:val="2563a8"/>
          <w:sz w:val="28"/>
          <w:szCs w:val="28"/>
        </w:rPr>
        <w:t xml:space="preserve">Joint Debts vs Individual Debts in Divorce</w:t>
      </w:r>
    </w:p>
    <w:p>
      <w:pPr>
        <w:spacing w:before="200" w:after="100"/>
      </w:pPr>
      <w:r>
        <w:rPr>
          <w:rFonts w:ascii="Arial" w:cs="Arial" w:eastAsia="Arial" w:hAnsi="Arial"/>
          <w:b/>
          <w:bCs/>
          <w:color w:val="1a3c5e"/>
          <w:sz w:val="24"/>
          <w:szCs w:val="24"/>
        </w:rPr>
        <w:t xml:space="preserve">Joint debts</w:t>
      </w:r>
    </w:p>
    <w:p>
      <w:pPr>
        <w:spacing w:before="80" w:after="80"/>
      </w:pPr>
      <w:r>
        <w:rPr>
          <w:rFonts w:ascii="Arial" w:cs="Arial" w:eastAsia="Arial" w:hAnsi="Arial"/>
          <w:sz w:val="22"/>
          <w:szCs w:val="22"/>
        </w:rPr>
        <w:t xml:space="preserve">If both your names are on a debt — a joint mortgage, joint credit card, or joint loan — both of you are jointly and severally liable. This means a creditor can pursue either of you for the full amount, regardless of any agreement between you about who should pay. Divorcing does not change this.</w:t>
      </w:r>
    </w:p>
    <w:p>
      <w:pPr>
        <w:spacing w:before="200" w:after="100"/>
      </w:pPr>
      <w:r>
        <w:rPr>
          <w:rFonts w:ascii="Arial" w:cs="Arial" w:eastAsia="Arial" w:hAnsi="Arial"/>
          <w:b/>
          <w:bCs/>
          <w:color w:val="1a3c5e"/>
          <w:sz w:val="24"/>
          <w:szCs w:val="24"/>
        </w:rPr>
        <w:t xml:space="preserve">Individual debts</w:t>
      </w:r>
    </w:p>
    <w:p>
      <w:pPr>
        <w:spacing w:before="80" w:after="80"/>
      </w:pPr>
      <w:r>
        <w:rPr>
          <w:rFonts w:ascii="Arial" w:cs="Arial" w:eastAsia="Arial" w:hAnsi="Arial"/>
          <w:sz w:val="22"/>
          <w:szCs w:val="22"/>
        </w:rPr>
        <w:t xml:space="preserve">Debts solely in one person's name are legally that person's responsibility. However, in a divorce financial settlement, courts still consider them as part of the overall financial picture. A spouse with large personal debts may receive a greater share of assets, or the debts may be offset against their share.</w:t>
      </w:r>
    </w:p>
    <w:p>
      <w:pPr>
        <w:pStyle w:val="Heading2"/>
        <w:spacing w:before="280" w:after="140"/>
      </w:pPr>
      <w:r>
        <w:rPr>
          <w:rFonts w:ascii="Arial" w:cs="Arial" w:eastAsia="Arial" w:hAnsi="Arial"/>
          <w:b/>
          <w:bCs/>
          <w:color w:val="2563a8"/>
          <w:sz w:val="28"/>
          <w:szCs w:val="28"/>
        </w:rPr>
        <w:t xml:space="preserve">Types of Debt Commonly Seen in Divorce Settlements</w:t>
      </w:r>
    </w:p>
    <w:p>
      <w:pPr>
        <w:pStyle w:val="ListParagraph"/>
        <w:numPr>
          <w:ilvl w:val="0"/>
          <w:numId w:val="2"/>
        </w:numPr>
        <w:spacing w:before="60" w:after="60"/>
      </w:pPr>
      <w:r>
        <w:rPr>
          <w:rFonts w:ascii="Arial" w:cs="Arial" w:eastAsia="Arial" w:hAnsi="Arial"/>
          <w:sz w:val="22"/>
          <w:szCs w:val="22"/>
        </w:rPr>
        <w:t xml:space="preserve">Mortgage — usually the largest debt; what happens to the mortgage depends on what happens to the family home</w:t>
      </w:r>
    </w:p>
    <w:p>
      <w:pPr>
        <w:pStyle w:val="ListParagraph"/>
        <w:numPr>
          <w:ilvl w:val="0"/>
          <w:numId w:val="2"/>
        </w:numPr>
        <w:spacing w:before="60" w:after="60"/>
      </w:pPr>
      <w:r>
        <w:rPr>
          <w:rFonts w:ascii="Arial" w:cs="Arial" w:eastAsia="Arial" w:hAnsi="Arial"/>
          <w:sz w:val="22"/>
          <w:szCs w:val="22"/>
        </w:rPr>
        <w:t xml:space="preserve">Joint credit cards — both parties remain liable until the debt is cleared or the account is separated</w:t>
      </w:r>
    </w:p>
    <w:p>
      <w:pPr>
        <w:pStyle w:val="ListParagraph"/>
        <w:numPr>
          <w:ilvl w:val="0"/>
          <w:numId w:val="2"/>
        </w:numPr>
        <w:spacing w:before="60" w:after="60"/>
      </w:pPr>
      <w:r>
        <w:rPr>
          <w:rFonts w:ascii="Arial" w:cs="Arial" w:eastAsia="Arial" w:hAnsi="Arial"/>
          <w:sz w:val="22"/>
          <w:szCs w:val="22"/>
        </w:rPr>
        <w:t xml:space="preserve">Personal loans — treated as the liability of whoever took them out, but considered in the overall settlement</w:t>
      </w:r>
    </w:p>
    <w:p>
      <w:pPr>
        <w:pStyle w:val="ListParagraph"/>
        <w:numPr>
          <w:ilvl w:val="0"/>
          <w:numId w:val="2"/>
        </w:numPr>
        <w:spacing w:before="60" w:after="60"/>
      </w:pPr>
      <w:r>
        <w:rPr>
          <w:rFonts w:ascii="Arial" w:cs="Arial" w:eastAsia="Arial" w:hAnsi="Arial"/>
          <w:sz w:val="22"/>
          <w:szCs w:val="22"/>
        </w:rPr>
        <w:t xml:space="preserve">Overdrafts — joint overdrafts must be addressed; individual ones factor into the financial picture</w:t>
      </w:r>
    </w:p>
    <w:p>
      <w:pPr>
        <w:pStyle w:val="ListParagraph"/>
        <w:numPr>
          <w:ilvl w:val="0"/>
          <w:numId w:val="2"/>
        </w:numPr>
        <w:spacing w:before="60" w:after="60"/>
      </w:pPr>
      <w:r>
        <w:rPr>
          <w:rFonts w:ascii="Arial" w:cs="Arial" w:eastAsia="Arial" w:hAnsi="Arial"/>
          <w:sz w:val="22"/>
          <w:szCs w:val="22"/>
        </w:rPr>
        <w:t xml:space="preserve">Car finance — usually in one name; the debt follows the asset</w:t>
      </w:r>
    </w:p>
    <w:p>
      <w:pPr>
        <w:pStyle w:val="ListParagraph"/>
        <w:numPr>
          <w:ilvl w:val="0"/>
          <w:numId w:val="2"/>
        </w:numPr>
        <w:spacing w:before="60" w:after="60"/>
      </w:pPr>
      <w:r>
        <w:rPr>
          <w:rFonts w:ascii="Arial" w:cs="Arial" w:eastAsia="Arial" w:hAnsi="Arial"/>
          <w:sz w:val="22"/>
          <w:szCs w:val="22"/>
        </w:rPr>
        <w:t xml:space="preserve">Business debts — more complex; depends on business structure and personal guarantees</w:t>
      </w:r>
    </w:p>
    <w:p>
      <w:pPr>
        <w:pStyle w:val="Heading2"/>
        <w:spacing w:before="280" w:after="140"/>
      </w:pPr>
      <w:r>
        <w:rPr>
          <w:rFonts w:ascii="Arial" w:cs="Arial" w:eastAsia="Arial" w:hAnsi="Arial"/>
          <w:b/>
          <w:bCs/>
          <w:color w:val="2563a8"/>
          <w:sz w:val="28"/>
          <w:szCs w:val="28"/>
        </w:rPr>
        <w:t xml:space="preserve">How Courts Deal with Debts in a Divorce Financial Settlement</w:t>
      </w:r>
    </w:p>
    <w:p>
      <w:pPr>
        <w:spacing w:before="80" w:after="80"/>
      </w:pPr>
      <w:r>
        <w:rPr>
          <w:rFonts w:ascii="Arial" w:cs="Arial" w:eastAsia="Arial" w:hAnsi="Arial"/>
          <w:sz w:val="22"/>
          <w:szCs w:val="22"/>
        </w:rPr>
        <w:t xml:space="preserve">Courts have wide powers to order division of both assets and liabilities. In practice, debts are handled in several ways:</w:t>
      </w:r>
    </w:p>
    <w:p>
      <w:pPr>
        <w:spacing w:before="200" w:after="100"/>
      </w:pPr>
      <w:r>
        <w:rPr>
          <w:rFonts w:ascii="Arial" w:cs="Arial" w:eastAsia="Arial" w:hAnsi="Arial"/>
          <w:b/>
          <w:bCs/>
          <w:color w:val="1a3c5e"/>
          <w:sz w:val="24"/>
          <w:szCs w:val="24"/>
        </w:rPr>
        <w:t xml:space="preserve">Debt offsetting</w:t>
      </w:r>
    </w:p>
    <w:p>
      <w:pPr>
        <w:spacing w:before="80" w:after="80"/>
      </w:pPr>
      <w:r>
        <w:rPr>
          <w:rFonts w:ascii="Arial" w:cs="Arial" w:eastAsia="Arial" w:hAnsi="Arial"/>
          <w:sz w:val="22"/>
          <w:szCs w:val="22"/>
        </w:rPr>
        <w:t xml:space="preserve">One party takes on a debt in exchange for receiving a greater share of an asset. For example, one spouse takes the car and the car finance loan, while the other keeps more of the savings.</w:t>
      </w:r>
    </w:p>
    <w:p>
      <w:pPr>
        <w:spacing w:before="200" w:after="100"/>
      </w:pPr>
      <w:r>
        <w:rPr>
          <w:rFonts w:ascii="Arial" w:cs="Arial" w:eastAsia="Arial" w:hAnsi="Arial"/>
          <w:b/>
          <w:bCs/>
          <w:color w:val="1a3c5e"/>
          <w:sz w:val="24"/>
          <w:szCs w:val="24"/>
        </w:rPr>
        <w:t xml:space="preserve">Debt clearance on sale</w:t>
      </w:r>
    </w:p>
    <w:p>
      <w:pPr>
        <w:spacing w:before="80" w:after="80"/>
      </w:pPr>
      <w:r>
        <w:rPr>
          <w:rFonts w:ascii="Arial" w:cs="Arial" w:eastAsia="Arial" w:hAnsi="Arial"/>
          <w:sz w:val="22"/>
          <w:szCs w:val="22"/>
        </w:rPr>
        <w:t xml:space="preserve">When the family home is sold, the mortgage and any secured loans are paid off from the proceeds before the equity is divided. This is the most common approach.</w:t>
      </w:r>
    </w:p>
    <w:p>
      <w:pPr>
        <w:spacing w:before="200" w:after="100"/>
      </w:pPr>
      <w:r>
        <w:rPr>
          <w:rFonts w:ascii="Arial" w:cs="Arial" w:eastAsia="Arial" w:hAnsi="Arial"/>
          <w:b/>
          <w:bCs/>
          <w:color w:val="1a3c5e"/>
          <w:sz w:val="24"/>
          <w:szCs w:val="24"/>
        </w:rPr>
        <w:t xml:space="preserve">Transfer of liability</w:t>
      </w:r>
    </w:p>
    <w:p>
      <w:pPr>
        <w:spacing w:before="80" w:after="80"/>
      </w:pPr>
      <w:r>
        <w:rPr>
          <w:rFonts w:ascii="Arial" w:cs="Arial" w:eastAsia="Arial" w:hAnsi="Arial"/>
          <w:sz w:val="22"/>
          <w:szCs w:val="22"/>
        </w:rPr>
        <w:t xml:space="preserve">In some cases, a court can order that a jointly-held debt be transferred to one party. However, the creditor (the bank or lender) must agree to this. If the creditor refuses, both parties remain jointly liable.</w:t>
      </w:r>
    </w:p>
    <w:p>
      <w:pPr>
        <w:pStyle w:val="Heading2"/>
        <w:spacing w:before="280" w:after="140"/>
      </w:pPr>
      <w:r>
        <w:rPr>
          <w:rFonts w:ascii="Arial" w:cs="Arial" w:eastAsia="Arial" w:hAnsi="Arial"/>
          <w:b/>
          <w:bCs/>
          <w:color w:val="2563a8"/>
          <w:sz w:val="28"/>
          <w:szCs w:val="28"/>
        </w:rPr>
        <w:t xml:space="preserve">Real-World Example: Handling Debt in Divorce</w:t>
      </w:r>
    </w:p>
    <w:p>
      <w:pPr>
        <w:spacing w:before="80" w:after="80"/>
      </w:pPr>
      <w:r>
        <w:rPr>
          <w:rFonts w:ascii="Arial" w:cs="Arial" w:eastAsia="Arial" w:hAnsi="Arial"/>
          <w:sz w:val="22"/>
          <w:szCs w:val="22"/>
        </w:rPr>
        <w:t xml:space="preserve">Michael and Laura are divorcing. They have a joint credit card with £8,000 outstanding, a joint mortgage, and Michael has a personal loan of £5,000 in his own name. Their settlement addresses all three: the mortgage is cleared when the house is sold; the credit card debt is split and each pays their half before the account is closed; Michael's personal loan is factored in by giving him a slightly larger share of any remaining assets, as he has a liability Laura does not.</w:t>
      </w:r>
    </w:p>
    <w:p>
      <w:pPr>
        <w:pStyle w:val="Heading2"/>
        <w:spacing w:before="280" w:after="140"/>
      </w:pPr>
      <w:r>
        <w:rPr>
          <w:rFonts w:ascii="Arial" w:cs="Arial" w:eastAsia="Arial" w:hAnsi="Arial"/>
          <w:b/>
          <w:bCs/>
          <w:color w:val="2563a8"/>
          <w:sz w:val="28"/>
          <w:szCs w:val="28"/>
        </w:rPr>
        <w:t xml:space="preserve">What if My Ex Agrees to Pay a Joint Debt but Doesn't?</w:t>
      </w:r>
    </w:p>
    <w:p>
      <w:pPr>
        <w:spacing w:before="80" w:after="80"/>
      </w:pPr>
      <w:r>
        <w:rPr>
          <w:rFonts w:ascii="Arial" w:cs="Arial" w:eastAsia="Arial" w:hAnsi="Arial"/>
          <w:sz w:val="22"/>
          <w:szCs w:val="22"/>
        </w:rPr>
        <w:t xml:space="preserve">This is a serious risk. If a court order or consent order states your ex will pay a joint debt and they default, the creditor can still come after you. Your only recourse is to take legal action against your ex for breach of the court order — but this takes time and money, and the damage to your credit file may already have been done.</w:t>
      </w:r>
    </w:p>
    <w:p>
      <w:pPr>
        <w:spacing w:before="80" w:after="80"/>
      </w:pPr>
      <w:r>
        <w:rPr>
          <w:rFonts w:ascii="Arial" w:cs="Arial" w:eastAsia="Arial" w:hAnsi="Arial"/>
          <w:sz w:val="22"/>
          <w:szCs w:val="22"/>
        </w:rPr>
        <w:t xml:space="preserve">For this reason, it is almost always preferable to close or convert joint accounts before or at the point of divorce. Pay off joint debts from assets where possible, or obtain indemnity clauses and protections in any formal agreement.</w:t>
      </w:r>
    </w:p>
    <w:p>
      <w:pPr>
        <w:pStyle w:val="Heading2"/>
        <w:spacing w:before="280" w:after="140"/>
      </w:pPr>
      <w:r>
        <w:rPr>
          <w:rFonts w:ascii="Arial" w:cs="Arial" w:eastAsia="Arial" w:hAnsi="Arial"/>
          <w:b/>
          <w:bCs/>
          <w:color w:val="2563a8"/>
          <w:sz w:val="28"/>
          <w:szCs w:val="28"/>
        </w:rPr>
        <w:t xml:space="preserve">The Mortgage and Divorce</w:t>
      </w:r>
    </w:p>
    <w:p>
      <w:pPr>
        <w:spacing w:before="80" w:after="80"/>
      </w:pPr>
      <w:r>
        <w:rPr>
          <w:rFonts w:ascii="Arial" w:cs="Arial" w:eastAsia="Arial" w:hAnsi="Arial"/>
          <w:sz w:val="22"/>
          <w:szCs w:val="22"/>
        </w:rPr>
        <w:t xml:space="preserve">If both names are on the mortgage, you are both liable until it is paid off or the mortgage is transferred into one name. If one spouse is to remain in the property, the lender must agree to release the other party from the mortgage — this is called a transfer of equity. Lenders will only agree if the remaining party can demonstrate they can service the debt alone.</w:t>
      </w:r>
    </w:p>
    <w:p>
      <w:pPr>
        <w:spacing w:before="80" w:after="80"/>
      </w:pPr>
      <w:r>
        <w:rPr>
          <w:rFonts w:ascii="Arial" w:cs="Arial" w:eastAsia="Arial" w:hAnsi="Arial"/>
          <w:sz w:val="22"/>
          <w:szCs w:val="22"/>
        </w:rPr>
        <w:t xml:space="preserve">Understanding your financial position in relation to the mortgage is a key part of any divorce financial settlement. Using a divorce financial settlement calculator to model what you could afford as a single mortgage holder is a sensible first step.</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Debts do not disappear on divorce — creditors are not bound by your settlement agreement</w:t>
      </w:r>
    </w:p>
    <w:p>
      <w:pPr>
        <w:pStyle w:val="ListParagraph"/>
        <w:numPr>
          <w:ilvl w:val="0"/>
          <w:numId w:val="2"/>
        </w:numPr>
        <w:spacing w:before="60" w:after="60"/>
      </w:pPr>
      <w:r>
        <w:rPr>
          <w:rFonts w:ascii="Arial" w:cs="Arial" w:eastAsia="Arial" w:hAnsi="Arial"/>
          <w:sz w:val="22"/>
          <w:szCs w:val="22"/>
        </w:rPr>
        <w:t xml:space="preserve">Joint debts make both parties legally liable, regardless of who agreed to pay</w:t>
      </w:r>
    </w:p>
    <w:p>
      <w:pPr>
        <w:pStyle w:val="ListParagraph"/>
        <w:numPr>
          <w:ilvl w:val="0"/>
          <w:numId w:val="2"/>
        </w:numPr>
        <w:spacing w:before="60" w:after="60"/>
      </w:pPr>
      <w:r>
        <w:rPr>
          <w:rFonts w:ascii="Arial" w:cs="Arial" w:eastAsia="Arial" w:hAnsi="Arial"/>
          <w:sz w:val="22"/>
          <w:szCs w:val="22"/>
        </w:rPr>
        <w:t xml:space="preserve">Courts consider debts as part of the overall financial picture alongside assets</w:t>
      </w:r>
    </w:p>
    <w:p>
      <w:pPr>
        <w:pStyle w:val="ListParagraph"/>
        <w:numPr>
          <w:ilvl w:val="0"/>
          <w:numId w:val="2"/>
        </w:numPr>
        <w:spacing w:before="60" w:after="60"/>
      </w:pPr>
      <w:r>
        <w:rPr>
          <w:rFonts w:ascii="Arial" w:cs="Arial" w:eastAsia="Arial" w:hAnsi="Arial"/>
          <w:sz w:val="22"/>
          <w:szCs w:val="22"/>
        </w:rPr>
        <w:t xml:space="preserve">Debt offsetting, clearance on sale, or transfer are common approaches</w:t>
      </w:r>
    </w:p>
    <w:p>
      <w:pPr>
        <w:pStyle w:val="ListParagraph"/>
        <w:numPr>
          <w:ilvl w:val="0"/>
          <w:numId w:val="2"/>
        </w:numPr>
        <w:spacing w:before="60" w:after="60"/>
      </w:pPr>
      <w:r>
        <w:rPr>
          <w:rFonts w:ascii="Arial" w:cs="Arial" w:eastAsia="Arial" w:hAnsi="Arial"/>
          <w:sz w:val="22"/>
          <w:szCs w:val="22"/>
        </w:rPr>
        <w:t xml:space="preserve">Close or convert joint accounts as soon as possible</w:t>
      </w:r>
    </w:p>
    <w:p>
      <w:pPr>
        <w:pStyle w:val="ListParagraph"/>
        <w:numPr>
          <w:ilvl w:val="0"/>
          <w:numId w:val="2"/>
        </w:numPr>
        <w:spacing w:before="60" w:after="60"/>
      </w:pPr>
      <w:r>
        <w:rPr>
          <w:rFonts w:ascii="Arial" w:cs="Arial" w:eastAsia="Arial" w:hAnsi="Arial"/>
          <w:sz w:val="22"/>
          <w:szCs w:val="22"/>
        </w:rPr>
        <w:t xml:space="preserve">If your ex defaults on a joint debt they agreed to pay, you remain liable to the creditor</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Am I responsible for my spouse's debts after divorce?</w:t>
      </w:r>
    </w:p>
    <w:p>
      <w:pPr>
        <w:spacing w:before="80" w:after="80"/>
      </w:pPr>
      <w:r>
        <w:rPr>
          <w:rFonts w:ascii="Arial" w:cs="Arial" w:eastAsia="Arial" w:hAnsi="Arial"/>
          <w:sz w:val="22"/>
          <w:szCs w:val="22"/>
        </w:rPr>
        <w:t xml:space="preserve">You are responsible for any joint debt — regardless of divorce. For debts solely in your spouse's name, you are generally not liable, but courts may factor these into the overall settlement.</w:t>
      </w:r>
    </w:p>
    <w:p>
      <w:pPr>
        <w:spacing w:before="200" w:after="100"/>
      </w:pPr>
      <w:r>
        <w:rPr>
          <w:rFonts w:ascii="Arial" w:cs="Arial" w:eastAsia="Arial" w:hAnsi="Arial"/>
          <w:b/>
          <w:bCs/>
          <w:color w:val="1a3c5e"/>
          <w:sz w:val="24"/>
          <w:szCs w:val="24"/>
        </w:rPr>
        <w:t xml:space="preserve">Can a divorce settlement protect me from my ex's debts?</w:t>
      </w:r>
    </w:p>
    <w:p>
      <w:pPr>
        <w:spacing w:before="80" w:after="80"/>
      </w:pPr>
      <w:r>
        <w:rPr>
          <w:rFonts w:ascii="Arial" w:cs="Arial" w:eastAsia="Arial" w:hAnsi="Arial"/>
          <w:sz w:val="22"/>
          <w:szCs w:val="22"/>
        </w:rPr>
        <w:t xml:space="preserve">A consent order can include indemnity clauses requiring your ex to cover debts they agreed to take on. However, this does not affect third-party creditors — only the relationship between you and your ex.</w:t>
      </w:r>
    </w:p>
    <w:p>
      <w:pPr>
        <w:spacing w:before="200" w:after="100"/>
      </w:pPr>
      <w:r>
        <w:rPr>
          <w:rFonts w:ascii="Arial" w:cs="Arial" w:eastAsia="Arial" w:hAnsi="Arial"/>
          <w:b/>
          <w:bCs/>
          <w:color w:val="1a3c5e"/>
          <w:sz w:val="24"/>
          <w:szCs w:val="24"/>
        </w:rPr>
        <w:t xml:space="preserve">What happens to negative equity in divorce?</w:t>
      </w:r>
    </w:p>
    <w:p>
      <w:pPr>
        <w:spacing w:before="80" w:after="80"/>
      </w:pPr>
      <w:r>
        <w:rPr>
          <w:rFonts w:ascii="Arial" w:cs="Arial" w:eastAsia="Arial" w:hAnsi="Arial"/>
          <w:sz w:val="22"/>
          <w:szCs w:val="22"/>
        </w:rPr>
        <w:t xml:space="preserve">If the property is worth less than the mortgage, you have negative equity. Both parties may still be liable for the shortfall. Options include continuing joint ownership until values recover, one party taking the property and the negative equity, or selling and dealing with the remaining debt.</w:t>
      </w:r>
    </w:p>
    <w:p>
      <w:pPr>
        <w:spacing w:before="200" w:after="100"/>
      </w:pPr>
      <w:r>
        <w:rPr>
          <w:rFonts w:ascii="Arial" w:cs="Arial" w:eastAsia="Arial" w:hAnsi="Arial"/>
          <w:b/>
          <w:bCs/>
          <w:color w:val="1a3c5e"/>
          <w:sz w:val="24"/>
          <w:szCs w:val="24"/>
        </w:rPr>
        <w:t xml:space="preserve">Can I be forced to pay my ex's credit card debt?</w:t>
      </w:r>
    </w:p>
    <w:p>
      <w:pPr>
        <w:spacing w:before="80" w:after="80"/>
      </w:pPr>
      <w:r>
        <w:rPr>
          <w:rFonts w:ascii="Arial" w:cs="Arial" w:eastAsia="Arial" w:hAnsi="Arial"/>
          <w:sz w:val="22"/>
          <w:szCs w:val="22"/>
        </w:rPr>
        <w:t xml:space="preserve">If it is solely in their name, no. If it is a joint account, yes — both parties are jointly and severally liable.</w:t>
      </w:r>
    </w:p>
    <w:p>
      <w:pPr>
        <w:spacing w:before="200" w:after="100"/>
      </w:pPr>
      <w:r>
        <w:rPr>
          <w:rFonts w:ascii="Arial" w:cs="Arial" w:eastAsia="Arial" w:hAnsi="Arial"/>
          <w:b/>
          <w:bCs/>
          <w:color w:val="1a3c5e"/>
          <w:sz w:val="24"/>
          <w:szCs w:val="24"/>
        </w:rPr>
        <w:t xml:space="preserve">Does debt affect how assets are divided in divorce?</w:t>
      </w:r>
    </w:p>
    <w:p>
      <w:pPr>
        <w:spacing w:before="80" w:after="80"/>
      </w:pPr>
      <w:r>
        <w:rPr>
          <w:rFonts w:ascii="Arial" w:cs="Arial" w:eastAsia="Arial" w:hAnsi="Arial"/>
          <w:sz w:val="22"/>
          <w:szCs w:val="22"/>
        </w:rPr>
        <w:t xml:space="preserve">Yes. Courts look at the net financial position of each party. Significant personal debts reduce the available financial resources and are taken into account when deciding a fair overall settlement.</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Can I Refuse a Divorce Financial Settlement UK? Your Rights Explained</w:t>
      </w:r>
    </w:p>
    <w:p>
      <w:pPr>
        <w:pStyle w:val="Heading2"/>
        <w:spacing w:before="280" w:after="140"/>
      </w:pPr>
      <w:r>
        <w:rPr>
          <w:rFonts w:ascii="Arial" w:cs="Arial" w:eastAsia="Arial" w:hAnsi="Arial"/>
          <w:b/>
          <w:bCs/>
          <w:color w:val="2563a8"/>
          <w:sz w:val="28"/>
          <w:szCs w:val="28"/>
        </w:rPr>
        <w:t xml:space="preserve">Can I Refuse a Divorce Financial Settlement in the UK?</w:t>
      </w:r>
    </w:p>
    <w:p>
      <w:pPr>
        <w:spacing w:before="80" w:after="80"/>
      </w:pPr>
      <w:r>
        <w:rPr>
          <w:rFonts w:ascii="Arial" w:cs="Arial" w:eastAsia="Arial" w:hAnsi="Arial"/>
          <w:sz w:val="22"/>
          <w:szCs w:val="22"/>
        </w:rPr>
        <w:t xml:space="preserve">Can I refuse a divorce financial settlement UK? The short answer is: yes, you can refuse a proposed settlement — but refusing does not mean the issue goes away. If you and your spouse cannot agree, either party can apply to a court for a Financial Remedy Order, and a judge will impose a legally binding decision. Refusing to engage at all can have serious consequences, including adverse cost orders and the court drawing negative inferences from your conduct.</w:t>
      </w:r>
    </w:p>
    <w:p>
      <w:pPr>
        <w:pStyle w:val="Heading2"/>
        <w:spacing w:before="280" w:after="140"/>
      </w:pPr>
      <w:r>
        <w:rPr>
          <w:rFonts w:ascii="Arial" w:cs="Arial" w:eastAsia="Arial" w:hAnsi="Arial"/>
          <w:b/>
          <w:bCs/>
          <w:color w:val="2563a8"/>
          <w:sz w:val="28"/>
          <w:szCs w:val="28"/>
        </w:rPr>
        <w:t xml:space="preserve">Your Right to Refuse a Proposed Settlement</w:t>
      </w:r>
    </w:p>
    <w:p>
      <w:pPr>
        <w:spacing w:before="80" w:after="80"/>
      </w:pPr>
      <w:r>
        <w:rPr>
          <w:rFonts w:ascii="Arial" w:cs="Arial" w:eastAsia="Arial" w:hAnsi="Arial"/>
          <w:sz w:val="22"/>
          <w:szCs w:val="22"/>
        </w:rPr>
        <w:t xml:space="preserve">You are never obliged to accept a settlement you believe is unfair. You have the right to:</w:t>
      </w:r>
    </w:p>
    <w:p>
      <w:pPr>
        <w:pStyle w:val="ListParagraph"/>
        <w:numPr>
          <w:ilvl w:val="0"/>
          <w:numId w:val="2"/>
        </w:numPr>
        <w:spacing w:before="60" w:after="60"/>
      </w:pPr>
      <w:r>
        <w:rPr>
          <w:rFonts w:ascii="Arial" w:cs="Arial" w:eastAsia="Arial" w:hAnsi="Arial"/>
          <w:sz w:val="22"/>
          <w:szCs w:val="22"/>
        </w:rPr>
        <w:t xml:space="preserve">Negotiate for different terms through solicitors or mediation</w:t>
      </w:r>
    </w:p>
    <w:p>
      <w:pPr>
        <w:pStyle w:val="ListParagraph"/>
        <w:numPr>
          <w:ilvl w:val="0"/>
          <w:numId w:val="2"/>
        </w:numPr>
        <w:spacing w:before="60" w:after="60"/>
      </w:pPr>
      <w:r>
        <w:rPr>
          <w:rFonts w:ascii="Arial" w:cs="Arial" w:eastAsia="Arial" w:hAnsi="Arial"/>
          <w:sz w:val="22"/>
          <w:szCs w:val="22"/>
        </w:rPr>
        <w:t xml:space="preserve">Challenge proposals you believe are unreasonable</w:t>
      </w:r>
    </w:p>
    <w:p>
      <w:pPr>
        <w:pStyle w:val="ListParagraph"/>
        <w:numPr>
          <w:ilvl w:val="0"/>
          <w:numId w:val="2"/>
        </w:numPr>
        <w:spacing w:before="60" w:after="60"/>
      </w:pPr>
      <w:r>
        <w:rPr>
          <w:rFonts w:ascii="Arial" w:cs="Arial" w:eastAsia="Arial" w:hAnsi="Arial"/>
          <w:sz w:val="22"/>
          <w:szCs w:val="22"/>
        </w:rPr>
        <w:t xml:space="preserve">Apply to court if no agreement is reached</w:t>
      </w:r>
    </w:p>
    <w:p>
      <w:pPr>
        <w:pStyle w:val="ListParagraph"/>
        <w:numPr>
          <w:ilvl w:val="0"/>
          <w:numId w:val="2"/>
        </w:numPr>
        <w:spacing w:before="60" w:after="60"/>
      </w:pPr>
      <w:r>
        <w:rPr>
          <w:rFonts w:ascii="Arial" w:cs="Arial" w:eastAsia="Arial" w:hAnsi="Arial"/>
          <w:sz w:val="22"/>
          <w:szCs w:val="22"/>
        </w:rPr>
        <w:t xml:space="preserve">Appeal a court order in limited circumstances</w:t>
      </w:r>
    </w:p>
    <w:p>
      <w:pPr>
        <w:spacing w:before="80" w:after="80"/>
      </w:pPr>
      <w:r>
        <w:rPr>
          <w:rFonts w:ascii="Arial" w:cs="Arial" w:eastAsia="Arial" w:hAnsi="Arial"/>
          <w:sz w:val="22"/>
          <w:szCs w:val="22"/>
        </w:rPr>
        <w:t xml:space="preserve">What you cannot do is simply refuse to engage with the process. English law expects both parties to attempt to resolve financial matters, and courts look unfavourably on a party who refuses to engage in good faith.</w:t>
      </w:r>
    </w:p>
    <w:p>
      <w:pPr>
        <w:pStyle w:val="Heading2"/>
        <w:spacing w:before="280" w:after="140"/>
      </w:pPr>
      <w:r>
        <w:rPr>
          <w:rFonts w:ascii="Arial" w:cs="Arial" w:eastAsia="Arial" w:hAnsi="Arial"/>
          <w:b/>
          <w:bCs/>
          <w:color w:val="2563a8"/>
          <w:sz w:val="28"/>
          <w:szCs w:val="28"/>
        </w:rPr>
        <w:t xml:space="preserve">What Happens if You Refuse to Negotiate?</w:t>
      </w:r>
    </w:p>
    <w:p>
      <w:pPr>
        <w:spacing w:before="80" w:after="80"/>
      </w:pPr>
      <w:r>
        <w:rPr>
          <w:rFonts w:ascii="Arial" w:cs="Arial" w:eastAsia="Arial" w:hAnsi="Arial"/>
          <w:sz w:val="22"/>
          <w:szCs w:val="22"/>
        </w:rPr>
        <w:t xml:space="preserve">If you decline to engage in financial settlement discussions, your spouse can apply to court. The court will then require both parties to complete Form E — a detailed financial disclosure document — and attend hearings. Even if you refuse to attend, the court can proceed in your absence and make a binding order.</w:t>
      </w:r>
    </w:p>
    <w:p>
      <w:pPr>
        <w:spacing w:before="80" w:after="80"/>
      </w:pPr>
      <w:r>
        <w:rPr>
          <w:rFonts w:ascii="Arial" w:cs="Arial" w:eastAsia="Arial" w:hAnsi="Arial"/>
          <w:sz w:val="22"/>
          <w:szCs w:val="22"/>
        </w:rPr>
        <w:t xml:space="preserve">Refusing to participate in financial disclosure is treated very seriously. Courts have the power to hold you in contempt and can draw adverse inferences about any assets you appear to be hiding.</w:t>
      </w:r>
    </w:p>
    <w:p>
      <w:pPr>
        <w:pStyle w:val="Heading2"/>
        <w:spacing w:before="280" w:after="140"/>
      </w:pPr>
      <w:r>
        <w:rPr>
          <w:rFonts w:ascii="Arial" w:cs="Arial" w:eastAsia="Arial" w:hAnsi="Arial"/>
          <w:b/>
          <w:bCs/>
          <w:color w:val="2563a8"/>
          <w:sz w:val="28"/>
          <w:szCs w:val="28"/>
        </w:rPr>
        <w:t xml:space="preserve">When Refusing Makes Sense</w:t>
      </w:r>
    </w:p>
    <w:p>
      <w:pPr>
        <w:spacing w:before="200" w:after="100"/>
      </w:pPr>
      <w:r>
        <w:rPr>
          <w:rFonts w:ascii="Arial" w:cs="Arial" w:eastAsia="Arial" w:hAnsi="Arial"/>
          <w:b/>
          <w:bCs/>
          <w:color w:val="1a3c5e"/>
          <w:sz w:val="24"/>
          <w:szCs w:val="24"/>
        </w:rPr>
        <w:t xml:space="preserve">The offer is genuinely unfair</w:t>
      </w:r>
    </w:p>
    <w:p>
      <w:pPr>
        <w:spacing w:before="80" w:after="80"/>
      </w:pPr>
      <w:r>
        <w:rPr>
          <w:rFonts w:ascii="Arial" w:cs="Arial" w:eastAsia="Arial" w:hAnsi="Arial"/>
          <w:sz w:val="22"/>
          <w:szCs w:val="22"/>
        </w:rPr>
        <w:t xml:space="preserve">If the proposed settlement fails to meet your reasonable financial needs, or significantly undervalues your contributions, refusing and seeking a better outcome is entirely reasonable. However, you should take legal advice before refusing — what feels unfair may actually fall within the range a court would award.</w:t>
      </w:r>
    </w:p>
    <w:p>
      <w:pPr>
        <w:spacing w:before="200" w:after="100"/>
      </w:pPr>
      <w:r>
        <w:rPr>
          <w:rFonts w:ascii="Arial" w:cs="Arial" w:eastAsia="Arial" w:hAnsi="Arial"/>
          <w:b/>
          <w:bCs/>
          <w:color w:val="1a3c5e"/>
          <w:sz w:val="24"/>
          <w:szCs w:val="24"/>
        </w:rPr>
        <w:t xml:space="preserve">There has been inadequate financial disclosure</w:t>
      </w:r>
    </w:p>
    <w:p>
      <w:pPr>
        <w:spacing w:before="80" w:after="80"/>
      </w:pPr>
      <w:r>
        <w:rPr>
          <w:rFonts w:ascii="Arial" w:cs="Arial" w:eastAsia="Arial" w:hAnsi="Arial"/>
          <w:sz w:val="22"/>
          <w:szCs w:val="22"/>
        </w:rPr>
        <w:t xml:space="preserve">If you believe your spouse has not fully disclosed their assets, you are right to refuse a settlement based on incomplete information. You can request further disclosure, seek court orders compelling disclosure, or apply for a court hearing where these matters are scrutinised.</w:t>
      </w:r>
    </w:p>
    <w:p>
      <w:pPr>
        <w:spacing w:before="200" w:after="100"/>
      </w:pPr>
      <w:r>
        <w:rPr>
          <w:rFonts w:ascii="Arial" w:cs="Arial" w:eastAsia="Arial" w:hAnsi="Arial"/>
          <w:b/>
          <w:bCs/>
          <w:color w:val="1a3c5e"/>
          <w:sz w:val="24"/>
          <w:szCs w:val="24"/>
        </w:rPr>
        <w:t xml:space="preserve">You believe assets have been hidden</w:t>
      </w:r>
    </w:p>
    <w:p>
      <w:pPr>
        <w:spacing w:before="80" w:after="80"/>
      </w:pPr>
      <w:r>
        <w:rPr>
          <w:rFonts w:ascii="Arial" w:cs="Arial" w:eastAsia="Arial" w:hAnsi="Arial"/>
          <w:sz w:val="22"/>
          <w:szCs w:val="22"/>
        </w:rPr>
        <w:t xml:space="preserve">If you suspect your spouse is hiding assets, a court can make orders requiring them to produce documentation and can appoint experts to investigate. Settlements reached without full disclosure can be set aside by a court at a later date — though the bar for doing this is high.</w:t>
      </w:r>
    </w:p>
    <w:p>
      <w:pPr>
        <w:pStyle w:val="Heading2"/>
        <w:spacing w:before="280" w:after="140"/>
      </w:pPr>
      <w:r>
        <w:rPr>
          <w:rFonts w:ascii="Arial" w:cs="Arial" w:eastAsia="Arial" w:hAnsi="Arial"/>
          <w:b/>
          <w:bCs/>
          <w:color w:val="2563a8"/>
          <w:sz w:val="28"/>
          <w:szCs w:val="28"/>
        </w:rPr>
        <w:t xml:space="preserve">The Consequences of Refusing to Engage</w:t>
      </w:r>
    </w:p>
    <w:p>
      <w:pPr>
        <w:pStyle w:val="ListParagraph"/>
        <w:numPr>
          <w:ilvl w:val="0"/>
          <w:numId w:val="2"/>
        </w:numPr>
        <w:spacing w:before="60" w:after="60"/>
      </w:pPr>
      <w:r>
        <w:rPr>
          <w:rFonts w:ascii="Arial" w:cs="Arial" w:eastAsia="Arial" w:hAnsi="Arial"/>
          <w:sz w:val="22"/>
          <w:szCs w:val="22"/>
        </w:rPr>
        <w:t xml:space="preserve">The court may proceed and make an order in your absence</w:t>
      </w:r>
    </w:p>
    <w:p>
      <w:pPr>
        <w:pStyle w:val="ListParagraph"/>
        <w:numPr>
          <w:ilvl w:val="0"/>
          <w:numId w:val="2"/>
        </w:numPr>
        <w:spacing w:before="60" w:after="60"/>
      </w:pPr>
      <w:r>
        <w:rPr>
          <w:rFonts w:ascii="Arial" w:cs="Arial" w:eastAsia="Arial" w:hAnsi="Arial"/>
          <w:sz w:val="22"/>
          <w:szCs w:val="22"/>
        </w:rPr>
        <w:t xml:space="preserve">You may face adverse costs orders, meaning you pay more of the legal costs</w:t>
      </w:r>
    </w:p>
    <w:p>
      <w:pPr>
        <w:pStyle w:val="ListParagraph"/>
        <w:numPr>
          <w:ilvl w:val="0"/>
          <w:numId w:val="2"/>
        </w:numPr>
        <w:spacing w:before="60" w:after="60"/>
      </w:pPr>
      <w:r>
        <w:rPr>
          <w:rFonts w:ascii="Arial" w:cs="Arial" w:eastAsia="Arial" w:hAnsi="Arial"/>
          <w:sz w:val="22"/>
          <w:szCs w:val="22"/>
        </w:rPr>
        <w:t xml:space="preserve">Refusing to comply with an agreed or court-ordered settlement can result in contempt of court proceedings</w:t>
      </w:r>
    </w:p>
    <w:p>
      <w:pPr>
        <w:pStyle w:val="ListParagraph"/>
        <w:numPr>
          <w:ilvl w:val="0"/>
          <w:numId w:val="2"/>
        </w:numPr>
        <w:spacing w:before="60" w:after="60"/>
      </w:pPr>
      <w:r>
        <w:rPr>
          <w:rFonts w:ascii="Arial" w:cs="Arial" w:eastAsia="Arial" w:hAnsi="Arial"/>
          <w:sz w:val="22"/>
          <w:szCs w:val="22"/>
        </w:rPr>
        <w:t xml:space="preserve">The longer proceedings drag on, the higher the legal costs for both parties</w:t>
      </w:r>
    </w:p>
    <w:p>
      <w:pPr>
        <w:pStyle w:val="Heading2"/>
        <w:spacing w:before="280" w:after="140"/>
      </w:pPr>
      <w:r>
        <w:rPr>
          <w:rFonts w:ascii="Arial" w:cs="Arial" w:eastAsia="Arial" w:hAnsi="Arial"/>
          <w:b/>
          <w:bCs/>
          <w:color w:val="2563a8"/>
          <w:sz w:val="28"/>
          <w:szCs w:val="28"/>
        </w:rPr>
        <w:t xml:space="preserve">Real-World Example: Refusing an Unfair Offer</w:t>
      </w:r>
    </w:p>
    <w:p>
      <w:pPr>
        <w:spacing w:before="80" w:after="80"/>
      </w:pPr>
      <w:r>
        <w:rPr>
          <w:rFonts w:ascii="Arial" w:cs="Arial" w:eastAsia="Arial" w:hAnsi="Arial"/>
          <w:sz w:val="22"/>
          <w:szCs w:val="22"/>
        </w:rPr>
        <w:t xml:space="preserve">Daniel receives a proposed settlement from his wife's solicitors. The offer gives him 35% of the equity in the family home and nothing from his wife's substantial pension, despite the marriage lasting 18 years. Daniel refuses the offer and instructs a solicitor to negotiate. After mediation fails to bridge the gap, the matter goes to court. The judge awards Daniel a pension share and 45% of the equity — significantly better than the original offer. His refusal was justified, though it cost time and money.</w:t>
      </w:r>
    </w:p>
    <w:p>
      <w:pPr>
        <w:pStyle w:val="Heading2"/>
        <w:spacing w:before="280" w:after="140"/>
      </w:pPr>
      <w:r>
        <w:rPr>
          <w:rFonts w:ascii="Arial" w:cs="Arial" w:eastAsia="Arial" w:hAnsi="Arial"/>
          <w:b/>
          <w:bCs/>
          <w:color w:val="2563a8"/>
          <w:sz w:val="28"/>
          <w:szCs w:val="28"/>
        </w:rPr>
        <w:t xml:space="preserve">Can a Financial Settlement be Imposed Without My Agreement?</w:t>
      </w:r>
    </w:p>
    <w:p>
      <w:pPr>
        <w:spacing w:before="80" w:after="80"/>
      </w:pPr>
      <w:r>
        <w:rPr>
          <w:rFonts w:ascii="Arial" w:cs="Arial" w:eastAsia="Arial" w:hAnsi="Arial"/>
          <w:sz w:val="22"/>
          <w:szCs w:val="22"/>
        </w:rPr>
        <w:t xml:space="preserve">Yes. If court proceedings are issued and you do not engage, a judge can make a Financial Remedy Order based on the available evidence. This order is legally binding and can include orders to sell the family home, transfer assets, and make pension sharing orders.</w:t>
      </w:r>
    </w:p>
    <w:p>
      <w:pPr>
        <w:pStyle w:val="Heading2"/>
        <w:spacing w:before="280" w:after="140"/>
      </w:pPr>
      <w:r>
        <w:rPr>
          <w:rFonts w:ascii="Arial" w:cs="Arial" w:eastAsia="Arial" w:hAnsi="Arial"/>
          <w:b/>
          <w:bCs/>
          <w:color w:val="2563a8"/>
          <w:sz w:val="28"/>
          <w:szCs w:val="28"/>
        </w:rPr>
        <w:t xml:space="preserve">How to Protect Yourself When You Refuse</w:t>
      </w:r>
    </w:p>
    <w:p>
      <w:pPr>
        <w:spacing w:before="80" w:after="80"/>
      </w:pPr>
      <w:r>
        <w:rPr>
          <w:rFonts w:ascii="Arial" w:cs="Arial" w:eastAsia="Arial" w:hAnsi="Arial"/>
          <w:sz w:val="22"/>
          <w:szCs w:val="22"/>
        </w:rPr>
        <w:t xml:space="preserve">If you are refusing an offer, protect yourself by:</w:t>
      </w:r>
    </w:p>
    <w:p>
      <w:pPr>
        <w:pStyle w:val="ListParagraph"/>
        <w:numPr>
          <w:ilvl w:val="0"/>
          <w:numId w:val="2"/>
        </w:numPr>
        <w:spacing w:before="60" w:after="60"/>
      </w:pPr>
      <w:r>
        <w:rPr>
          <w:rFonts w:ascii="Arial" w:cs="Arial" w:eastAsia="Arial" w:hAnsi="Arial"/>
          <w:sz w:val="22"/>
          <w:szCs w:val="22"/>
        </w:rPr>
        <w:t xml:space="preserve">Seeking independent legal advice immediately</w:t>
      </w:r>
    </w:p>
    <w:p>
      <w:pPr>
        <w:pStyle w:val="ListParagraph"/>
        <w:numPr>
          <w:ilvl w:val="0"/>
          <w:numId w:val="2"/>
        </w:numPr>
        <w:spacing w:before="60" w:after="60"/>
      </w:pPr>
      <w:r>
        <w:rPr>
          <w:rFonts w:ascii="Arial" w:cs="Arial" w:eastAsia="Arial" w:hAnsi="Arial"/>
          <w:sz w:val="22"/>
          <w:szCs w:val="22"/>
        </w:rPr>
        <w:t xml:space="preserve">Engaging with mediation — courts expect parties to attempt this before litigation</w:t>
      </w:r>
    </w:p>
    <w:p>
      <w:pPr>
        <w:pStyle w:val="ListParagraph"/>
        <w:numPr>
          <w:ilvl w:val="0"/>
          <w:numId w:val="2"/>
        </w:numPr>
        <w:spacing w:before="60" w:after="60"/>
      </w:pPr>
      <w:r>
        <w:rPr>
          <w:rFonts w:ascii="Arial" w:cs="Arial" w:eastAsia="Arial" w:hAnsi="Arial"/>
          <w:sz w:val="22"/>
          <w:szCs w:val="22"/>
        </w:rPr>
        <w:t xml:space="preserve">Providing full financial disclosure yourself, even if disputing your spouse's disclosure</w:t>
      </w:r>
    </w:p>
    <w:p>
      <w:pPr>
        <w:pStyle w:val="ListParagraph"/>
        <w:numPr>
          <w:ilvl w:val="0"/>
          <w:numId w:val="2"/>
        </w:numPr>
        <w:spacing w:before="60" w:after="60"/>
      </w:pPr>
      <w:r>
        <w:rPr>
          <w:rFonts w:ascii="Arial" w:cs="Arial" w:eastAsia="Arial" w:hAnsi="Arial"/>
          <w:sz w:val="22"/>
          <w:szCs w:val="22"/>
        </w:rPr>
        <w:t xml:space="preserve">Keeping a clear record of all communications and offers</w:t>
      </w:r>
    </w:p>
    <w:p>
      <w:pPr>
        <w:pStyle w:val="ListParagraph"/>
        <w:numPr>
          <w:ilvl w:val="0"/>
          <w:numId w:val="2"/>
        </w:numPr>
        <w:spacing w:before="60" w:after="60"/>
      </w:pPr>
      <w:r>
        <w:rPr>
          <w:rFonts w:ascii="Arial" w:cs="Arial" w:eastAsia="Arial" w:hAnsi="Arial"/>
          <w:sz w:val="22"/>
          <w:szCs w:val="22"/>
        </w:rPr>
        <w:t xml:space="preserve">Understanding your likely range of outcomes — a divorce financial settlement calculator can help you model what a court might award</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You can refuse a proposed settlement but cannot refuse to engage with the process</w:t>
      </w:r>
    </w:p>
    <w:p>
      <w:pPr>
        <w:pStyle w:val="ListParagraph"/>
        <w:numPr>
          <w:ilvl w:val="0"/>
          <w:numId w:val="2"/>
        </w:numPr>
        <w:spacing w:before="60" w:after="60"/>
      </w:pPr>
      <w:r>
        <w:rPr>
          <w:rFonts w:ascii="Arial" w:cs="Arial" w:eastAsia="Arial" w:hAnsi="Arial"/>
          <w:sz w:val="22"/>
          <w:szCs w:val="22"/>
        </w:rPr>
        <w:t xml:space="preserve">Refusal without engagement can result in a court order made against you</w:t>
      </w:r>
    </w:p>
    <w:p>
      <w:pPr>
        <w:pStyle w:val="ListParagraph"/>
        <w:numPr>
          <w:ilvl w:val="0"/>
          <w:numId w:val="2"/>
        </w:numPr>
        <w:spacing w:before="60" w:after="60"/>
      </w:pPr>
      <w:r>
        <w:rPr>
          <w:rFonts w:ascii="Arial" w:cs="Arial" w:eastAsia="Arial" w:hAnsi="Arial"/>
          <w:sz w:val="22"/>
          <w:szCs w:val="22"/>
        </w:rPr>
        <w:t xml:space="preserve">Refusing makes sense when offers are genuinely unfair or disclosure is incomplete</w:t>
      </w:r>
    </w:p>
    <w:p>
      <w:pPr>
        <w:pStyle w:val="ListParagraph"/>
        <w:numPr>
          <w:ilvl w:val="0"/>
          <w:numId w:val="2"/>
        </w:numPr>
        <w:spacing w:before="60" w:after="60"/>
      </w:pPr>
      <w:r>
        <w:rPr>
          <w:rFonts w:ascii="Arial" w:cs="Arial" w:eastAsia="Arial" w:hAnsi="Arial"/>
          <w:sz w:val="22"/>
          <w:szCs w:val="22"/>
        </w:rPr>
        <w:t xml:space="preserve">Courts expect parties to attempt mediation before litigation</w:t>
      </w:r>
    </w:p>
    <w:p>
      <w:pPr>
        <w:pStyle w:val="ListParagraph"/>
        <w:numPr>
          <w:ilvl w:val="0"/>
          <w:numId w:val="2"/>
        </w:numPr>
        <w:spacing w:before="60" w:after="60"/>
      </w:pPr>
      <w:r>
        <w:rPr>
          <w:rFonts w:ascii="Arial" w:cs="Arial" w:eastAsia="Arial" w:hAnsi="Arial"/>
          <w:sz w:val="22"/>
          <w:szCs w:val="22"/>
        </w:rPr>
        <w:t xml:space="preserve">Understanding your realistic settlement range before refusing can prevent costly mistakes</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my spouse force me to accept a settlement?</w:t>
      </w:r>
    </w:p>
    <w:p>
      <w:pPr>
        <w:spacing w:before="80" w:after="80"/>
      </w:pPr>
      <w:r>
        <w:rPr>
          <w:rFonts w:ascii="Arial" w:cs="Arial" w:eastAsia="Arial" w:hAnsi="Arial"/>
          <w:sz w:val="22"/>
          <w:szCs w:val="22"/>
        </w:rPr>
        <w:t xml:space="preserve">No. But if you refuse, they can apply to court and a judge can impose an order — which may be better or worse than the original offer.</w:t>
      </w:r>
    </w:p>
    <w:p>
      <w:pPr>
        <w:spacing w:before="200" w:after="100"/>
      </w:pPr>
      <w:r>
        <w:rPr>
          <w:rFonts w:ascii="Arial" w:cs="Arial" w:eastAsia="Arial" w:hAnsi="Arial"/>
          <w:b/>
          <w:bCs/>
          <w:color w:val="1a3c5e"/>
          <w:sz w:val="24"/>
          <w:szCs w:val="24"/>
        </w:rPr>
        <w:t xml:space="preserve">What if I think the proposed settlement is too low?</w:t>
      </w:r>
    </w:p>
    <w:p>
      <w:pPr>
        <w:spacing w:before="80" w:after="80"/>
      </w:pPr>
      <w:r>
        <w:rPr>
          <w:rFonts w:ascii="Arial" w:cs="Arial" w:eastAsia="Arial" w:hAnsi="Arial"/>
          <w:sz w:val="22"/>
          <w:szCs w:val="22"/>
        </w:rPr>
        <w:t xml:space="preserve">Seek legal advice, engage in negotiation or mediation, and if necessary apply to court. A solicitor can give you a realistic view of what a court is likely to award.</w:t>
      </w:r>
    </w:p>
    <w:p>
      <w:pPr>
        <w:spacing w:before="200" w:after="100"/>
      </w:pPr>
      <w:r>
        <w:rPr>
          <w:rFonts w:ascii="Arial" w:cs="Arial" w:eastAsia="Arial" w:hAnsi="Arial"/>
          <w:b/>
          <w:bCs/>
          <w:color w:val="1a3c5e"/>
          <w:sz w:val="24"/>
          <w:szCs w:val="24"/>
        </w:rPr>
        <w:t xml:space="preserve">Can I change my mind after agreeing to a settlement?</w:t>
      </w:r>
    </w:p>
    <w:p>
      <w:pPr>
        <w:spacing w:before="80" w:after="80"/>
      </w:pPr>
      <w:r>
        <w:rPr>
          <w:rFonts w:ascii="Arial" w:cs="Arial" w:eastAsia="Arial" w:hAnsi="Arial"/>
          <w:sz w:val="22"/>
          <w:szCs w:val="22"/>
        </w:rPr>
        <w:t xml:space="preserve">Once a consent order has been approved by the court, it is legally binding and very difficult to change. You can only set it aside in limited circumstances, such as non-disclosure of assets or fraud.</w:t>
      </w:r>
    </w:p>
    <w:p>
      <w:pPr>
        <w:spacing w:before="200" w:after="100"/>
      </w:pPr>
      <w:r>
        <w:rPr>
          <w:rFonts w:ascii="Arial" w:cs="Arial" w:eastAsia="Arial" w:hAnsi="Arial"/>
          <w:b/>
          <w:bCs/>
          <w:color w:val="1a3c5e"/>
          <w:sz w:val="24"/>
          <w:szCs w:val="24"/>
        </w:rPr>
        <w:t xml:space="preserve">What if my spouse threatens to go to court if I don't agree?</w:t>
      </w:r>
    </w:p>
    <w:p>
      <w:pPr>
        <w:spacing w:before="80" w:after="80"/>
      </w:pPr>
      <w:r>
        <w:rPr>
          <w:rFonts w:ascii="Arial" w:cs="Arial" w:eastAsia="Arial" w:hAnsi="Arial"/>
          <w:sz w:val="22"/>
          <w:szCs w:val="22"/>
        </w:rPr>
        <w:t xml:space="preserve">This is their legal right. Going to court is not a threat — it is the legitimate process for resolving disputes. Take legal advice to understand whether the proposed settlement is within the range a court might award.</w:t>
      </w:r>
    </w:p>
    <w:p>
      <w:pPr>
        <w:spacing w:before="200" w:after="100"/>
      </w:pPr>
      <w:r>
        <w:rPr>
          <w:rFonts w:ascii="Arial" w:cs="Arial" w:eastAsia="Arial" w:hAnsi="Arial"/>
          <w:b/>
          <w:bCs/>
          <w:color w:val="1a3c5e"/>
          <w:sz w:val="24"/>
          <w:szCs w:val="24"/>
        </w:rPr>
        <w:t xml:space="preserve">Is mediation compulsory before going to court?</w:t>
      </w:r>
    </w:p>
    <w:p>
      <w:pPr>
        <w:spacing w:before="80" w:after="80"/>
      </w:pPr>
      <w:r>
        <w:rPr>
          <w:rFonts w:ascii="Arial" w:cs="Arial" w:eastAsia="Arial" w:hAnsi="Arial"/>
          <w:sz w:val="22"/>
          <w:szCs w:val="22"/>
        </w:rPr>
        <w:t xml:space="preserve">You must attend a Mediation Information and Assessment Meeting (MIAM) before issuing court proceedings, except in cases of domestic abuse or urgency. Mediation itself is not compulsory but is strongly encouraged by courts.</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How Long Does a Divorce Financial Settlement Take UK? Timelines Explained</w:t>
      </w:r>
    </w:p>
    <w:p>
      <w:pPr>
        <w:pStyle w:val="Heading2"/>
        <w:spacing w:before="280" w:after="140"/>
      </w:pPr>
      <w:r>
        <w:rPr>
          <w:rFonts w:ascii="Arial" w:cs="Arial" w:eastAsia="Arial" w:hAnsi="Arial"/>
          <w:b/>
          <w:bCs/>
          <w:color w:val="2563a8"/>
          <w:sz w:val="28"/>
          <w:szCs w:val="28"/>
        </w:rPr>
        <w:t xml:space="preserve">How Long Does a Divorce Financial Settlement Take in the UK?</w:t>
      </w:r>
    </w:p>
    <w:p>
      <w:pPr>
        <w:spacing w:before="80" w:after="80"/>
      </w:pPr>
      <w:r>
        <w:rPr>
          <w:rFonts w:ascii="Arial" w:cs="Arial" w:eastAsia="Arial" w:hAnsi="Arial"/>
          <w:sz w:val="22"/>
          <w:szCs w:val="22"/>
        </w:rPr>
        <w:t xml:space="preserve">One of the most common questions during divorce is: how long does a divorce financial settlement take UK? The honest answer is: it depends. An agreed settlement between cooperative parties can be formalised in 3-6 months. A contested financial remedy case going through court can take 12-24 months or longer. The single biggest factor affecting timeline is whether both parties can reach agreement without a judge deciding for them.</w:t>
      </w:r>
    </w:p>
    <w:p>
      <w:pPr>
        <w:pStyle w:val="Heading2"/>
        <w:spacing w:before="280" w:after="140"/>
      </w:pPr>
      <w:r>
        <w:rPr>
          <w:rFonts w:ascii="Arial" w:cs="Arial" w:eastAsia="Arial" w:hAnsi="Arial"/>
          <w:b/>
          <w:bCs/>
          <w:color w:val="2563a8"/>
          <w:sz w:val="28"/>
          <w:szCs w:val="28"/>
        </w:rPr>
        <w:t xml:space="preserve">The Divorce and Financial Settlement Process: Timeline Overview</w:t>
      </w:r>
    </w:p>
    <w:p>
      <w:pPr>
        <w:spacing w:before="200" w:after="100"/>
      </w:pPr>
      <w:r>
        <w:rPr>
          <w:rFonts w:ascii="Arial" w:cs="Arial" w:eastAsia="Arial" w:hAnsi="Arial"/>
          <w:b/>
          <w:bCs/>
          <w:color w:val="1a3c5e"/>
          <w:sz w:val="24"/>
          <w:szCs w:val="24"/>
        </w:rPr>
        <w:t xml:space="preserve">Stage 1: The divorce itself (2-7 months)</w:t>
      </w:r>
    </w:p>
    <w:p>
      <w:pPr>
        <w:spacing w:before="80" w:after="80"/>
      </w:pPr>
      <w:r>
        <w:rPr>
          <w:rFonts w:ascii="Arial" w:cs="Arial" w:eastAsia="Arial" w:hAnsi="Arial"/>
          <w:sz w:val="22"/>
          <w:szCs w:val="22"/>
        </w:rPr>
        <w:t xml:space="preserve">Since April 2022, England and Wales have no-fault divorce. You apply for a Conditional Order (formerly Decree Nisi) and then a Final Order (formerly Decree Absolute). The minimum period from application to Final Order is about 6 months — but most people choose to delay the Final Order until the financial settlement is resolved, to preserve certain legal protections.</w:t>
      </w:r>
    </w:p>
    <w:p>
      <w:pPr>
        <w:spacing w:before="200" w:after="100"/>
      </w:pPr>
      <w:r>
        <w:rPr>
          <w:rFonts w:ascii="Arial" w:cs="Arial" w:eastAsia="Arial" w:hAnsi="Arial"/>
          <w:b/>
          <w:bCs/>
          <w:color w:val="1a3c5e"/>
          <w:sz w:val="24"/>
          <w:szCs w:val="24"/>
        </w:rPr>
        <w:t xml:space="preserve">Stage 2: Financial disclosure (1-3 months)</w:t>
      </w:r>
    </w:p>
    <w:p>
      <w:pPr>
        <w:spacing w:before="80" w:after="80"/>
      </w:pPr>
      <w:r>
        <w:rPr>
          <w:rFonts w:ascii="Arial" w:cs="Arial" w:eastAsia="Arial" w:hAnsi="Arial"/>
          <w:sz w:val="22"/>
          <w:szCs w:val="22"/>
        </w:rPr>
        <w:t xml:space="preserve">Both parties must provide full details of their financial position via Form E. This covers income, assets, liabilities, pensions, and outgoings. If both parties are cooperative and organised, this can be completed quickly. If one party delays, drags their feet, or provides incomplete information, this stage can extend considerably.</w:t>
      </w:r>
    </w:p>
    <w:p>
      <w:pPr>
        <w:spacing w:before="200" w:after="100"/>
      </w:pPr>
      <w:r>
        <w:rPr>
          <w:rFonts w:ascii="Arial" w:cs="Arial" w:eastAsia="Arial" w:hAnsi="Arial"/>
          <w:b/>
          <w:bCs/>
          <w:color w:val="1a3c5e"/>
          <w:sz w:val="24"/>
          <w:szCs w:val="24"/>
        </w:rPr>
        <w:t xml:space="preserve">Stage 3: Negotiation and mediation (1-6 months)</w:t>
      </w:r>
    </w:p>
    <w:p>
      <w:pPr>
        <w:spacing w:before="80" w:after="80"/>
      </w:pPr>
      <w:r>
        <w:rPr>
          <w:rFonts w:ascii="Arial" w:cs="Arial" w:eastAsia="Arial" w:hAnsi="Arial"/>
          <w:sz w:val="22"/>
          <w:szCs w:val="22"/>
        </w:rPr>
        <w:t xml:space="preserve">Once disclosure is complete, parties negotiate — directly, through solicitors, or through mediation. Many cases settle at this stage. A financial agreement reached here can be submitted to the court for approval as a consent order, which usually takes 4-8 weeks once submitted.</w:t>
      </w:r>
    </w:p>
    <w:p>
      <w:pPr>
        <w:spacing w:before="200" w:after="100"/>
      </w:pPr>
      <w:r>
        <w:rPr>
          <w:rFonts w:ascii="Arial" w:cs="Arial" w:eastAsia="Arial" w:hAnsi="Arial"/>
          <w:b/>
          <w:bCs/>
          <w:color w:val="1a3c5e"/>
          <w:sz w:val="24"/>
          <w:szCs w:val="24"/>
        </w:rPr>
        <w:t xml:space="preserve">Stage 4: Court proceedings (12-24 months if required)</w:t>
      </w:r>
    </w:p>
    <w:p>
      <w:pPr>
        <w:spacing w:before="80" w:after="80"/>
      </w:pPr>
      <w:r>
        <w:rPr>
          <w:rFonts w:ascii="Arial" w:cs="Arial" w:eastAsia="Arial" w:hAnsi="Arial"/>
          <w:sz w:val="22"/>
          <w:szCs w:val="22"/>
        </w:rPr>
        <w:t xml:space="preserve">If agreement cannot be reached, financial remedy proceedings are issued. These typically involve a First Directions Appointment (FDA), a Financial Dispute Resolution hearing (FDR), and if still unresolved, a Final Hearing. Each hearing requires preparation time and may be listed months apart depending on court capacity.</w:t>
      </w:r>
    </w:p>
    <w:p>
      <w:pPr>
        <w:pStyle w:val="Heading2"/>
        <w:spacing w:before="280" w:after="140"/>
      </w:pPr>
      <w:r>
        <w:rPr>
          <w:rFonts w:ascii="Arial" w:cs="Arial" w:eastAsia="Arial" w:hAnsi="Arial"/>
          <w:b/>
          <w:bCs/>
          <w:color w:val="2563a8"/>
          <w:sz w:val="28"/>
          <w:szCs w:val="28"/>
        </w:rPr>
        <w:t xml:space="preserve">Factors That Affect How Long a Financial Settlement Takes</w:t>
      </w:r>
    </w:p>
    <w:p>
      <w:pPr>
        <w:spacing w:before="200" w:after="100"/>
      </w:pPr>
      <w:r>
        <w:rPr>
          <w:rFonts w:ascii="Arial" w:cs="Arial" w:eastAsia="Arial" w:hAnsi="Arial"/>
          <w:b/>
          <w:bCs/>
          <w:color w:val="1a3c5e"/>
          <w:sz w:val="24"/>
          <w:szCs w:val="24"/>
        </w:rPr>
        <w:t xml:space="preserve">Cooperation between parties</w:t>
      </w:r>
    </w:p>
    <w:p>
      <w:pPr>
        <w:spacing w:before="80" w:after="80"/>
      </w:pPr>
      <w:r>
        <w:rPr>
          <w:rFonts w:ascii="Arial" w:cs="Arial" w:eastAsia="Arial" w:hAnsi="Arial"/>
          <w:sz w:val="22"/>
          <w:szCs w:val="22"/>
        </w:rPr>
        <w:t xml:space="preserve">The single largest factor. Couples who communicate openly and engage in good faith are likely to resolve matters far more quickly than those who dispute every issue.</w:t>
      </w:r>
    </w:p>
    <w:p>
      <w:pPr>
        <w:spacing w:before="200" w:after="100"/>
      </w:pPr>
      <w:r>
        <w:rPr>
          <w:rFonts w:ascii="Arial" w:cs="Arial" w:eastAsia="Arial" w:hAnsi="Arial"/>
          <w:b/>
          <w:bCs/>
          <w:color w:val="1a3c5e"/>
          <w:sz w:val="24"/>
          <w:szCs w:val="24"/>
        </w:rPr>
        <w:t xml:space="preserve">Complexity of assets</w:t>
      </w:r>
    </w:p>
    <w:p>
      <w:pPr>
        <w:spacing w:before="80" w:after="80"/>
      </w:pPr>
      <w:r>
        <w:rPr>
          <w:rFonts w:ascii="Arial" w:cs="Arial" w:eastAsia="Arial" w:hAnsi="Arial"/>
          <w:sz w:val="22"/>
          <w:szCs w:val="22"/>
        </w:rPr>
        <w:t xml:space="preserve">Straightforward cases (a house, some savings, and a pension) move faster than those involving business valuations, multiple properties, offshore assets, or complex pension arrangements.</w:t>
      </w:r>
    </w:p>
    <w:p>
      <w:pPr>
        <w:spacing w:before="200" w:after="100"/>
      </w:pPr>
      <w:r>
        <w:rPr>
          <w:rFonts w:ascii="Arial" w:cs="Arial" w:eastAsia="Arial" w:hAnsi="Arial"/>
          <w:b/>
          <w:bCs/>
          <w:color w:val="1a3c5e"/>
          <w:sz w:val="24"/>
          <w:szCs w:val="24"/>
        </w:rPr>
        <w:t xml:space="preserve">Whether children are involved</w:t>
      </w:r>
    </w:p>
    <w:p>
      <w:pPr>
        <w:spacing w:before="80" w:after="80"/>
      </w:pPr>
      <w:r>
        <w:rPr>
          <w:rFonts w:ascii="Arial" w:cs="Arial" w:eastAsia="Arial" w:hAnsi="Arial"/>
          <w:sz w:val="22"/>
          <w:szCs w:val="22"/>
        </w:rPr>
        <w:t xml:space="preserve">Arrangements for children can intertwine with financial settlement — particularly around housing. Establishing a clear parenting arrangement early often helps financial negotiations proceed more smoothly.</w:t>
      </w:r>
    </w:p>
    <w:p>
      <w:pPr>
        <w:spacing w:before="200" w:after="100"/>
      </w:pPr>
      <w:r>
        <w:rPr>
          <w:rFonts w:ascii="Arial" w:cs="Arial" w:eastAsia="Arial" w:hAnsi="Arial"/>
          <w:b/>
          <w:bCs/>
          <w:color w:val="1a3c5e"/>
          <w:sz w:val="24"/>
          <w:szCs w:val="24"/>
        </w:rPr>
        <w:t xml:space="preserve">Court backlogs</w:t>
      </w:r>
    </w:p>
    <w:p>
      <w:pPr>
        <w:spacing w:before="80" w:after="80"/>
      </w:pPr>
      <w:r>
        <w:rPr>
          <w:rFonts w:ascii="Arial" w:cs="Arial" w:eastAsia="Arial" w:hAnsi="Arial"/>
          <w:sz w:val="22"/>
          <w:szCs w:val="22"/>
        </w:rPr>
        <w:t xml:space="preserve">The family court system in England and Wales is under significant pressure. Even straightforward cases can face lengthy waits for hearing dates. This is largely outside your control.</w:t>
      </w:r>
    </w:p>
    <w:p>
      <w:pPr>
        <w:spacing w:before="200" w:after="100"/>
      </w:pPr>
      <w:r>
        <w:rPr>
          <w:rFonts w:ascii="Arial" w:cs="Arial" w:eastAsia="Arial" w:hAnsi="Arial"/>
          <w:b/>
          <w:bCs/>
          <w:color w:val="1a3c5e"/>
          <w:sz w:val="24"/>
          <w:szCs w:val="24"/>
        </w:rPr>
        <w:t xml:space="preserve">Whether litigation is required</w:t>
      </w:r>
    </w:p>
    <w:p>
      <w:pPr>
        <w:spacing w:before="80" w:after="80"/>
      </w:pPr>
      <w:r>
        <w:rPr>
          <w:rFonts w:ascii="Arial" w:cs="Arial" w:eastAsia="Arial" w:hAnsi="Arial"/>
          <w:sz w:val="22"/>
          <w:szCs w:val="22"/>
        </w:rPr>
        <w:t xml:space="preserve">As soon as proceedings are issued, timelines lengthen significantly. The procedural requirements of financial remedy proceedings add months to the process.</w:t>
      </w:r>
    </w:p>
    <w:p>
      <w:pPr>
        <w:pStyle w:val="Heading2"/>
        <w:spacing w:before="280" w:after="140"/>
      </w:pPr>
      <w:r>
        <w:rPr>
          <w:rFonts w:ascii="Arial" w:cs="Arial" w:eastAsia="Arial" w:hAnsi="Arial"/>
          <w:b/>
          <w:bCs/>
          <w:color w:val="2563a8"/>
          <w:sz w:val="28"/>
          <w:szCs w:val="28"/>
        </w:rPr>
        <w:t xml:space="preserve">The Consent Order: Formalising an Agreed Settlement</w:t>
      </w:r>
    </w:p>
    <w:p>
      <w:pPr>
        <w:spacing w:before="80" w:after="80"/>
      </w:pPr>
      <w:r>
        <w:rPr>
          <w:rFonts w:ascii="Arial" w:cs="Arial" w:eastAsia="Arial" w:hAnsi="Arial"/>
          <w:sz w:val="22"/>
          <w:szCs w:val="22"/>
        </w:rPr>
        <w:t xml:space="preserve">If you reach agreement, it must be formalised in a consent order — a court-approved legal document that makes your agreement binding. The court will review it to ensure it is fair and appropriate. This takes 4-8 weeks from submission. Without a consent order, your financial settlement is not legally binding, and future claims remain open.</w:t>
      </w:r>
    </w:p>
    <w:p>
      <w:pPr>
        <w:spacing w:before="80" w:after="80"/>
      </w:pPr>
      <w:r>
        <w:rPr>
          <w:rFonts w:ascii="Arial" w:cs="Arial" w:eastAsia="Arial" w:hAnsi="Arial"/>
          <w:sz w:val="22"/>
          <w:szCs w:val="22"/>
        </w:rPr>
        <w:t xml:space="preserve">Understanding the timeline also means understanding costs. Using a divorce financial settlement calculator early in the process can help you model likely outcomes and decide whether negotiating or litigating makes financial sense.</w:t>
      </w:r>
    </w:p>
    <w:p>
      <w:pPr>
        <w:pStyle w:val="Heading2"/>
        <w:spacing w:before="280" w:after="140"/>
      </w:pPr>
      <w:r>
        <w:rPr>
          <w:rFonts w:ascii="Arial" w:cs="Arial" w:eastAsia="Arial" w:hAnsi="Arial"/>
          <w:b/>
          <w:bCs/>
          <w:color w:val="2563a8"/>
          <w:sz w:val="28"/>
          <w:szCs w:val="28"/>
        </w:rPr>
        <w:t xml:space="preserve">Real-World Example: Two Very Different Timelines</w:t>
      </w:r>
    </w:p>
    <w:p>
      <w:pPr>
        <w:spacing w:before="80" w:after="80"/>
      </w:pPr>
      <w:r>
        <w:rPr>
          <w:rFonts w:ascii="Arial" w:cs="Arial" w:eastAsia="Arial" w:hAnsi="Arial"/>
          <w:sz w:val="22"/>
          <w:szCs w:val="22"/>
        </w:rPr>
        <w:t xml:space="preserve">Couple A agree on a 50/50 split of equity and pension sharing from the outset. They use a mediator, complete disclosure promptly, and submit a consent order. Total time from separation to final order: approximately 8 months.</w:t>
      </w:r>
    </w:p>
    <w:p>
      <w:pPr>
        <w:spacing w:before="80" w:after="80"/>
      </w:pPr>
      <w:r>
        <w:rPr>
          <w:rFonts w:ascii="Arial" w:cs="Arial" w:eastAsia="Arial" w:hAnsi="Arial"/>
          <w:sz w:val="22"/>
          <w:szCs w:val="22"/>
        </w:rPr>
        <w:t xml:space="preserve">Couple B dispute everything. One party delays disclosure, they cannot agree on a house valuation, and pension sharing is contested. The case goes to a final court hearing. Total time: approximately 26 months, with significantly higher legal costs for both.</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Agreed settlements: typically 3-8 months from reaching agreement to court approval</w:t>
      </w:r>
    </w:p>
    <w:p>
      <w:pPr>
        <w:pStyle w:val="ListParagraph"/>
        <w:numPr>
          <w:ilvl w:val="0"/>
          <w:numId w:val="2"/>
        </w:numPr>
        <w:spacing w:before="60" w:after="60"/>
      </w:pPr>
      <w:r>
        <w:rPr>
          <w:rFonts w:ascii="Arial" w:cs="Arial" w:eastAsia="Arial" w:hAnsi="Arial"/>
          <w:sz w:val="22"/>
          <w:szCs w:val="22"/>
        </w:rPr>
        <w:t xml:space="preserve">Contested court proceedings: typically 12-24 months or more</w:t>
      </w:r>
    </w:p>
    <w:p>
      <w:pPr>
        <w:pStyle w:val="ListParagraph"/>
        <w:numPr>
          <w:ilvl w:val="0"/>
          <w:numId w:val="2"/>
        </w:numPr>
        <w:spacing w:before="60" w:after="60"/>
      </w:pPr>
      <w:r>
        <w:rPr>
          <w:rFonts w:ascii="Arial" w:cs="Arial" w:eastAsia="Arial" w:hAnsi="Arial"/>
          <w:sz w:val="22"/>
          <w:szCs w:val="22"/>
        </w:rPr>
        <w:t xml:space="preserve">Full financial disclosure is required and delays here slow everything down</w:t>
      </w:r>
    </w:p>
    <w:p>
      <w:pPr>
        <w:pStyle w:val="ListParagraph"/>
        <w:numPr>
          <w:ilvl w:val="0"/>
          <w:numId w:val="2"/>
        </w:numPr>
        <w:spacing w:before="60" w:after="60"/>
      </w:pPr>
      <w:r>
        <w:rPr>
          <w:rFonts w:ascii="Arial" w:cs="Arial" w:eastAsia="Arial" w:hAnsi="Arial"/>
          <w:sz w:val="22"/>
          <w:szCs w:val="22"/>
        </w:rPr>
        <w:t xml:space="preserve">Mediation is strongly encouraged and can significantly reduce timelines</w:t>
      </w:r>
    </w:p>
    <w:p>
      <w:pPr>
        <w:pStyle w:val="ListParagraph"/>
        <w:numPr>
          <w:ilvl w:val="0"/>
          <w:numId w:val="2"/>
        </w:numPr>
        <w:spacing w:before="60" w:after="60"/>
      </w:pPr>
      <w:r>
        <w:rPr>
          <w:rFonts w:ascii="Arial" w:cs="Arial" w:eastAsia="Arial" w:hAnsi="Arial"/>
          <w:sz w:val="22"/>
          <w:szCs w:val="22"/>
        </w:rPr>
        <w:t xml:space="preserve">A consent order is required to make any agreement legally binding</w:t>
      </w:r>
    </w:p>
    <w:p>
      <w:pPr>
        <w:pStyle w:val="ListParagraph"/>
        <w:numPr>
          <w:ilvl w:val="0"/>
          <w:numId w:val="2"/>
        </w:numPr>
        <w:spacing w:before="60" w:after="60"/>
      </w:pPr>
      <w:r>
        <w:rPr>
          <w:rFonts w:ascii="Arial" w:cs="Arial" w:eastAsia="Arial" w:hAnsi="Arial"/>
          <w:sz w:val="22"/>
          <w:szCs w:val="22"/>
        </w:rPr>
        <w:t xml:space="preserve">Court backlogs in England and Wales can add further delays</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financial claims be made years after divorce?</w:t>
      </w:r>
    </w:p>
    <w:p>
      <w:pPr>
        <w:spacing w:before="80" w:after="80"/>
      </w:pPr>
      <w:r>
        <w:rPr>
          <w:rFonts w:ascii="Arial" w:cs="Arial" w:eastAsia="Arial" w:hAnsi="Arial"/>
          <w:sz w:val="22"/>
          <w:szCs w:val="22"/>
        </w:rPr>
        <w:t xml:space="preserve">Yes — if no consent order or clean break order was made, financial claims can be made many years after divorce. It is critical to have any agreement formalised in a court-approved order.</w:t>
      </w:r>
    </w:p>
    <w:p>
      <w:pPr>
        <w:spacing w:before="200" w:after="100"/>
      </w:pPr>
      <w:r>
        <w:rPr>
          <w:rFonts w:ascii="Arial" w:cs="Arial" w:eastAsia="Arial" w:hAnsi="Arial"/>
          <w:b/>
          <w:bCs/>
          <w:color w:val="1a3c5e"/>
          <w:sz w:val="24"/>
          <w:szCs w:val="24"/>
        </w:rPr>
        <w:t xml:space="preserve">Should I wait for financial settlement before getting my Final Order?</w:t>
      </w:r>
    </w:p>
    <w:p>
      <w:pPr>
        <w:spacing w:before="80" w:after="80"/>
      </w:pPr>
      <w:r>
        <w:rPr>
          <w:rFonts w:ascii="Arial" w:cs="Arial" w:eastAsia="Arial" w:hAnsi="Arial"/>
          <w:sz w:val="22"/>
          <w:szCs w:val="22"/>
        </w:rPr>
        <w:t xml:space="preserve">Most solicitors recommend delaying the Final Order (formerly Decree Absolute) until the financial settlement is resolved, as becoming divorced before a settlement can affect pension rights and other claims.</w:t>
      </w:r>
    </w:p>
    <w:p>
      <w:pPr>
        <w:spacing w:before="200" w:after="100"/>
      </w:pPr>
      <w:r>
        <w:rPr>
          <w:rFonts w:ascii="Arial" w:cs="Arial" w:eastAsia="Arial" w:hAnsi="Arial"/>
          <w:b/>
          <w:bCs/>
          <w:color w:val="1a3c5e"/>
          <w:sz w:val="24"/>
          <w:szCs w:val="24"/>
        </w:rPr>
        <w:t xml:space="preserve">Can mediation speed up financial settlement?</w:t>
      </w:r>
    </w:p>
    <w:p>
      <w:pPr>
        <w:spacing w:before="80" w:after="80"/>
      </w:pPr>
      <w:r>
        <w:rPr>
          <w:rFonts w:ascii="Arial" w:cs="Arial" w:eastAsia="Arial" w:hAnsi="Arial"/>
          <w:sz w:val="22"/>
          <w:szCs w:val="22"/>
        </w:rPr>
        <w:t xml:space="preserve">Yes. A skilled mediator can help parties reach agreement in weeks rather than months. It is generally faster and cheaper than litigation, provided both parties engage in good faith.</w:t>
      </w:r>
    </w:p>
    <w:p>
      <w:pPr>
        <w:spacing w:before="200" w:after="100"/>
      </w:pPr>
      <w:r>
        <w:rPr>
          <w:rFonts w:ascii="Arial" w:cs="Arial" w:eastAsia="Arial" w:hAnsi="Arial"/>
          <w:b/>
          <w:bCs/>
          <w:color w:val="1a3c5e"/>
          <w:sz w:val="24"/>
          <w:szCs w:val="24"/>
        </w:rPr>
        <w:t xml:space="preserve">What is an FDR hearing?</w:t>
      </w:r>
    </w:p>
    <w:p>
      <w:pPr>
        <w:spacing w:before="80" w:after="80"/>
      </w:pPr>
      <w:r>
        <w:rPr>
          <w:rFonts w:ascii="Arial" w:cs="Arial" w:eastAsia="Arial" w:hAnsi="Arial"/>
          <w:sz w:val="22"/>
          <w:szCs w:val="22"/>
        </w:rPr>
        <w:t xml:space="preserve">The Financial Dispute Resolution hearing is a judge-led settlement meeting within the court process. The judge gives a non-binding indication of likely outcome to help parties settle. A significant proportion of contested cases settle at or after the FDR.</w:t>
      </w:r>
    </w:p>
    <w:p>
      <w:pPr>
        <w:spacing w:before="200" w:after="100"/>
      </w:pPr>
      <w:r>
        <w:rPr>
          <w:rFonts w:ascii="Arial" w:cs="Arial" w:eastAsia="Arial" w:hAnsi="Arial"/>
          <w:b/>
          <w:bCs/>
          <w:color w:val="1a3c5e"/>
          <w:sz w:val="24"/>
          <w:szCs w:val="24"/>
        </w:rPr>
        <w:t xml:space="preserve">How long does a consent order take once submitted to court?</w:t>
      </w:r>
    </w:p>
    <w:p>
      <w:pPr>
        <w:spacing w:before="80" w:after="80"/>
      </w:pPr>
      <w:r>
        <w:rPr>
          <w:rFonts w:ascii="Arial" w:cs="Arial" w:eastAsia="Arial" w:hAnsi="Arial"/>
          <w:sz w:val="22"/>
          <w:szCs w:val="22"/>
        </w:rPr>
        <w:t xml:space="preserve">Typically 4-8 weeks, though this varies by court and complexity.</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How Much Maintenance Do You Pay After Divorce UK? A Practical Guide</w:t>
      </w:r>
    </w:p>
    <w:p>
      <w:pPr>
        <w:pStyle w:val="Heading2"/>
        <w:spacing w:before="280" w:after="140"/>
      </w:pPr>
      <w:r>
        <w:rPr>
          <w:rFonts w:ascii="Arial" w:cs="Arial" w:eastAsia="Arial" w:hAnsi="Arial"/>
          <w:b/>
          <w:bCs/>
          <w:color w:val="2563a8"/>
          <w:sz w:val="28"/>
          <w:szCs w:val="28"/>
        </w:rPr>
        <w:t xml:space="preserve">How Much Maintenance Do You Pay After Divorce in the UK?</w:t>
      </w:r>
    </w:p>
    <w:p>
      <w:pPr>
        <w:spacing w:before="80" w:after="80"/>
      </w:pPr>
      <w:r>
        <w:rPr>
          <w:rFonts w:ascii="Arial" w:cs="Arial" w:eastAsia="Arial" w:hAnsi="Arial"/>
          <w:sz w:val="22"/>
          <w:szCs w:val="22"/>
        </w:rPr>
        <w:t xml:space="preserve">How much maintenance do you pay after divorce UK is one of the most searched questions by people going through separation. The answer varies enormously depending on your circumstances. There are two types of maintenance in English divorce law: spousal maintenance (paid between former spouses) and child maintenance (paid for the benefit of children). Both are calculated very differently, and understanding each is essential before entering any financial settlement discussions.</w:t>
      </w:r>
    </w:p>
    <w:p>
      <w:pPr>
        <w:pStyle w:val="Heading2"/>
        <w:spacing w:before="280" w:after="140"/>
      </w:pPr>
      <w:r>
        <w:rPr>
          <w:rFonts w:ascii="Arial" w:cs="Arial" w:eastAsia="Arial" w:hAnsi="Arial"/>
          <w:b/>
          <w:bCs/>
          <w:color w:val="2563a8"/>
          <w:sz w:val="28"/>
          <w:szCs w:val="28"/>
        </w:rPr>
        <w:t xml:space="preserve">Spousal Maintenance: What is it and How is it Calculated?</w:t>
      </w:r>
    </w:p>
    <w:p>
      <w:pPr>
        <w:spacing w:before="80" w:after="80"/>
      </w:pPr>
      <w:r>
        <w:rPr>
          <w:rFonts w:ascii="Arial" w:cs="Arial" w:eastAsia="Arial" w:hAnsi="Arial"/>
          <w:sz w:val="22"/>
          <w:szCs w:val="22"/>
        </w:rPr>
        <w:t xml:space="preserve">Spousal maintenance is a regular payment from one former spouse to the other, designed to meet a shortfall in the financially weaker party's income. It is not automatic — courts award it where there is a demonstrable need that cannot be met any other way.</w:t>
      </w:r>
    </w:p>
    <w:p>
      <w:pPr>
        <w:spacing w:before="200" w:after="100"/>
      </w:pPr>
      <w:r>
        <w:rPr>
          <w:rFonts w:ascii="Arial" w:cs="Arial" w:eastAsia="Arial" w:hAnsi="Arial"/>
          <w:b/>
          <w:bCs/>
          <w:color w:val="1a3c5e"/>
          <w:sz w:val="24"/>
          <w:szCs w:val="24"/>
        </w:rPr>
        <w:t xml:space="preserve">How courts decide spousal maintenance</w:t>
      </w:r>
    </w:p>
    <w:p>
      <w:pPr>
        <w:spacing w:before="80" w:after="80"/>
      </w:pPr>
      <w:r>
        <w:rPr>
          <w:rFonts w:ascii="Arial" w:cs="Arial" w:eastAsia="Arial" w:hAnsi="Arial"/>
          <w:sz w:val="22"/>
          <w:szCs w:val="22"/>
        </w:rPr>
        <w:t xml:space="preserve">Courts look at the same Section 25 factors as for property division:</w:t>
      </w:r>
    </w:p>
    <w:p>
      <w:pPr>
        <w:pStyle w:val="ListParagraph"/>
        <w:numPr>
          <w:ilvl w:val="0"/>
          <w:numId w:val="2"/>
        </w:numPr>
        <w:spacing w:before="60" w:after="60"/>
      </w:pPr>
      <w:r>
        <w:rPr>
          <w:rFonts w:ascii="Arial" w:cs="Arial" w:eastAsia="Arial" w:hAnsi="Arial"/>
          <w:sz w:val="22"/>
          <w:szCs w:val="22"/>
        </w:rPr>
        <w:t xml:space="preserve">Income and earning capacity of each party</w:t>
      </w:r>
    </w:p>
    <w:p>
      <w:pPr>
        <w:pStyle w:val="ListParagraph"/>
        <w:numPr>
          <w:ilvl w:val="0"/>
          <w:numId w:val="2"/>
        </w:numPr>
        <w:spacing w:before="60" w:after="60"/>
      </w:pPr>
      <w:r>
        <w:rPr>
          <w:rFonts w:ascii="Arial" w:cs="Arial" w:eastAsia="Arial" w:hAnsi="Arial"/>
          <w:sz w:val="22"/>
          <w:szCs w:val="22"/>
        </w:rPr>
        <w:t xml:space="preserve">Financial needs and obligations</w:t>
      </w:r>
    </w:p>
    <w:p>
      <w:pPr>
        <w:pStyle w:val="ListParagraph"/>
        <w:numPr>
          <w:ilvl w:val="0"/>
          <w:numId w:val="2"/>
        </w:numPr>
        <w:spacing w:before="60" w:after="60"/>
      </w:pPr>
      <w:r>
        <w:rPr>
          <w:rFonts w:ascii="Arial" w:cs="Arial" w:eastAsia="Arial" w:hAnsi="Arial"/>
          <w:sz w:val="22"/>
          <w:szCs w:val="22"/>
        </w:rPr>
        <w:t xml:space="preserve">Standard of living during the marriage</w:t>
      </w:r>
    </w:p>
    <w:p>
      <w:pPr>
        <w:pStyle w:val="ListParagraph"/>
        <w:numPr>
          <w:ilvl w:val="0"/>
          <w:numId w:val="2"/>
        </w:numPr>
        <w:spacing w:before="60" w:after="60"/>
      </w:pPr>
      <w:r>
        <w:rPr>
          <w:rFonts w:ascii="Arial" w:cs="Arial" w:eastAsia="Arial" w:hAnsi="Arial"/>
          <w:sz w:val="22"/>
          <w:szCs w:val="22"/>
        </w:rPr>
        <w:t xml:space="preserve">Age, health, and length of marriage</w:t>
      </w:r>
    </w:p>
    <w:p>
      <w:pPr>
        <w:pStyle w:val="ListParagraph"/>
        <w:numPr>
          <w:ilvl w:val="0"/>
          <w:numId w:val="2"/>
        </w:numPr>
        <w:spacing w:before="60" w:after="60"/>
      </w:pPr>
      <w:r>
        <w:rPr>
          <w:rFonts w:ascii="Arial" w:cs="Arial" w:eastAsia="Arial" w:hAnsi="Arial"/>
          <w:sz w:val="22"/>
          <w:szCs w:val="22"/>
        </w:rPr>
        <w:t xml:space="preserve">Contributions made, including caring for children or supporting the other's career</w:t>
      </w:r>
    </w:p>
    <w:p>
      <w:pPr>
        <w:spacing w:before="200" w:after="100"/>
      </w:pPr>
      <w:r>
        <w:rPr>
          <w:rFonts w:ascii="Arial" w:cs="Arial" w:eastAsia="Arial" w:hAnsi="Arial"/>
          <w:b/>
          <w:bCs/>
          <w:color w:val="1a3c5e"/>
          <w:sz w:val="24"/>
          <w:szCs w:val="24"/>
        </w:rPr>
        <w:t xml:space="preserve">The 'minimum term' approach</w:t>
      </w:r>
    </w:p>
    <w:p>
      <w:pPr>
        <w:spacing w:before="80" w:after="80"/>
      </w:pPr>
      <w:r>
        <w:rPr>
          <w:rFonts w:ascii="Arial" w:cs="Arial" w:eastAsia="Arial" w:hAnsi="Arial"/>
          <w:sz w:val="22"/>
          <w:szCs w:val="22"/>
        </w:rPr>
        <w:t xml:space="preserve">Courts increasingly favour fixed-term maintenance orders over open-ended ones. The idea is to give the receiving party a period to adjust, upskill, or return to work rather than creating indefinite financial dependency. However, long marriages and cases involving older spouses with limited earning capacity may still result in longer or joint lives orders.</w:t>
      </w:r>
    </w:p>
    <w:p>
      <w:pPr>
        <w:spacing w:before="200" w:after="100"/>
      </w:pPr>
      <w:r>
        <w:rPr>
          <w:rFonts w:ascii="Arial" w:cs="Arial" w:eastAsia="Arial" w:hAnsi="Arial"/>
          <w:b/>
          <w:bCs/>
          <w:color w:val="1a3c5e"/>
          <w:sz w:val="24"/>
          <w:szCs w:val="24"/>
        </w:rPr>
        <w:t xml:space="preserve">How much?</w:t>
      </w:r>
    </w:p>
    <w:p>
      <w:pPr>
        <w:spacing w:before="80" w:after="80"/>
      </w:pPr>
      <w:r>
        <w:rPr>
          <w:rFonts w:ascii="Arial" w:cs="Arial" w:eastAsia="Arial" w:hAnsi="Arial"/>
          <w:sz w:val="22"/>
          <w:szCs w:val="22"/>
        </w:rPr>
        <w:t xml:space="preserve">There is no fixed formula for spousal maintenance. A rough approach is to calculate the 'budget deficit': what the receiving spouse needs to meet their reasonable outgoings, less what they earn (or could earn). The payer is expected to meet approximately half the deficit, though this varies. As a rough illustration:</w:t>
      </w:r>
    </w:p>
    <w:p>
      <w:pPr>
        <w:pStyle w:val="ListParagraph"/>
        <w:numPr>
          <w:ilvl w:val="0"/>
          <w:numId w:val="2"/>
        </w:numPr>
        <w:spacing w:before="60" w:after="60"/>
      </w:pPr>
      <w:r>
        <w:rPr>
          <w:rFonts w:ascii="Arial" w:cs="Arial" w:eastAsia="Arial" w:hAnsi="Arial"/>
          <w:sz w:val="22"/>
          <w:szCs w:val="22"/>
        </w:rPr>
        <w:t xml:space="preserve">Receiving spouse has monthly outgoings of £2,500</w:t>
      </w:r>
    </w:p>
    <w:p>
      <w:pPr>
        <w:pStyle w:val="ListParagraph"/>
        <w:numPr>
          <w:ilvl w:val="0"/>
          <w:numId w:val="2"/>
        </w:numPr>
        <w:spacing w:before="60" w:after="60"/>
      </w:pPr>
      <w:r>
        <w:rPr>
          <w:rFonts w:ascii="Arial" w:cs="Arial" w:eastAsia="Arial" w:hAnsi="Arial"/>
          <w:sz w:val="22"/>
          <w:szCs w:val="22"/>
        </w:rPr>
        <w:t xml:space="preserve">Receiving spouse earns £1,200 per month</w:t>
      </w:r>
    </w:p>
    <w:p>
      <w:pPr>
        <w:pStyle w:val="ListParagraph"/>
        <w:numPr>
          <w:ilvl w:val="0"/>
          <w:numId w:val="2"/>
        </w:numPr>
        <w:spacing w:before="60" w:after="60"/>
      </w:pPr>
      <w:r>
        <w:rPr>
          <w:rFonts w:ascii="Arial" w:cs="Arial" w:eastAsia="Arial" w:hAnsi="Arial"/>
          <w:sz w:val="22"/>
          <w:szCs w:val="22"/>
        </w:rPr>
        <w:t xml:space="preserve">Shortfall: £1,300 per month</w:t>
      </w:r>
    </w:p>
    <w:p>
      <w:pPr>
        <w:pStyle w:val="ListParagraph"/>
        <w:numPr>
          <w:ilvl w:val="0"/>
          <w:numId w:val="2"/>
        </w:numPr>
        <w:spacing w:before="60" w:after="60"/>
      </w:pPr>
      <w:r>
        <w:rPr>
          <w:rFonts w:ascii="Arial" w:cs="Arial" w:eastAsia="Arial" w:hAnsi="Arial"/>
          <w:sz w:val="22"/>
          <w:szCs w:val="22"/>
        </w:rPr>
        <w:t xml:space="preserve">Maintenance might be set at £600-£900 per month, depending on the payer's ability to pay</w:t>
      </w:r>
    </w:p>
    <w:p>
      <w:pPr>
        <w:pStyle w:val="Heading2"/>
        <w:spacing w:before="280" w:after="140"/>
      </w:pPr>
      <w:r>
        <w:rPr>
          <w:rFonts w:ascii="Arial" w:cs="Arial" w:eastAsia="Arial" w:hAnsi="Arial"/>
          <w:b/>
          <w:bCs/>
          <w:color w:val="2563a8"/>
          <w:sz w:val="28"/>
          <w:szCs w:val="28"/>
        </w:rPr>
        <w:t xml:space="preserve">Child Maintenance: How is it Calculated?</w:t>
      </w:r>
    </w:p>
    <w:p>
      <w:pPr>
        <w:spacing w:before="80" w:after="80"/>
      </w:pPr>
      <w:r>
        <w:rPr>
          <w:rFonts w:ascii="Arial" w:cs="Arial" w:eastAsia="Arial" w:hAnsi="Arial"/>
          <w:sz w:val="22"/>
          <w:szCs w:val="22"/>
        </w:rPr>
        <w:t xml:space="preserve">Child maintenance is calculated using the Child Maintenance Service (CMS) formula, which is largely based on the paying parent's gross income. This applies regardless of what any court order might say — the CMS formula takes precedence.</w:t>
      </w:r>
    </w:p>
    <w:p>
      <w:pPr>
        <w:spacing w:before="200" w:after="100"/>
      </w:pPr>
      <w:r>
        <w:rPr>
          <w:rFonts w:ascii="Arial" w:cs="Arial" w:eastAsia="Arial" w:hAnsi="Arial"/>
          <w:b/>
          <w:bCs/>
          <w:color w:val="1a3c5e"/>
          <w:sz w:val="24"/>
          <w:szCs w:val="24"/>
        </w:rPr>
        <w:t xml:space="preserve">CMS basic rates (as of 2024/25):</w:t>
      </w:r>
    </w:p>
    <w:p>
      <w:pPr>
        <w:pStyle w:val="ListParagraph"/>
        <w:numPr>
          <w:ilvl w:val="0"/>
          <w:numId w:val="2"/>
        </w:numPr>
        <w:spacing w:before="60" w:after="60"/>
      </w:pPr>
      <w:r>
        <w:rPr>
          <w:rFonts w:ascii="Arial" w:cs="Arial" w:eastAsia="Arial" w:hAnsi="Arial"/>
          <w:sz w:val="22"/>
          <w:szCs w:val="22"/>
        </w:rPr>
        <w:t xml:space="preserve">12% of gross weekly income for 1 child</w:t>
      </w:r>
    </w:p>
    <w:p>
      <w:pPr>
        <w:pStyle w:val="ListParagraph"/>
        <w:numPr>
          <w:ilvl w:val="0"/>
          <w:numId w:val="2"/>
        </w:numPr>
        <w:spacing w:before="60" w:after="60"/>
      </w:pPr>
      <w:r>
        <w:rPr>
          <w:rFonts w:ascii="Arial" w:cs="Arial" w:eastAsia="Arial" w:hAnsi="Arial"/>
          <w:sz w:val="22"/>
          <w:szCs w:val="22"/>
        </w:rPr>
        <w:t xml:space="preserve">16% for 2 children</w:t>
      </w:r>
    </w:p>
    <w:p>
      <w:pPr>
        <w:pStyle w:val="ListParagraph"/>
        <w:numPr>
          <w:ilvl w:val="0"/>
          <w:numId w:val="2"/>
        </w:numPr>
        <w:spacing w:before="60" w:after="60"/>
      </w:pPr>
      <w:r>
        <w:rPr>
          <w:rFonts w:ascii="Arial" w:cs="Arial" w:eastAsia="Arial" w:hAnsi="Arial"/>
          <w:sz w:val="22"/>
          <w:szCs w:val="22"/>
        </w:rPr>
        <w:t xml:space="preserve">19% for 3 or more children</w:t>
      </w:r>
    </w:p>
    <w:p>
      <w:pPr>
        <w:spacing w:before="80" w:after="80"/>
      </w:pPr>
      <w:r>
        <w:rPr>
          <w:rFonts w:ascii="Arial" w:cs="Arial" w:eastAsia="Arial" w:hAnsi="Arial"/>
          <w:sz w:val="22"/>
          <w:szCs w:val="22"/>
        </w:rPr>
        <w:t xml:space="preserve">These are reduced where the paying parent has overnight stays. For example, if the child stays 1-2 nights per week on average, the standard rate is reduced by one-seventh for each night.</w:t>
      </w:r>
    </w:p>
    <w:p>
      <w:pPr>
        <w:spacing w:before="200" w:after="100"/>
      </w:pPr>
      <w:r>
        <w:rPr>
          <w:rFonts w:ascii="Arial" w:cs="Arial" w:eastAsia="Arial" w:hAnsi="Arial"/>
          <w:b/>
          <w:bCs/>
          <w:color w:val="1a3c5e"/>
          <w:sz w:val="24"/>
          <w:szCs w:val="24"/>
        </w:rPr>
        <w:t xml:space="preserve">Gross income thresholds (2024/25):</w:t>
      </w:r>
    </w:p>
    <w:p>
      <w:pPr>
        <w:pStyle w:val="ListParagraph"/>
        <w:numPr>
          <w:ilvl w:val="0"/>
          <w:numId w:val="2"/>
        </w:numPr>
        <w:spacing w:before="60" w:after="60"/>
      </w:pPr>
      <w:r>
        <w:rPr>
          <w:rFonts w:ascii="Arial" w:cs="Arial" w:eastAsia="Arial" w:hAnsi="Arial"/>
          <w:sz w:val="22"/>
          <w:szCs w:val="22"/>
        </w:rPr>
        <w:t xml:space="preserve">Income below £7 per week: nil rate</w:t>
      </w:r>
    </w:p>
    <w:p>
      <w:pPr>
        <w:pStyle w:val="ListParagraph"/>
        <w:numPr>
          <w:ilvl w:val="0"/>
          <w:numId w:val="2"/>
        </w:numPr>
        <w:spacing w:before="60" w:after="60"/>
      </w:pPr>
      <w:r>
        <w:rPr>
          <w:rFonts w:ascii="Arial" w:cs="Arial" w:eastAsia="Arial" w:hAnsi="Arial"/>
          <w:sz w:val="22"/>
          <w:szCs w:val="22"/>
        </w:rPr>
        <w:t xml:space="preserve">£7-£100 gross weekly: flat rate of £7</w:t>
      </w:r>
    </w:p>
    <w:p>
      <w:pPr>
        <w:pStyle w:val="ListParagraph"/>
        <w:numPr>
          <w:ilvl w:val="0"/>
          <w:numId w:val="2"/>
        </w:numPr>
        <w:spacing w:before="60" w:after="60"/>
      </w:pPr>
      <w:r>
        <w:rPr>
          <w:rFonts w:ascii="Arial" w:cs="Arial" w:eastAsia="Arial" w:hAnsi="Arial"/>
          <w:sz w:val="22"/>
          <w:szCs w:val="22"/>
        </w:rPr>
        <w:t xml:space="preserve">£100.01-£200 gross weekly: reduced rate (25%-35% of gross income depending on number of children)</w:t>
      </w:r>
    </w:p>
    <w:p>
      <w:pPr>
        <w:pStyle w:val="ListParagraph"/>
        <w:numPr>
          <w:ilvl w:val="0"/>
          <w:numId w:val="2"/>
        </w:numPr>
        <w:spacing w:before="60" w:after="60"/>
      </w:pPr>
      <w:r>
        <w:rPr>
          <w:rFonts w:ascii="Arial" w:cs="Arial" w:eastAsia="Arial" w:hAnsi="Arial"/>
          <w:sz w:val="22"/>
          <w:szCs w:val="22"/>
        </w:rPr>
        <w:t xml:space="preserve">Above £200 gross weekly: standard rate applies (percentages above)</w:t>
      </w:r>
    </w:p>
    <w:p>
      <w:pPr>
        <w:pStyle w:val="ListParagraph"/>
        <w:numPr>
          <w:ilvl w:val="0"/>
          <w:numId w:val="2"/>
        </w:numPr>
        <w:spacing w:before="60" w:after="60"/>
      </w:pPr>
      <w:r>
        <w:rPr>
          <w:rFonts w:ascii="Arial" w:cs="Arial" w:eastAsia="Arial" w:hAnsi="Arial"/>
          <w:sz w:val="22"/>
          <w:szCs w:val="22"/>
        </w:rPr>
        <w:t xml:space="preserve">Income above £3,000 gross weekly (approx. £156,000 per year): CMS will not calculate above this; top-up maintenance can be applied for through court</w:t>
      </w:r>
    </w:p>
    <w:p>
      <w:pPr>
        <w:pStyle w:val="Heading2"/>
        <w:spacing w:before="280" w:after="140"/>
      </w:pPr>
      <w:r>
        <w:rPr>
          <w:rFonts w:ascii="Arial" w:cs="Arial" w:eastAsia="Arial" w:hAnsi="Arial"/>
          <w:b/>
          <w:bCs/>
          <w:color w:val="2563a8"/>
          <w:sz w:val="28"/>
          <w:szCs w:val="28"/>
        </w:rPr>
        <w:t xml:space="preserve">Child Maintenance vs Spousal Maintenance: Key Differences</w:t>
      </w:r>
    </w:p>
    <w:p>
      <w:pPr>
        <w:pStyle w:val="ListParagraph"/>
        <w:numPr>
          <w:ilvl w:val="0"/>
          <w:numId w:val="2"/>
        </w:numPr>
        <w:spacing w:before="60" w:after="60"/>
      </w:pPr>
      <w:r>
        <w:rPr>
          <w:rFonts w:ascii="Arial" w:cs="Arial" w:eastAsia="Arial" w:hAnsi="Arial"/>
          <w:sz w:val="22"/>
          <w:szCs w:val="22"/>
        </w:rPr>
        <w:t xml:space="preserve">Child maintenance is always for the benefit of the child and is calculated by CMS formula</w:t>
      </w:r>
    </w:p>
    <w:p>
      <w:pPr>
        <w:pStyle w:val="ListParagraph"/>
        <w:numPr>
          <w:ilvl w:val="0"/>
          <w:numId w:val="2"/>
        </w:numPr>
        <w:spacing w:before="60" w:after="60"/>
      </w:pPr>
      <w:r>
        <w:rPr>
          <w:rFonts w:ascii="Arial" w:cs="Arial" w:eastAsia="Arial" w:hAnsi="Arial"/>
          <w:sz w:val="22"/>
          <w:szCs w:val="22"/>
        </w:rPr>
        <w:t xml:space="preserve">Spousal maintenance is between the adults and requires court consideration of all circumstances</w:t>
      </w:r>
    </w:p>
    <w:p>
      <w:pPr>
        <w:pStyle w:val="ListParagraph"/>
        <w:numPr>
          <w:ilvl w:val="0"/>
          <w:numId w:val="2"/>
        </w:numPr>
        <w:spacing w:before="60" w:after="60"/>
      </w:pPr>
      <w:r>
        <w:rPr>
          <w:rFonts w:ascii="Arial" w:cs="Arial" w:eastAsia="Arial" w:hAnsi="Arial"/>
          <w:sz w:val="22"/>
          <w:szCs w:val="22"/>
        </w:rPr>
        <w:t xml:space="preserve">Child maintenance can only be varied by CMS or court; spousal maintenance orders can be varied by agreement or court application</w:t>
      </w:r>
    </w:p>
    <w:p>
      <w:pPr>
        <w:pStyle w:val="ListParagraph"/>
        <w:numPr>
          <w:ilvl w:val="0"/>
          <w:numId w:val="2"/>
        </w:numPr>
        <w:spacing w:before="60" w:after="60"/>
      </w:pPr>
      <w:r>
        <w:rPr>
          <w:rFonts w:ascii="Arial" w:cs="Arial" w:eastAsia="Arial" w:hAnsi="Arial"/>
          <w:sz w:val="22"/>
          <w:szCs w:val="22"/>
        </w:rPr>
        <w:t xml:space="preserve">Spousal maintenance can be capitalised (replaced by a lump sum payment)</w:t>
      </w:r>
    </w:p>
    <w:p>
      <w:pPr>
        <w:pStyle w:val="Heading2"/>
        <w:spacing w:before="280" w:after="140"/>
      </w:pPr>
      <w:r>
        <w:rPr>
          <w:rFonts w:ascii="Arial" w:cs="Arial" w:eastAsia="Arial" w:hAnsi="Arial"/>
          <w:b/>
          <w:bCs/>
          <w:color w:val="2563a8"/>
          <w:sz w:val="28"/>
          <w:szCs w:val="28"/>
        </w:rPr>
        <w:t xml:space="preserve">Can Maintenance be Avoided or Capped?</w:t>
      </w:r>
    </w:p>
    <w:p>
      <w:pPr>
        <w:spacing w:before="80" w:after="80"/>
      </w:pPr>
      <w:r>
        <w:rPr>
          <w:rFonts w:ascii="Arial" w:cs="Arial" w:eastAsia="Arial" w:hAnsi="Arial"/>
          <w:sz w:val="22"/>
          <w:szCs w:val="22"/>
        </w:rPr>
        <w:t xml:space="preserve">A clean break order can terminate spousal maintenance claims — either immediately or following a fixed-term maintenance period. This is often achieved by one party receiving a larger share of assets (such as equity in the property) in lieu of ongoing maintenance. This is known as capitalisation of maintenance.</w:t>
      </w:r>
    </w:p>
    <w:p>
      <w:pPr>
        <w:spacing w:before="80" w:after="80"/>
      </w:pPr>
      <w:r>
        <w:rPr>
          <w:rFonts w:ascii="Arial" w:cs="Arial" w:eastAsia="Arial" w:hAnsi="Arial"/>
          <w:sz w:val="22"/>
          <w:szCs w:val="22"/>
        </w:rPr>
        <w:t xml:space="preserve">Using a divorce financial settlement calculator that includes maintenance modelling helps you compare the long-term value of a clean break lump sum against ongoing monthly payments — a critical calculation before agreeing to any settlement.</w:t>
      </w:r>
    </w:p>
    <w:p>
      <w:pPr>
        <w:pStyle w:val="Heading2"/>
        <w:spacing w:before="280" w:after="140"/>
      </w:pPr>
      <w:r>
        <w:rPr>
          <w:rFonts w:ascii="Arial" w:cs="Arial" w:eastAsia="Arial" w:hAnsi="Arial"/>
          <w:b/>
          <w:bCs/>
          <w:color w:val="2563a8"/>
          <w:sz w:val="28"/>
          <w:szCs w:val="28"/>
        </w:rPr>
        <w:t xml:space="preserve">Real-World Example: Calculating Maintenance</w:t>
      </w:r>
    </w:p>
    <w:p>
      <w:pPr>
        <w:spacing w:before="80" w:after="80"/>
      </w:pPr>
      <w:r>
        <w:rPr>
          <w:rFonts w:ascii="Arial" w:cs="Arial" w:eastAsia="Arial" w:hAnsi="Arial"/>
          <w:sz w:val="22"/>
          <w:szCs w:val="22"/>
        </w:rPr>
        <w:t xml:space="preserve">Emma and Tom separate after a 12-year marriage. Emma earns £18,000 per year. Tom earns £55,000. They have two children who live primarily with Emma. Tom pays child maintenance: 16% of his gross weekly income = approximately £169 per week. Emma also seeks spousal maintenance. After considering Emma's outgoings and earning capacity, the court awards £400 per month for 4 years, by which point their youngest will be in secondary school and Emma is expected to increase her hours.</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Spousal maintenance is needs-based — no automatic formula; courts assess all circumstances</w:t>
      </w:r>
    </w:p>
    <w:p>
      <w:pPr>
        <w:pStyle w:val="ListParagraph"/>
        <w:numPr>
          <w:ilvl w:val="0"/>
          <w:numId w:val="2"/>
        </w:numPr>
        <w:spacing w:before="60" w:after="60"/>
      </w:pPr>
      <w:r>
        <w:rPr>
          <w:rFonts w:ascii="Arial" w:cs="Arial" w:eastAsia="Arial" w:hAnsi="Arial"/>
          <w:sz w:val="22"/>
          <w:szCs w:val="22"/>
        </w:rPr>
        <w:t xml:space="preserve">Child maintenance is formula-based — CMS rates apply based on gross income</w:t>
      </w:r>
    </w:p>
    <w:p>
      <w:pPr>
        <w:pStyle w:val="ListParagraph"/>
        <w:numPr>
          <w:ilvl w:val="0"/>
          <w:numId w:val="2"/>
        </w:numPr>
        <w:spacing w:before="60" w:after="60"/>
      </w:pPr>
      <w:r>
        <w:rPr>
          <w:rFonts w:ascii="Arial" w:cs="Arial" w:eastAsia="Arial" w:hAnsi="Arial"/>
          <w:sz w:val="22"/>
          <w:szCs w:val="22"/>
        </w:rPr>
        <w:t xml:space="preserve">Fixed-term maintenance orders are increasingly preferred over open-ended ones</w:t>
      </w:r>
    </w:p>
    <w:p>
      <w:pPr>
        <w:pStyle w:val="ListParagraph"/>
        <w:numPr>
          <w:ilvl w:val="0"/>
          <w:numId w:val="2"/>
        </w:numPr>
        <w:spacing w:before="60" w:after="60"/>
      </w:pPr>
      <w:r>
        <w:rPr>
          <w:rFonts w:ascii="Arial" w:cs="Arial" w:eastAsia="Arial" w:hAnsi="Arial"/>
          <w:sz w:val="22"/>
          <w:szCs w:val="22"/>
        </w:rPr>
        <w:t xml:space="preserve">A clean break order can end all spousal maintenance claims permanently</w:t>
      </w:r>
    </w:p>
    <w:p>
      <w:pPr>
        <w:pStyle w:val="ListParagraph"/>
        <w:numPr>
          <w:ilvl w:val="0"/>
          <w:numId w:val="2"/>
        </w:numPr>
        <w:spacing w:before="60" w:after="60"/>
      </w:pPr>
      <w:r>
        <w:rPr>
          <w:rFonts w:ascii="Arial" w:cs="Arial" w:eastAsia="Arial" w:hAnsi="Arial"/>
          <w:sz w:val="22"/>
          <w:szCs w:val="22"/>
        </w:rPr>
        <w:t xml:space="preserve">CMS handles child maintenance disputes; spousal maintenance disputes go to court</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How long do you have to pay spousal maintenance after divorce?</w:t>
      </w:r>
    </w:p>
    <w:p>
      <w:pPr>
        <w:spacing w:before="80" w:after="80"/>
      </w:pPr>
      <w:r>
        <w:rPr>
          <w:rFonts w:ascii="Arial" w:cs="Arial" w:eastAsia="Arial" w:hAnsi="Arial"/>
          <w:sz w:val="22"/>
          <w:szCs w:val="22"/>
        </w:rPr>
        <w:t xml:space="preserve">There is no fixed period. Courts award maintenance for as long as necessary, which could be a few years (fixed term) or for the rest of the recipient's life (joint lives order) in longer marriages. The trend is towards shorter fixed-term orders where possible.</w:t>
      </w:r>
    </w:p>
    <w:p>
      <w:pPr>
        <w:spacing w:before="200" w:after="100"/>
      </w:pPr>
      <w:r>
        <w:rPr>
          <w:rFonts w:ascii="Arial" w:cs="Arial" w:eastAsia="Arial" w:hAnsi="Arial"/>
          <w:b/>
          <w:bCs/>
          <w:color w:val="1a3c5e"/>
          <w:sz w:val="24"/>
          <w:szCs w:val="24"/>
        </w:rPr>
        <w:t xml:space="preserve">Does spousal maintenance stop if I remarry?</w:t>
      </w:r>
    </w:p>
    <w:p>
      <w:pPr>
        <w:spacing w:before="80" w:after="80"/>
      </w:pPr>
      <w:r>
        <w:rPr>
          <w:rFonts w:ascii="Arial" w:cs="Arial" w:eastAsia="Arial" w:hAnsi="Arial"/>
          <w:sz w:val="22"/>
          <w:szCs w:val="22"/>
        </w:rPr>
        <w:t xml:space="preserve">Yes — spousal maintenance automatically terminates on the receiving party's remarriage. It does not automatically stop if they cohabit, though the payer can apply to court to vary or end the order on the grounds of a substantial change in circumstances.</w:t>
      </w:r>
    </w:p>
    <w:p>
      <w:pPr>
        <w:spacing w:before="200" w:after="100"/>
      </w:pPr>
      <w:r>
        <w:rPr>
          <w:rFonts w:ascii="Arial" w:cs="Arial" w:eastAsia="Arial" w:hAnsi="Arial"/>
          <w:b/>
          <w:bCs/>
          <w:color w:val="1a3c5e"/>
          <w:sz w:val="24"/>
          <w:szCs w:val="24"/>
        </w:rPr>
        <w:t xml:space="preserve">Can child maintenance be agreed privately without using CMS?</w:t>
      </w:r>
    </w:p>
    <w:p>
      <w:pPr>
        <w:spacing w:before="80" w:after="80"/>
      </w:pPr>
      <w:r>
        <w:rPr>
          <w:rFonts w:ascii="Arial" w:cs="Arial" w:eastAsia="Arial" w:hAnsi="Arial"/>
          <w:sz w:val="22"/>
          <w:szCs w:val="22"/>
        </w:rPr>
        <w:t xml:space="preserve">Yes — a 'family-based arrangement' between parents is permitted. However, if it breaks down, either party can apply to CMS. Any private court order for child maintenance becomes ineffective after 12 months if either party applies to CMS.</w:t>
      </w:r>
    </w:p>
    <w:p>
      <w:pPr>
        <w:spacing w:before="200" w:after="100"/>
      </w:pPr>
      <w:r>
        <w:rPr>
          <w:rFonts w:ascii="Arial" w:cs="Arial" w:eastAsia="Arial" w:hAnsi="Arial"/>
          <w:b/>
          <w:bCs/>
          <w:color w:val="1a3c5e"/>
          <w:sz w:val="24"/>
          <w:szCs w:val="24"/>
        </w:rPr>
        <w:t xml:space="preserve">What if the paying parent has a new partner?</w:t>
      </w:r>
    </w:p>
    <w:p>
      <w:pPr>
        <w:spacing w:before="80" w:after="80"/>
      </w:pPr>
      <w:r>
        <w:rPr>
          <w:rFonts w:ascii="Arial" w:cs="Arial" w:eastAsia="Arial" w:hAnsi="Arial"/>
          <w:sz w:val="22"/>
          <w:szCs w:val="22"/>
        </w:rPr>
        <w:t xml:space="preserve">A new partner's income is not directly taken into account in child maintenance calculations. However, if a payer's outgoings have reduced because they share costs with a new partner, this is a contextual factor courts may consider in spousal maintenance variation hearings.</w:t>
      </w:r>
    </w:p>
    <w:p>
      <w:pPr>
        <w:spacing w:before="200" w:after="100"/>
      </w:pPr>
      <w:r>
        <w:rPr>
          <w:rFonts w:ascii="Arial" w:cs="Arial" w:eastAsia="Arial" w:hAnsi="Arial"/>
          <w:b/>
          <w:bCs/>
          <w:color w:val="1a3c5e"/>
          <w:sz w:val="24"/>
          <w:szCs w:val="24"/>
        </w:rPr>
        <w:t xml:space="preserve">Can maintenance be changed after it is agreed?</w:t>
      </w:r>
    </w:p>
    <w:p>
      <w:pPr>
        <w:spacing w:before="80" w:after="80"/>
      </w:pPr>
      <w:r>
        <w:rPr>
          <w:rFonts w:ascii="Arial" w:cs="Arial" w:eastAsia="Arial" w:hAnsi="Arial"/>
          <w:sz w:val="22"/>
          <w:szCs w:val="22"/>
        </w:rPr>
        <w:t xml:space="preserve">Yes. Both spousal and child maintenance orders can be varied if there is a material change in circumstances — such as a significant change in income, the recipient's remarriage, or changes to childcare arrangements.</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2026-03-18T22:59:45.503Z</dcterms:created>
  <dcterms:modified xsi:type="dcterms:W3CDTF">2026-03-18T22:59:45.504Z</dcterms:modified>
</cp:coreProperties>
</file>

<file path=docProps/custom.xml><?xml version="1.0" encoding="utf-8"?>
<Properties xmlns="http://schemas.openxmlformats.org/officeDocument/2006/custom-properties" xmlns:vt="http://schemas.openxmlformats.org/officeDocument/2006/docPropsVTypes"/>
</file>