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Arial" w:cs="Arial" w:eastAsia="Arial" w:hAnsi="Arial"/>
          <w:b/>
          <w:bCs/>
          <w:color w:val="1a3c5e"/>
          <w:sz w:val="36"/>
          <w:szCs w:val="36"/>
        </w:rPr>
        <w:t xml:space="preserve">What is a Consent Order in UK Divorce? A Plain-English Guide</w:t>
      </w:r>
    </w:p>
    <w:p>
      <w:pPr>
        <w:pStyle w:val="Heading2"/>
        <w:spacing w:before="280" w:after="140"/>
      </w:pPr>
      <w:r>
        <w:rPr>
          <w:rFonts w:ascii="Arial" w:cs="Arial" w:eastAsia="Arial" w:hAnsi="Arial"/>
          <w:b/>
          <w:bCs/>
          <w:color w:val="2563a8"/>
          <w:sz w:val="28"/>
          <w:szCs w:val="28"/>
        </w:rPr>
        <w:t xml:space="preserve">What is a Consent Order UK Divorce?</w:t>
      </w:r>
    </w:p>
    <w:p>
      <w:pPr>
        <w:spacing w:before="80" w:after="80"/>
      </w:pPr>
      <w:r>
        <w:rPr>
          <w:rFonts w:ascii="Arial" w:cs="Arial" w:eastAsia="Arial" w:hAnsi="Arial"/>
          <w:sz w:val="22"/>
          <w:szCs w:val="22"/>
        </w:rPr>
        <w:t xml:space="preserve">A consent order is a legally binding court document that formally records your financial agreement with your spouse following divorce. In UK divorce proceedings — specifically in England and Wales — a consent order is the mechanism that turns a private agreement into an enforceable court order. Without one, your financial settlement has no legal force, and your ex-spouse could make further financial claims against you in the future.</w:t>
      </w:r>
    </w:p>
    <w:p>
      <w:pPr>
        <w:pStyle w:val="Heading2"/>
        <w:spacing w:before="280" w:after="140"/>
      </w:pPr>
      <w:r>
        <w:rPr>
          <w:rFonts w:ascii="Arial" w:cs="Arial" w:eastAsia="Arial" w:hAnsi="Arial"/>
          <w:b/>
          <w:bCs/>
          <w:color w:val="2563a8"/>
          <w:sz w:val="28"/>
          <w:szCs w:val="28"/>
        </w:rPr>
        <w:t xml:space="preserve">Why is a Consent Order Necessary?</w:t>
      </w:r>
    </w:p>
    <w:p>
      <w:pPr>
        <w:spacing w:before="80" w:after="80"/>
      </w:pPr>
      <w:r>
        <w:rPr>
          <w:rFonts w:ascii="Arial" w:cs="Arial" w:eastAsia="Arial" w:hAnsi="Arial"/>
          <w:sz w:val="22"/>
          <w:szCs w:val="22"/>
        </w:rPr>
        <w:t xml:space="preserve">Many couples agree on how to divide their finances without going to court — and that is a good outcome. But an agreement made between solicitors, written down in correspondence, or even signed by both parties is not legally binding in the context of divorce law. Only a court-approved consent order creates the legal certainty needed to:</w:t>
      </w:r>
    </w:p>
    <w:p>
      <w:pPr>
        <w:pStyle w:val="ListParagraph"/>
        <w:numPr>
          <w:ilvl w:val="0"/>
          <w:numId w:val="2"/>
        </w:numPr>
        <w:spacing w:before="60" w:after="60"/>
      </w:pPr>
      <w:r>
        <w:rPr>
          <w:rFonts w:ascii="Arial" w:cs="Arial" w:eastAsia="Arial" w:hAnsi="Arial"/>
          <w:sz w:val="22"/>
          <w:szCs w:val="22"/>
        </w:rPr>
        <w:t xml:space="preserve">Prevent future financial claims after divorce</w:t>
      </w:r>
    </w:p>
    <w:p>
      <w:pPr>
        <w:pStyle w:val="ListParagraph"/>
        <w:numPr>
          <w:ilvl w:val="0"/>
          <w:numId w:val="2"/>
        </w:numPr>
        <w:spacing w:before="60" w:after="60"/>
      </w:pPr>
      <w:r>
        <w:rPr>
          <w:rFonts w:ascii="Arial" w:cs="Arial" w:eastAsia="Arial" w:hAnsi="Arial"/>
          <w:sz w:val="22"/>
          <w:szCs w:val="22"/>
        </w:rPr>
        <w:t xml:space="preserve">Enable a clean break between the parties</w:t>
      </w:r>
    </w:p>
    <w:p>
      <w:pPr>
        <w:pStyle w:val="ListParagraph"/>
        <w:numPr>
          <w:ilvl w:val="0"/>
          <w:numId w:val="2"/>
        </w:numPr>
        <w:spacing w:before="60" w:after="60"/>
      </w:pPr>
      <w:r>
        <w:rPr>
          <w:rFonts w:ascii="Arial" w:cs="Arial" w:eastAsia="Arial" w:hAnsi="Arial"/>
          <w:sz w:val="22"/>
          <w:szCs w:val="22"/>
        </w:rPr>
        <w:t xml:space="preserve">Allow property transfers and pension sharing orders to be implemented</w:t>
      </w:r>
    </w:p>
    <w:p>
      <w:pPr>
        <w:pStyle w:val="ListParagraph"/>
        <w:numPr>
          <w:ilvl w:val="0"/>
          <w:numId w:val="2"/>
        </w:numPr>
        <w:spacing w:before="60" w:after="60"/>
      </w:pPr>
      <w:r>
        <w:rPr>
          <w:rFonts w:ascii="Arial" w:cs="Arial" w:eastAsia="Arial" w:hAnsi="Arial"/>
          <w:sz w:val="22"/>
          <w:szCs w:val="22"/>
        </w:rPr>
        <w:t xml:space="preserve">Protect both parties from any change of circumstances</w:t>
      </w:r>
    </w:p>
    <w:p>
      <w:pPr>
        <w:spacing w:before="80" w:after="80"/>
      </w:pPr>
      <w:r>
        <w:rPr>
          <w:rFonts w:ascii="Arial" w:cs="Arial" w:eastAsia="Arial" w:hAnsi="Arial"/>
          <w:sz w:val="22"/>
          <w:szCs w:val="22"/>
        </w:rPr>
        <w:t xml:space="preserve">Without a consent order, even years after your divorce is finalised, your ex-spouse could return to court and make financial claims against you — claims that may succeed if your circumstances have changed.</w:t>
      </w:r>
    </w:p>
    <w:p>
      <w:pPr>
        <w:pStyle w:val="Heading2"/>
        <w:spacing w:before="280" w:after="140"/>
      </w:pPr>
      <w:r>
        <w:rPr>
          <w:rFonts w:ascii="Arial" w:cs="Arial" w:eastAsia="Arial" w:hAnsi="Arial"/>
          <w:b/>
          <w:bCs/>
          <w:color w:val="2563a8"/>
          <w:sz w:val="28"/>
          <w:szCs w:val="28"/>
        </w:rPr>
        <w:t xml:space="preserve">What Does a Consent Order Include?</w:t>
      </w:r>
    </w:p>
    <w:p>
      <w:pPr>
        <w:spacing w:before="80" w:after="80"/>
      </w:pPr>
      <w:r>
        <w:rPr>
          <w:rFonts w:ascii="Arial" w:cs="Arial" w:eastAsia="Arial" w:hAnsi="Arial"/>
          <w:sz w:val="22"/>
          <w:szCs w:val="22"/>
        </w:rPr>
        <w:t xml:space="preserve">A consent order can cover any element of the financial settlement, including:</w:t>
      </w:r>
    </w:p>
    <w:p>
      <w:pPr>
        <w:pStyle w:val="ListParagraph"/>
        <w:numPr>
          <w:ilvl w:val="0"/>
          <w:numId w:val="2"/>
        </w:numPr>
        <w:spacing w:before="60" w:after="60"/>
      </w:pPr>
      <w:r>
        <w:rPr>
          <w:rFonts w:ascii="Arial" w:cs="Arial" w:eastAsia="Arial" w:hAnsi="Arial"/>
          <w:sz w:val="22"/>
          <w:szCs w:val="22"/>
        </w:rPr>
        <w:t xml:space="preserve">Property division — who gets the family home and on what terms</w:t>
      </w:r>
    </w:p>
    <w:p>
      <w:pPr>
        <w:pStyle w:val="ListParagraph"/>
        <w:numPr>
          <w:ilvl w:val="0"/>
          <w:numId w:val="2"/>
        </w:numPr>
        <w:spacing w:before="60" w:after="60"/>
      </w:pPr>
      <w:r>
        <w:rPr>
          <w:rFonts w:ascii="Arial" w:cs="Arial" w:eastAsia="Arial" w:hAnsi="Arial"/>
          <w:sz w:val="22"/>
          <w:szCs w:val="22"/>
        </w:rPr>
        <w:t xml:space="preserve">Mortgage transfers or sale of property</w:t>
      </w:r>
    </w:p>
    <w:p>
      <w:pPr>
        <w:pStyle w:val="ListParagraph"/>
        <w:numPr>
          <w:ilvl w:val="0"/>
          <w:numId w:val="2"/>
        </w:numPr>
        <w:spacing w:before="60" w:after="60"/>
      </w:pPr>
      <w:r>
        <w:rPr>
          <w:rFonts w:ascii="Arial" w:cs="Arial" w:eastAsia="Arial" w:hAnsi="Arial"/>
          <w:sz w:val="22"/>
          <w:szCs w:val="22"/>
        </w:rPr>
        <w:t xml:space="preserve">Pension sharing or pension attachment orders</w:t>
      </w:r>
    </w:p>
    <w:p>
      <w:pPr>
        <w:pStyle w:val="ListParagraph"/>
        <w:numPr>
          <w:ilvl w:val="0"/>
          <w:numId w:val="2"/>
        </w:numPr>
        <w:spacing w:before="60" w:after="60"/>
      </w:pPr>
      <w:r>
        <w:rPr>
          <w:rFonts w:ascii="Arial" w:cs="Arial" w:eastAsia="Arial" w:hAnsi="Arial"/>
          <w:sz w:val="22"/>
          <w:szCs w:val="22"/>
        </w:rPr>
        <w:t xml:space="preserve">Lump sum payments between the parties</w:t>
      </w:r>
    </w:p>
    <w:p>
      <w:pPr>
        <w:pStyle w:val="ListParagraph"/>
        <w:numPr>
          <w:ilvl w:val="0"/>
          <w:numId w:val="2"/>
        </w:numPr>
        <w:spacing w:before="60" w:after="60"/>
      </w:pPr>
      <w:r>
        <w:rPr>
          <w:rFonts w:ascii="Arial" w:cs="Arial" w:eastAsia="Arial" w:hAnsi="Arial"/>
          <w:sz w:val="22"/>
          <w:szCs w:val="22"/>
        </w:rPr>
        <w:t xml:space="preserve">Spousal maintenance (including how long it will be paid)</w:t>
      </w:r>
    </w:p>
    <w:p>
      <w:pPr>
        <w:pStyle w:val="ListParagraph"/>
        <w:numPr>
          <w:ilvl w:val="0"/>
          <w:numId w:val="2"/>
        </w:numPr>
        <w:spacing w:before="60" w:after="60"/>
      </w:pPr>
      <w:r>
        <w:rPr>
          <w:rFonts w:ascii="Arial" w:cs="Arial" w:eastAsia="Arial" w:hAnsi="Arial"/>
          <w:sz w:val="22"/>
          <w:szCs w:val="22"/>
        </w:rPr>
        <w:t xml:space="preserve">A clean break clause — preventing any further financial claims</w:t>
      </w:r>
    </w:p>
    <w:p>
      <w:pPr>
        <w:pStyle w:val="ListParagraph"/>
        <w:numPr>
          <w:ilvl w:val="0"/>
          <w:numId w:val="2"/>
        </w:numPr>
        <w:spacing w:before="60" w:after="60"/>
      </w:pPr>
      <w:r>
        <w:rPr>
          <w:rFonts w:ascii="Arial" w:cs="Arial" w:eastAsia="Arial" w:hAnsi="Arial"/>
          <w:sz w:val="22"/>
          <w:szCs w:val="22"/>
        </w:rPr>
        <w:t xml:space="preserve">Child-related financial arrangements (where appropriate)</w:t>
      </w:r>
    </w:p>
    <w:p>
      <w:pPr>
        <w:pStyle w:val="Heading2"/>
        <w:spacing w:before="280" w:after="140"/>
      </w:pPr>
      <w:r>
        <w:rPr>
          <w:rFonts w:ascii="Arial" w:cs="Arial" w:eastAsia="Arial" w:hAnsi="Arial"/>
          <w:b/>
          <w:bCs/>
          <w:color w:val="2563a8"/>
          <w:sz w:val="28"/>
          <w:szCs w:val="28"/>
        </w:rPr>
        <w:t xml:space="preserve">How to Get a Consent Order</w:t>
      </w:r>
    </w:p>
    <w:p>
      <w:pPr>
        <w:spacing w:before="200" w:after="100"/>
      </w:pPr>
      <w:r>
        <w:rPr>
          <w:rFonts w:ascii="Arial" w:cs="Arial" w:eastAsia="Arial" w:hAnsi="Arial"/>
          <w:b/>
          <w:bCs/>
          <w:color w:val="1a3c5e"/>
          <w:sz w:val="24"/>
          <w:szCs w:val="24"/>
        </w:rPr>
        <w:t xml:space="preserve">Step 1: Reach agreement</w:t>
      </w:r>
    </w:p>
    <w:p>
      <w:pPr>
        <w:spacing w:before="80" w:after="80"/>
      </w:pPr>
      <w:r>
        <w:rPr>
          <w:rFonts w:ascii="Arial" w:cs="Arial" w:eastAsia="Arial" w:hAnsi="Arial"/>
          <w:sz w:val="22"/>
          <w:szCs w:val="22"/>
        </w:rPr>
        <w:t xml:space="preserve">Both parties must agree on the terms. This is typically done through solicitor negotiation, mediation, or direct discussion. The terms of the agreement are the foundation of the consent order.</w:t>
      </w:r>
    </w:p>
    <w:p>
      <w:pPr>
        <w:spacing w:before="200" w:after="100"/>
      </w:pPr>
      <w:r>
        <w:rPr>
          <w:rFonts w:ascii="Arial" w:cs="Arial" w:eastAsia="Arial" w:hAnsi="Arial"/>
          <w:b/>
          <w:bCs/>
          <w:color w:val="1a3c5e"/>
          <w:sz w:val="24"/>
          <w:szCs w:val="24"/>
        </w:rPr>
        <w:t xml:space="preserve">Step 2: Instruct a solicitor to draft the order</w:t>
      </w:r>
    </w:p>
    <w:p>
      <w:pPr>
        <w:spacing w:before="80" w:after="80"/>
      </w:pPr>
      <w:r>
        <w:rPr>
          <w:rFonts w:ascii="Arial" w:cs="Arial" w:eastAsia="Arial" w:hAnsi="Arial"/>
          <w:sz w:val="22"/>
          <w:szCs w:val="22"/>
        </w:rPr>
        <w:t xml:space="preserve">A consent order must be drafted in the correct legal format. Most solicitors offer this service, and some specialist online divorce services offer consent order drafting at a lower cost. Both parties should ideally have independent legal advice before signing.</w:t>
      </w:r>
    </w:p>
    <w:p>
      <w:pPr>
        <w:spacing w:before="200" w:after="100"/>
      </w:pPr>
      <w:r>
        <w:rPr>
          <w:rFonts w:ascii="Arial" w:cs="Arial" w:eastAsia="Arial" w:hAnsi="Arial"/>
          <w:b/>
          <w:bCs/>
          <w:color w:val="1a3c5e"/>
          <w:sz w:val="24"/>
          <w:szCs w:val="24"/>
        </w:rPr>
        <w:t xml:space="preserve">Step 3: Submit to court with a Form D81</w:t>
      </w:r>
    </w:p>
    <w:p>
      <w:pPr>
        <w:spacing w:before="80" w:after="80"/>
      </w:pPr>
      <w:r>
        <w:rPr>
          <w:rFonts w:ascii="Arial" w:cs="Arial" w:eastAsia="Arial" w:hAnsi="Arial"/>
          <w:sz w:val="22"/>
          <w:szCs w:val="22"/>
        </w:rPr>
        <w:t xml:space="preserve">The consent order is submitted to the Family Court along with a Statement of Information (Form D81), which gives the court enough information to assess whether the order is fair. You do not need to attend court for this.</w:t>
      </w:r>
    </w:p>
    <w:p>
      <w:pPr>
        <w:spacing w:before="200" w:after="100"/>
      </w:pPr>
      <w:r>
        <w:rPr>
          <w:rFonts w:ascii="Arial" w:cs="Arial" w:eastAsia="Arial" w:hAnsi="Arial"/>
          <w:b/>
          <w:bCs/>
          <w:color w:val="1a3c5e"/>
          <w:sz w:val="24"/>
          <w:szCs w:val="24"/>
        </w:rPr>
        <w:t xml:space="preserve">Step 4: Court approves (or queries) the order</w:t>
      </w:r>
    </w:p>
    <w:p>
      <w:pPr>
        <w:spacing w:before="80" w:after="80"/>
      </w:pPr>
      <w:r>
        <w:rPr>
          <w:rFonts w:ascii="Arial" w:cs="Arial" w:eastAsia="Arial" w:hAnsi="Arial"/>
          <w:sz w:val="22"/>
          <w:szCs w:val="22"/>
        </w:rPr>
        <w:t xml:space="preserve">A judge reviews the paperwork. If they are satisfied the order is fair and reasonable, they approve it — typically within 4-8 weeks. If they have concerns, they may query the terms or ask for more information. The court will not approve a consent order it considers manifestly unfair.</w:t>
      </w:r>
    </w:p>
    <w:p>
      <w:pPr>
        <w:pStyle w:val="Heading2"/>
        <w:spacing w:before="280" w:after="140"/>
      </w:pPr>
      <w:r>
        <w:rPr>
          <w:rFonts w:ascii="Arial" w:cs="Arial" w:eastAsia="Arial" w:hAnsi="Arial"/>
          <w:b/>
          <w:bCs/>
          <w:color w:val="2563a8"/>
          <w:sz w:val="28"/>
          <w:szCs w:val="28"/>
        </w:rPr>
        <w:t xml:space="preserve">What is the Difference Between a Consent Order and a Court Order?</w:t>
      </w:r>
    </w:p>
    <w:p>
      <w:pPr>
        <w:spacing w:before="80" w:after="80"/>
      </w:pPr>
      <w:r>
        <w:rPr>
          <w:rFonts w:ascii="Arial" w:cs="Arial" w:eastAsia="Arial" w:hAnsi="Arial"/>
          <w:sz w:val="22"/>
          <w:szCs w:val="22"/>
        </w:rPr>
        <w:t xml:space="preserve">A consent order is agreed by both parties and submitted to court. A court order (also called a Financial Remedy Order) is imposed by a judge after contested proceedings where the parties could not agree. Both are equally legally binding once approved or made by the court — the difference is how you got there.</w:t>
      </w:r>
    </w:p>
    <w:p>
      <w:pPr>
        <w:pStyle w:val="Heading2"/>
        <w:spacing w:before="280" w:after="140"/>
      </w:pPr>
      <w:r>
        <w:rPr>
          <w:rFonts w:ascii="Arial" w:cs="Arial" w:eastAsia="Arial" w:hAnsi="Arial"/>
          <w:b/>
          <w:bCs/>
          <w:color w:val="2563a8"/>
          <w:sz w:val="28"/>
          <w:szCs w:val="28"/>
        </w:rPr>
        <w:t xml:space="preserve">Real-World Example: How a Consent Order Works</w:t>
      </w:r>
    </w:p>
    <w:p>
      <w:pPr>
        <w:spacing w:before="80" w:after="80"/>
      </w:pPr>
      <w:r>
        <w:rPr>
          <w:rFonts w:ascii="Arial" w:cs="Arial" w:eastAsia="Arial" w:hAnsi="Arial"/>
          <w:sz w:val="22"/>
          <w:szCs w:val="22"/>
        </w:rPr>
        <w:t xml:space="preserve">Rachel and Ben agree that their marital home will be sold and proceeds split 55/45 in Rachel's favour, reflecting her primary care of their daughter. Ben's pension will be shared (a 30% transfer to Rachel). No spousal maintenance will be paid — they both work full-time. Their solicitors draft a consent order capturing these terms. The court approves it. The pension sharing order is sent to the pension provider. The property is then sold and proceeds divided. Neither party can make further financial claims.</w:t>
      </w:r>
    </w:p>
    <w:p>
      <w:pPr>
        <w:pStyle w:val="Heading2"/>
        <w:spacing w:before="280" w:after="140"/>
      </w:pPr>
      <w:r>
        <w:rPr>
          <w:rFonts w:ascii="Arial" w:cs="Arial" w:eastAsia="Arial" w:hAnsi="Arial"/>
          <w:b/>
          <w:bCs/>
          <w:color w:val="2563a8"/>
          <w:sz w:val="28"/>
          <w:szCs w:val="28"/>
        </w:rPr>
        <w:t xml:space="preserve">Using a Divorce Financial Settlement Calculator Before Drafting</w:t>
      </w:r>
    </w:p>
    <w:p>
      <w:pPr>
        <w:spacing w:before="80" w:after="80"/>
      </w:pPr>
      <w:r>
        <w:rPr>
          <w:rFonts w:ascii="Arial" w:cs="Arial" w:eastAsia="Arial" w:hAnsi="Arial"/>
          <w:sz w:val="22"/>
          <w:szCs w:val="22"/>
        </w:rPr>
        <w:t xml:space="preserve">Before instructing a solicitor to draft a consent order, it is worth modelling your settlement using a divorce financial settlement calculator. This allows you to compare different scenarios — taking the house versus taking more pension, different maintenance arrangements — before committing to terms. Understanding the full financial picture reduces the risk of agreeing to something you will later regret.</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A consent order turns your financial agreement into a legally binding court order</w:t>
      </w:r>
    </w:p>
    <w:p>
      <w:pPr>
        <w:pStyle w:val="ListParagraph"/>
        <w:numPr>
          <w:ilvl w:val="0"/>
          <w:numId w:val="2"/>
        </w:numPr>
        <w:spacing w:before="60" w:after="60"/>
      </w:pPr>
      <w:r>
        <w:rPr>
          <w:rFonts w:ascii="Arial" w:cs="Arial" w:eastAsia="Arial" w:hAnsi="Arial"/>
          <w:sz w:val="22"/>
          <w:szCs w:val="22"/>
        </w:rPr>
        <w:t xml:space="preserve">Without a consent order, financial claims can be made years after divorce</w:t>
      </w:r>
    </w:p>
    <w:p>
      <w:pPr>
        <w:pStyle w:val="ListParagraph"/>
        <w:numPr>
          <w:ilvl w:val="0"/>
          <w:numId w:val="2"/>
        </w:numPr>
        <w:spacing w:before="60" w:after="60"/>
      </w:pPr>
      <w:r>
        <w:rPr>
          <w:rFonts w:ascii="Arial" w:cs="Arial" w:eastAsia="Arial" w:hAnsi="Arial"/>
          <w:sz w:val="22"/>
          <w:szCs w:val="22"/>
        </w:rPr>
        <w:t xml:space="preserve">It must be submitted to and approved by the Family Court</w:t>
      </w:r>
    </w:p>
    <w:p>
      <w:pPr>
        <w:pStyle w:val="ListParagraph"/>
        <w:numPr>
          <w:ilvl w:val="0"/>
          <w:numId w:val="2"/>
        </w:numPr>
        <w:spacing w:before="60" w:after="60"/>
      </w:pPr>
      <w:r>
        <w:rPr>
          <w:rFonts w:ascii="Arial" w:cs="Arial" w:eastAsia="Arial" w:hAnsi="Arial"/>
          <w:sz w:val="22"/>
          <w:szCs w:val="22"/>
        </w:rPr>
        <w:t xml:space="preserve">A Form D81 must accompany the consent order when submitted</w:t>
      </w:r>
    </w:p>
    <w:p>
      <w:pPr>
        <w:pStyle w:val="ListParagraph"/>
        <w:numPr>
          <w:ilvl w:val="0"/>
          <w:numId w:val="2"/>
        </w:numPr>
        <w:spacing w:before="60" w:after="60"/>
      </w:pPr>
      <w:r>
        <w:rPr>
          <w:rFonts w:ascii="Arial" w:cs="Arial" w:eastAsia="Arial" w:hAnsi="Arial"/>
          <w:sz w:val="22"/>
          <w:szCs w:val="22"/>
        </w:rPr>
        <w:t xml:space="preserve">Court approval usually takes 4-8 weeks</w:t>
      </w:r>
    </w:p>
    <w:p>
      <w:pPr>
        <w:pStyle w:val="ListParagraph"/>
        <w:numPr>
          <w:ilvl w:val="0"/>
          <w:numId w:val="2"/>
        </w:numPr>
        <w:spacing w:before="60" w:after="60"/>
      </w:pPr>
      <w:r>
        <w:rPr>
          <w:rFonts w:ascii="Arial" w:cs="Arial" w:eastAsia="Arial" w:hAnsi="Arial"/>
          <w:sz w:val="22"/>
          <w:szCs w:val="22"/>
        </w:rPr>
        <w:t xml:space="preserve">Both parties should have independent legal advice before signing</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How much does a consent order cost in the UK?</w:t>
      </w:r>
    </w:p>
    <w:p>
      <w:pPr>
        <w:spacing w:before="80" w:after="80"/>
      </w:pPr>
      <w:r>
        <w:rPr>
          <w:rFonts w:ascii="Arial" w:cs="Arial" w:eastAsia="Arial" w:hAnsi="Arial"/>
          <w:sz w:val="22"/>
          <w:szCs w:val="22"/>
        </w:rPr>
        <w:t xml:space="preserve">Solicitor-drafted consent orders typically cost £500-£2,000 including legal fees. Some online services offer simpler consent orders more cheaply. There is also a court fee of £53 when submitting.</w:t>
      </w:r>
    </w:p>
    <w:p>
      <w:pPr>
        <w:spacing w:before="200" w:after="100"/>
      </w:pPr>
      <w:r>
        <w:rPr>
          <w:rFonts w:ascii="Arial" w:cs="Arial" w:eastAsia="Arial" w:hAnsi="Arial"/>
          <w:b/>
          <w:bCs/>
          <w:color w:val="1a3c5e"/>
          <w:sz w:val="24"/>
          <w:szCs w:val="24"/>
        </w:rPr>
        <w:t xml:space="preserve">Can I write my own consent order?</w:t>
      </w:r>
    </w:p>
    <w:p>
      <w:pPr>
        <w:spacing w:before="80" w:after="80"/>
      </w:pPr>
      <w:r>
        <w:rPr>
          <w:rFonts w:ascii="Arial" w:cs="Arial" w:eastAsia="Arial" w:hAnsi="Arial"/>
          <w:sz w:val="22"/>
          <w:szCs w:val="22"/>
        </w:rPr>
        <w:t xml:space="preserve">You can attempt to draft your own, but it must be in the exact legal format required by the court. Any errors may mean it is rejected. Given the sums at stake, professional drafting is strongly recommended.</w:t>
      </w:r>
    </w:p>
    <w:p>
      <w:pPr>
        <w:spacing w:before="200" w:after="100"/>
      </w:pPr>
      <w:r>
        <w:rPr>
          <w:rFonts w:ascii="Arial" w:cs="Arial" w:eastAsia="Arial" w:hAnsi="Arial"/>
          <w:b/>
          <w:bCs/>
          <w:color w:val="1a3c5e"/>
          <w:sz w:val="24"/>
          <w:szCs w:val="24"/>
        </w:rPr>
        <w:t xml:space="preserve">Can a consent order be changed after it is approved?</w:t>
      </w:r>
    </w:p>
    <w:p>
      <w:pPr>
        <w:spacing w:before="80" w:after="80"/>
      </w:pPr>
      <w:r>
        <w:rPr>
          <w:rFonts w:ascii="Arial" w:cs="Arial" w:eastAsia="Arial" w:hAnsi="Arial"/>
          <w:sz w:val="22"/>
          <w:szCs w:val="22"/>
        </w:rPr>
        <w:t xml:space="preserve">Very rarely. Once approved by the court, a consent order can only be set aside on very limited grounds — such as fraud, material non-disclosure, or a fundamental change in circumstances that the order did not anticipate. It is not possible to simply change your mind.</w:t>
      </w:r>
    </w:p>
    <w:p>
      <w:pPr>
        <w:spacing w:before="200" w:after="100"/>
      </w:pPr>
      <w:r>
        <w:rPr>
          <w:rFonts w:ascii="Arial" w:cs="Arial" w:eastAsia="Arial" w:hAnsi="Arial"/>
          <w:b/>
          <w:bCs/>
          <w:color w:val="1a3c5e"/>
          <w:sz w:val="24"/>
          <w:szCs w:val="24"/>
        </w:rPr>
        <w:t xml:space="preserve">Do I need a consent order if we have already agreed everything?</w:t>
      </w:r>
    </w:p>
    <w:p>
      <w:pPr>
        <w:spacing w:before="80" w:after="80"/>
      </w:pPr>
      <w:r>
        <w:rPr>
          <w:rFonts w:ascii="Arial" w:cs="Arial" w:eastAsia="Arial" w:hAnsi="Arial"/>
          <w:sz w:val="22"/>
          <w:szCs w:val="22"/>
        </w:rPr>
        <w:t xml:space="preserve">Yes. An agreement between the parties, even a written one, is not legally binding in divorce financial matters. Only a court-approved consent order provides the protection you need.</w:t>
      </w:r>
    </w:p>
    <w:p>
      <w:pPr>
        <w:spacing w:before="200" w:after="100"/>
      </w:pPr>
      <w:r>
        <w:rPr>
          <w:rFonts w:ascii="Arial" w:cs="Arial" w:eastAsia="Arial" w:hAnsi="Arial"/>
          <w:b/>
          <w:bCs/>
          <w:color w:val="1a3c5e"/>
          <w:sz w:val="24"/>
          <w:szCs w:val="24"/>
        </w:rPr>
        <w:t xml:space="preserve">What happens if my ex refuses to comply with the consent order?</w:t>
      </w:r>
    </w:p>
    <w:p>
      <w:pPr>
        <w:spacing w:before="80" w:after="80"/>
      </w:pPr>
      <w:r>
        <w:rPr>
          <w:rFonts w:ascii="Arial" w:cs="Arial" w:eastAsia="Arial" w:hAnsi="Arial"/>
          <w:sz w:val="22"/>
          <w:szCs w:val="22"/>
        </w:rPr>
        <w:t xml:space="preserve">You can return to court to enforce the order. Courts have various powers of enforcement including charging orders, attachment of earnings orders, and committal for contempt of court in serious cases.</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What is a Clean Break Order UK? How to End All Financial Ties After Divorce</w:t>
      </w:r>
    </w:p>
    <w:p>
      <w:pPr>
        <w:pStyle w:val="Heading2"/>
        <w:spacing w:before="280" w:after="140"/>
      </w:pPr>
      <w:r>
        <w:rPr>
          <w:rFonts w:ascii="Arial" w:cs="Arial" w:eastAsia="Arial" w:hAnsi="Arial"/>
          <w:b/>
          <w:bCs/>
          <w:color w:val="2563a8"/>
          <w:sz w:val="28"/>
          <w:szCs w:val="28"/>
        </w:rPr>
        <w:t xml:space="preserve">What is a Clean Break Order UK?</w:t>
      </w:r>
    </w:p>
    <w:p>
      <w:pPr>
        <w:spacing w:before="80" w:after="80"/>
      </w:pPr>
      <w:r>
        <w:rPr>
          <w:rFonts w:ascii="Arial" w:cs="Arial" w:eastAsia="Arial" w:hAnsi="Arial"/>
          <w:sz w:val="22"/>
          <w:szCs w:val="22"/>
        </w:rPr>
        <w:t xml:space="preserve">A clean break order is a court order that permanently severs all financial links between former spouses. Once a clean break order is in place, neither party can make any further financial claims against the other — ever. In UK divorce law (England and Wales), a clean break order is the most effective way to protect yourself from future financial claims and to achieve genuine financial independence after your marriage ends.</w:t>
      </w:r>
    </w:p>
    <w:p>
      <w:pPr>
        <w:pStyle w:val="Heading2"/>
        <w:spacing w:before="280" w:after="140"/>
      </w:pPr>
      <w:r>
        <w:rPr>
          <w:rFonts w:ascii="Arial" w:cs="Arial" w:eastAsia="Arial" w:hAnsi="Arial"/>
          <w:b/>
          <w:bCs/>
          <w:color w:val="2563a8"/>
          <w:sz w:val="28"/>
          <w:szCs w:val="28"/>
        </w:rPr>
        <w:t xml:space="preserve">Why a Clean Break Order Matters</w:t>
      </w:r>
    </w:p>
    <w:p>
      <w:pPr>
        <w:spacing w:before="80" w:after="80"/>
      </w:pPr>
      <w:r>
        <w:rPr>
          <w:rFonts w:ascii="Arial" w:cs="Arial" w:eastAsia="Arial" w:hAnsi="Arial"/>
          <w:sz w:val="22"/>
          <w:szCs w:val="22"/>
        </w:rPr>
        <w:t xml:space="preserve">Without a clean break order, financial claims can remain open indefinitely after divorce. This means your ex-spouse could potentially make a financial claim years later — even if your circumstances have significantly improved. A clean break order closes this door permanently.</w:t>
      </w:r>
    </w:p>
    <w:p>
      <w:pPr>
        <w:spacing w:before="80" w:after="80"/>
      </w:pPr>
      <w:r>
        <w:rPr>
          <w:rFonts w:ascii="Arial" w:cs="Arial" w:eastAsia="Arial" w:hAnsi="Arial"/>
          <w:sz w:val="22"/>
          <w:szCs w:val="22"/>
        </w:rPr>
        <w:t xml:space="preserve">The landmark case of Wyatt v Vince [2015] illustrated this vividly. Kathleen Wyatt successfully argued she could make financial claims against Dale Vince more than 20 years after their divorce, as no clean break order had been made when the marriage ended. He had since become a millionaire. The case reached the Supreme Court.</w:t>
      </w:r>
    </w:p>
    <w:p>
      <w:pPr>
        <w:pStyle w:val="Heading2"/>
        <w:spacing w:before="280" w:after="140"/>
      </w:pPr>
      <w:r>
        <w:rPr>
          <w:rFonts w:ascii="Arial" w:cs="Arial" w:eastAsia="Arial" w:hAnsi="Arial"/>
          <w:b/>
          <w:bCs/>
          <w:color w:val="2563a8"/>
          <w:sz w:val="28"/>
          <w:szCs w:val="28"/>
        </w:rPr>
        <w:t xml:space="preserve">What Does a Clean Break Order Cover?</w:t>
      </w:r>
    </w:p>
    <w:p>
      <w:pPr>
        <w:spacing w:before="80" w:after="80"/>
      </w:pPr>
      <w:r>
        <w:rPr>
          <w:rFonts w:ascii="Arial" w:cs="Arial" w:eastAsia="Arial" w:hAnsi="Arial"/>
          <w:sz w:val="22"/>
          <w:szCs w:val="22"/>
        </w:rPr>
        <w:t xml:space="preserve">A clean break order can include:</w:t>
      </w:r>
    </w:p>
    <w:p>
      <w:pPr>
        <w:pStyle w:val="ListParagraph"/>
        <w:numPr>
          <w:ilvl w:val="0"/>
          <w:numId w:val="2"/>
        </w:numPr>
        <w:spacing w:before="60" w:after="60"/>
      </w:pPr>
      <w:r>
        <w:rPr>
          <w:rFonts w:ascii="Arial" w:cs="Arial" w:eastAsia="Arial" w:hAnsi="Arial"/>
          <w:sz w:val="22"/>
          <w:szCs w:val="22"/>
        </w:rPr>
        <w:t xml:space="preserve">Dismissal of all capital claims (property, savings, investments, inheritance)</w:t>
      </w:r>
    </w:p>
    <w:p>
      <w:pPr>
        <w:pStyle w:val="ListParagraph"/>
        <w:numPr>
          <w:ilvl w:val="0"/>
          <w:numId w:val="2"/>
        </w:numPr>
        <w:spacing w:before="60" w:after="60"/>
      </w:pPr>
      <w:r>
        <w:rPr>
          <w:rFonts w:ascii="Arial" w:cs="Arial" w:eastAsia="Arial" w:hAnsi="Arial"/>
          <w:sz w:val="22"/>
          <w:szCs w:val="22"/>
        </w:rPr>
        <w:t xml:space="preserve">Dismissal of all income claims (spousal maintenance)</w:t>
      </w:r>
    </w:p>
    <w:p>
      <w:pPr>
        <w:pStyle w:val="ListParagraph"/>
        <w:numPr>
          <w:ilvl w:val="0"/>
          <w:numId w:val="2"/>
        </w:numPr>
        <w:spacing w:before="60" w:after="60"/>
      </w:pPr>
      <w:r>
        <w:rPr>
          <w:rFonts w:ascii="Arial" w:cs="Arial" w:eastAsia="Arial" w:hAnsi="Arial"/>
          <w:sz w:val="22"/>
          <w:szCs w:val="22"/>
        </w:rPr>
        <w:t xml:space="preserve">Dismissal of all pension claims</w:t>
      </w:r>
    </w:p>
    <w:p>
      <w:pPr>
        <w:pStyle w:val="ListParagraph"/>
        <w:numPr>
          <w:ilvl w:val="0"/>
          <w:numId w:val="2"/>
        </w:numPr>
        <w:spacing w:before="60" w:after="60"/>
      </w:pPr>
      <w:r>
        <w:rPr>
          <w:rFonts w:ascii="Arial" w:cs="Arial" w:eastAsia="Arial" w:hAnsi="Arial"/>
          <w:sz w:val="22"/>
          <w:szCs w:val="22"/>
        </w:rPr>
        <w:t xml:space="preserve">A bar on any future claims by either party</w:t>
      </w:r>
    </w:p>
    <w:p>
      <w:pPr>
        <w:spacing w:before="200" w:after="100"/>
      </w:pPr>
      <w:r>
        <w:rPr>
          <w:rFonts w:ascii="Arial" w:cs="Arial" w:eastAsia="Arial" w:hAnsi="Arial"/>
          <w:b/>
          <w:bCs/>
          <w:color w:val="1a3c5e"/>
          <w:sz w:val="24"/>
          <w:szCs w:val="24"/>
        </w:rPr>
        <w:t xml:space="preserve">What it does not cover</w:t>
      </w:r>
    </w:p>
    <w:p>
      <w:pPr>
        <w:spacing w:before="80" w:after="80"/>
      </w:pPr>
      <w:r>
        <w:rPr>
          <w:rFonts w:ascii="Arial" w:cs="Arial" w:eastAsia="Arial" w:hAnsi="Arial"/>
          <w:sz w:val="22"/>
          <w:szCs w:val="22"/>
        </w:rPr>
        <w:t xml:space="preserve">A clean break order does not affect child maintenance — which is always variable regardless of any court order. It also does not affect financial arrangements already in place under the order.</w:t>
      </w:r>
    </w:p>
    <w:p>
      <w:pPr>
        <w:pStyle w:val="Heading2"/>
        <w:spacing w:before="280" w:after="140"/>
      </w:pPr>
      <w:r>
        <w:rPr>
          <w:rFonts w:ascii="Arial" w:cs="Arial" w:eastAsia="Arial" w:hAnsi="Arial"/>
          <w:b/>
          <w:bCs/>
          <w:color w:val="2563a8"/>
          <w:sz w:val="28"/>
          <w:szCs w:val="28"/>
        </w:rPr>
        <w:t xml:space="preserve">When is an Immediate Clean Break Possible?</w:t>
      </w:r>
    </w:p>
    <w:p>
      <w:pPr>
        <w:spacing w:before="80" w:after="80"/>
      </w:pPr>
      <w:r>
        <w:rPr>
          <w:rFonts w:ascii="Arial" w:cs="Arial" w:eastAsia="Arial" w:hAnsi="Arial"/>
          <w:sz w:val="22"/>
          <w:szCs w:val="22"/>
        </w:rPr>
        <w:t xml:space="preserve">An immediate clean break — where neither party receives ongoing maintenance — is possible when:</w:t>
      </w:r>
    </w:p>
    <w:p>
      <w:pPr>
        <w:pStyle w:val="ListParagraph"/>
        <w:numPr>
          <w:ilvl w:val="0"/>
          <w:numId w:val="2"/>
        </w:numPr>
        <w:spacing w:before="60" w:after="60"/>
      </w:pPr>
      <w:r>
        <w:rPr>
          <w:rFonts w:ascii="Arial" w:cs="Arial" w:eastAsia="Arial" w:hAnsi="Arial"/>
          <w:sz w:val="22"/>
          <w:szCs w:val="22"/>
        </w:rPr>
        <w:t xml:space="preserve">Both parties are financially self-sufficient</w:t>
      </w:r>
    </w:p>
    <w:p>
      <w:pPr>
        <w:pStyle w:val="ListParagraph"/>
        <w:numPr>
          <w:ilvl w:val="0"/>
          <w:numId w:val="2"/>
        </w:numPr>
        <w:spacing w:before="60" w:after="60"/>
      </w:pPr>
      <w:r>
        <w:rPr>
          <w:rFonts w:ascii="Arial" w:cs="Arial" w:eastAsia="Arial" w:hAnsi="Arial"/>
          <w:sz w:val="22"/>
          <w:szCs w:val="22"/>
        </w:rPr>
        <w:t xml:space="preserve">Any financial imbalance can be addressed through a capital payment or property adjustment</w:t>
      </w:r>
    </w:p>
    <w:p>
      <w:pPr>
        <w:pStyle w:val="ListParagraph"/>
        <w:numPr>
          <w:ilvl w:val="0"/>
          <w:numId w:val="2"/>
        </w:numPr>
        <w:spacing w:before="60" w:after="60"/>
      </w:pPr>
      <w:r>
        <w:rPr>
          <w:rFonts w:ascii="Arial" w:cs="Arial" w:eastAsia="Arial" w:hAnsi="Arial"/>
          <w:sz w:val="22"/>
          <w:szCs w:val="22"/>
        </w:rPr>
        <w:t xml:space="preserve">There are no dependent children (or arrangements are already established)</w:t>
      </w:r>
    </w:p>
    <w:p>
      <w:pPr>
        <w:pStyle w:val="ListParagraph"/>
        <w:numPr>
          <w:ilvl w:val="0"/>
          <w:numId w:val="2"/>
        </w:numPr>
        <w:spacing w:before="60" w:after="60"/>
      </w:pPr>
      <w:r>
        <w:rPr>
          <w:rFonts w:ascii="Arial" w:cs="Arial" w:eastAsia="Arial" w:hAnsi="Arial"/>
          <w:sz w:val="22"/>
          <w:szCs w:val="22"/>
        </w:rPr>
        <w:t xml:space="preserve">Both parties agree on the terms</w:t>
      </w:r>
    </w:p>
    <w:p>
      <w:pPr>
        <w:spacing w:before="80" w:after="80"/>
      </w:pPr>
      <w:r>
        <w:rPr>
          <w:rFonts w:ascii="Arial" w:cs="Arial" w:eastAsia="Arial" w:hAnsi="Arial"/>
          <w:sz w:val="22"/>
          <w:szCs w:val="22"/>
        </w:rPr>
        <w:t xml:space="preserve">In practice, immediate clean breaks are common in shorter marriages, cases where both parties work full-time, and cases where assets are sufficient to provide housing for both.</w:t>
      </w:r>
    </w:p>
    <w:p>
      <w:pPr>
        <w:pStyle w:val="Heading2"/>
        <w:spacing w:before="280" w:after="140"/>
      </w:pPr>
      <w:r>
        <w:rPr>
          <w:rFonts w:ascii="Arial" w:cs="Arial" w:eastAsia="Arial" w:hAnsi="Arial"/>
          <w:b/>
          <w:bCs/>
          <w:color w:val="2563a8"/>
          <w:sz w:val="28"/>
          <w:szCs w:val="28"/>
        </w:rPr>
        <w:t xml:space="preserve">Deferred Clean Break Orders</w:t>
      </w:r>
    </w:p>
    <w:p>
      <w:pPr>
        <w:spacing w:before="80" w:after="80"/>
      </w:pPr>
      <w:r>
        <w:rPr>
          <w:rFonts w:ascii="Arial" w:cs="Arial" w:eastAsia="Arial" w:hAnsi="Arial"/>
          <w:sz w:val="22"/>
          <w:szCs w:val="22"/>
        </w:rPr>
        <w:t xml:space="preserve">Where one party needs spousal maintenance for a period, a clean break can be deferred. Maintenance is paid for an agreed term (say, 3-5 years), after which the clean break takes effect automatically. This is a common outcome in medium-length marriages where one party has a career gap to recover from.</w:t>
      </w:r>
    </w:p>
    <w:p>
      <w:pPr>
        <w:pStyle w:val="Heading2"/>
        <w:spacing w:before="280" w:after="140"/>
      </w:pPr>
      <w:r>
        <w:rPr>
          <w:rFonts w:ascii="Arial" w:cs="Arial" w:eastAsia="Arial" w:hAnsi="Arial"/>
          <w:b/>
          <w:bCs/>
          <w:color w:val="2563a8"/>
          <w:sz w:val="28"/>
          <w:szCs w:val="28"/>
        </w:rPr>
        <w:t xml:space="preserve">Can a Clean Break Order be Overridden?</w:t>
      </w:r>
    </w:p>
    <w:p>
      <w:pPr>
        <w:spacing w:before="80" w:after="80"/>
      </w:pPr>
      <w:r>
        <w:rPr>
          <w:rFonts w:ascii="Arial" w:cs="Arial" w:eastAsia="Arial" w:hAnsi="Arial"/>
          <w:sz w:val="22"/>
          <w:szCs w:val="22"/>
        </w:rPr>
        <w:t xml:space="preserve">Once a court approves a clean break order, it is very difficult to revisit. Even in cases of extreme hardship, courts are reluctant to re-open settled financial matters. However, if the order was obtained by fraud or non-disclosure, it may be set aside.</w:t>
      </w:r>
    </w:p>
    <w:p>
      <w:pPr>
        <w:pStyle w:val="Heading2"/>
        <w:spacing w:before="280" w:after="140"/>
      </w:pPr>
      <w:r>
        <w:rPr>
          <w:rFonts w:ascii="Arial" w:cs="Arial" w:eastAsia="Arial" w:hAnsi="Arial"/>
          <w:b/>
          <w:bCs/>
          <w:color w:val="2563a8"/>
          <w:sz w:val="28"/>
          <w:szCs w:val="28"/>
        </w:rPr>
        <w:t xml:space="preserve">Clean Break vs Consent Order: What's the Difference?</w:t>
      </w:r>
    </w:p>
    <w:p>
      <w:pPr>
        <w:spacing w:before="80" w:after="80"/>
      </w:pPr>
      <w:r>
        <w:rPr>
          <w:rFonts w:ascii="Arial" w:cs="Arial" w:eastAsia="Arial" w:hAnsi="Arial"/>
          <w:sz w:val="22"/>
          <w:szCs w:val="22"/>
        </w:rPr>
        <w:t xml:space="preserve">A clean break order is typically part of a broader consent order — it is the clause within that document that dismisses all future financial claims. You can have a consent order that includes maintenance (and therefore is not a clean break), or one that includes a clean break clause. The two terms are related but not interchangeable. A divorce financial settlement calculator can help you model whether a capital-based clean break is financially equivalent to ongoing maintenance over time.</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A clean break order permanently ends all financial claims between former spouses</w:t>
      </w:r>
    </w:p>
    <w:p>
      <w:pPr>
        <w:pStyle w:val="ListParagraph"/>
        <w:numPr>
          <w:ilvl w:val="0"/>
          <w:numId w:val="2"/>
        </w:numPr>
        <w:spacing w:before="60" w:after="60"/>
      </w:pPr>
      <w:r>
        <w:rPr>
          <w:rFonts w:ascii="Arial" w:cs="Arial" w:eastAsia="Arial" w:hAnsi="Arial"/>
          <w:sz w:val="22"/>
          <w:szCs w:val="22"/>
        </w:rPr>
        <w:t xml:space="preserve">Without one, financial claims can be made years or even decades after divorce</w:t>
      </w:r>
    </w:p>
    <w:p>
      <w:pPr>
        <w:pStyle w:val="ListParagraph"/>
        <w:numPr>
          <w:ilvl w:val="0"/>
          <w:numId w:val="2"/>
        </w:numPr>
        <w:spacing w:before="60" w:after="60"/>
      </w:pPr>
      <w:r>
        <w:rPr>
          <w:rFonts w:ascii="Arial" w:cs="Arial" w:eastAsia="Arial" w:hAnsi="Arial"/>
          <w:sz w:val="22"/>
          <w:szCs w:val="22"/>
        </w:rPr>
        <w:t xml:space="preserve">It must be approved by the court — you cannot simply agree it privately</w:t>
      </w:r>
    </w:p>
    <w:p>
      <w:pPr>
        <w:pStyle w:val="ListParagraph"/>
        <w:numPr>
          <w:ilvl w:val="0"/>
          <w:numId w:val="2"/>
        </w:numPr>
        <w:spacing w:before="60" w:after="60"/>
      </w:pPr>
      <w:r>
        <w:rPr>
          <w:rFonts w:ascii="Arial" w:cs="Arial" w:eastAsia="Arial" w:hAnsi="Arial"/>
          <w:sz w:val="22"/>
          <w:szCs w:val="22"/>
        </w:rPr>
        <w:t xml:space="preserve">An immediate clean break requires both parties to be financially self-sufficient</w:t>
      </w:r>
    </w:p>
    <w:p>
      <w:pPr>
        <w:pStyle w:val="ListParagraph"/>
        <w:numPr>
          <w:ilvl w:val="0"/>
          <w:numId w:val="2"/>
        </w:numPr>
        <w:spacing w:before="60" w:after="60"/>
      </w:pPr>
      <w:r>
        <w:rPr>
          <w:rFonts w:ascii="Arial" w:cs="Arial" w:eastAsia="Arial" w:hAnsi="Arial"/>
          <w:sz w:val="22"/>
          <w:szCs w:val="22"/>
        </w:rPr>
        <w:t xml:space="preserve">A deferred clean break allows time-limited maintenance before the clean break takes effect</w:t>
      </w:r>
    </w:p>
    <w:p>
      <w:pPr>
        <w:pStyle w:val="ListParagraph"/>
        <w:numPr>
          <w:ilvl w:val="0"/>
          <w:numId w:val="2"/>
        </w:numPr>
        <w:spacing w:before="60" w:after="60"/>
      </w:pPr>
      <w:r>
        <w:rPr>
          <w:rFonts w:ascii="Arial" w:cs="Arial" w:eastAsia="Arial" w:hAnsi="Arial"/>
          <w:sz w:val="22"/>
          <w:szCs w:val="22"/>
        </w:rPr>
        <w:t xml:space="preserve">Child maintenance is not affected by a clean break order</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Can I get a clean break if my ex won't agree?</w:t>
      </w:r>
    </w:p>
    <w:p>
      <w:pPr>
        <w:spacing w:before="80" w:after="80"/>
      </w:pPr>
      <w:r>
        <w:rPr>
          <w:rFonts w:ascii="Arial" w:cs="Arial" w:eastAsia="Arial" w:hAnsi="Arial"/>
          <w:sz w:val="22"/>
          <w:szCs w:val="22"/>
        </w:rPr>
        <w:t xml:space="preserve">Courts can impose a clean break even if one party disagrees, if they are satisfied both parties can meet their needs independently. However, if one party genuinely cannot meet their needs without maintenance, a clean break may not be appropriate.</w:t>
      </w:r>
    </w:p>
    <w:p>
      <w:pPr>
        <w:spacing w:before="200" w:after="100"/>
      </w:pPr>
      <w:r>
        <w:rPr>
          <w:rFonts w:ascii="Arial" w:cs="Arial" w:eastAsia="Arial" w:hAnsi="Arial"/>
          <w:b/>
          <w:bCs/>
          <w:color w:val="1a3c5e"/>
          <w:sz w:val="24"/>
          <w:szCs w:val="24"/>
        </w:rPr>
        <w:t xml:space="preserve">Does a clean break order affect children?</w:t>
      </w:r>
    </w:p>
    <w:p>
      <w:pPr>
        <w:spacing w:before="80" w:after="80"/>
      </w:pPr>
      <w:r>
        <w:rPr>
          <w:rFonts w:ascii="Arial" w:cs="Arial" w:eastAsia="Arial" w:hAnsi="Arial"/>
          <w:sz w:val="22"/>
          <w:szCs w:val="22"/>
        </w:rPr>
        <w:t xml:space="preserve">No. Child maintenance is separate and always remains variable through the Child Maintenance Service. A clean break order only applies to financial claims between the former spouses.</w:t>
      </w:r>
    </w:p>
    <w:p>
      <w:pPr>
        <w:spacing w:before="200" w:after="100"/>
      </w:pPr>
      <w:r>
        <w:rPr>
          <w:rFonts w:ascii="Arial" w:cs="Arial" w:eastAsia="Arial" w:hAnsi="Arial"/>
          <w:b/>
          <w:bCs/>
          <w:color w:val="1a3c5e"/>
          <w:sz w:val="24"/>
          <w:szCs w:val="24"/>
        </w:rPr>
        <w:t xml:space="preserve">Is a clean break order always the best option?</w:t>
      </w:r>
    </w:p>
    <w:p>
      <w:pPr>
        <w:spacing w:before="80" w:after="80"/>
      </w:pPr>
      <w:r>
        <w:rPr>
          <w:rFonts w:ascii="Arial" w:cs="Arial" w:eastAsia="Arial" w:hAnsi="Arial"/>
          <w:sz w:val="22"/>
          <w:szCs w:val="22"/>
        </w:rPr>
        <w:t xml:space="preserve">Not necessarily. If there is a significant income gap, an immediate clean break may leave one party genuinely unable to meet their needs. In those cases, a period of maintenance followed by a deferred clean break may be more appropriate.</w:t>
      </w:r>
    </w:p>
    <w:p>
      <w:pPr>
        <w:spacing w:before="200" w:after="100"/>
      </w:pPr>
      <w:r>
        <w:rPr>
          <w:rFonts w:ascii="Arial" w:cs="Arial" w:eastAsia="Arial" w:hAnsi="Arial"/>
          <w:b/>
          <w:bCs/>
          <w:color w:val="1a3c5e"/>
          <w:sz w:val="24"/>
          <w:szCs w:val="24"/>
        </w:rPr>
        <w:t xml:space="preserve">How does a clean break affect pensions?</w:t>
      </w:r>
    </w:p>
    <w:p>
      <w:pPr>
        <w:spacing w:before="80" w:after="80"/>
      </w:pPr>
      <w:r>
        <w:rPr>
          <w:rFonts w:ascii="Arial" w:cs="Arial" w:eastAsia="Arial" w:hAnsi="Arial"/>
          <w:sz w:val="22"/>
          <w:szCs w:val="22"/>
        </w:rPr>
        <w:t xml:space="preserve">A clean break order dismisses pension claims — meaning any pension the other party accrues after the order cannot be claimed. However, pension sharing orders already made as part of the settlement are not affected.</w:t>
      </w:r>
    </w:p>
    <w:p>
      <w:pPr>
        <w:spacing w:before="200" w:after="100"/>
      </w:pPr>
      <w:r>
        <w:rPr>
          <w:rFonts w:ascii="Arial" w:cs="Arial" w:eastAsia="Arial" w:hAnsi="Arial"/>
          <w:b/>
          <w:bCs/>
          <w:color w:val="1a3c5e"/>
          <w:sz w:val="24"/>
          <w:szCs w:val="24"/>
        </w:rPr>
        <w:t xml:space="preserve">Can I get a clean break if I am still paying maintenance?</w:t>
      </w:r>
    </w:p>
    <w:p>
      <w:pPr>
        <w:spacing w:before="80" w:after="80"/>
      </w:pPr>
      <w:r>
        <w:rPr>
          <w:rFonts w:ascii="Arial" w:cs="Arial" w:eastAsia="Arial" w:hAnsi="Arial"/>
          <w:sz w:val="22"/>
          <w:szCs w:val="22"/>
        </w:rPr>
        <w:t xml:space="preserve">Yes — through a deferred clean break. You can agree to pay maintenance for a fixed period, at the end of which the clean break takes effect and all future claims are dismissed.</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Financial Disclosure Divorce UK Explained: What You Need to Know</w:t>
      </w:r>
    </w:p>
    <w:p>
      <w:pPr>
        <w:pStyle w:val="Heading2"/>
        <w:spacing w:before="280" w:after="140"/>
      </w:pPr>
      <w:r>
        <w:rPr>
          <w:rFonts w:ascii="Arial" w:cs="Arial" w:eastAsia="Arial" w:hAnsi="Arial"/>
          <w:b/>
          <w:bCs/>
          <w:color w:val="2563a8"/>
          <w:sz w:val="28"/>
          <w:szCs w:val="28"/>
        </w:rPr>
        <w:t xml:space="preserve">Understanding Financial Disclosure in UK Divorce</w:t>
      </w:r>
    </w:p>
    <w:p>
      <w:pPr>
        <w:spacing w:before="80" w:after="80"/>
      </w:pPr>
      <w:r>
        <w:rPr>
          <w:rFonts w:ascii="Arial" w:cs="Arial" w:eastAsia="Arial" w:hAnsi="Arial"/>
          <w:sz w:val="22"/>
          <w:szCs w:val="22"/>
        </w:rPr>
        <w:t xml:space="preserve">Financial disclosure divorce UK is a legal requirement — not optional. Before any financial settlement can be reached or approved by a court in England and Wales, both parties must fully and honestly disclose their financial position. This means providing detailed information about income, assets, debts, pensions, outgoings, and any financial resources they might have access to. Incomplete or dishonest disclosure can have serious legal consequences.</w:t>
      </w:r>
    </w:p>
    <w:p>
      <w:pPr>
        <w:pStyle w:val="Heading2"/>
        <w:spacing w:before="280" w:after="140"/>
      </w:pPr>
      <w:r>
        <w:rPr>
          <w:rFonts w:ascii="Arial" w:cs="Arial" w:eastAsia="Arial" w:hAnsi="Arial"/>
          <w:b/>
          <w:bCs/>
          <w:color w:val="2563a8"/>
          <w:sz w:val="28"/>
          <w:szCs w:val="28"/>
        </w:rPr>
        <w:t xml:space="preserve">What Financial Disclosure Involves</w:t>
      </w:r>
    </w:p>
    <w:p>
      <w:pPr>
        <w:spacing w:before="80" w:after="80"/>
      </w:pPr>
      <w:r>
        <w:rPr>
          <w:rFonts w:ascii="Arial" w:cs="Arial" w:eastAsia="Arial" w:hAnsi="Arial"/>
          <w:sz w:val="22"/>
          <w:szCs w:val="22"/>
        </w:rPr>
        <w:t xml:space="preserve">Financial disclosure typically involves completing Form E — a comprehensive 28-page document covering:</w:t>
      </w:r>
    </w:p>
    <w:p>
      <w:pPr>
        <w:pStyle w:val="ListParagraph"/>
        <w:numPr>
          <w:ilvl w:val="0"/>
          <w:numId w:val="2"/>
        </w:numPr>
        <w:spacing w:before="60" w:after="60"/>
      </w:pPr>
      <w:r>
        <w:rPr>
          <w:rFonts w:ascii="Arial" w:cs="Arial" w:eastAsia="Arial" w:hAnsi="Arial"/>
          <w:sz w:val="22"/>
          <w:szCs w:val="22"/>
        </w:rPr>
        <w:t xml:space="preserve">Your property and its value</w:t>
      </w:r>
    </w:p>
    <w:p>
      <w:pPr>
        <w:pStyle w:val="ListParagraph"/>
        <w:numPr>
          <w:ilvl w:val="0"/>
          <w:numId w:val="2"/>
        </w:numPr>
        <w:spacing w:before="60" w:after="60"/>
      </w:pPr>
      <w:r>
        <w:rPr>
          <w:rFonts w:ascii="Arial" w:cs="Arial" w:eastAsia="Arial" w:hAnsi="Arial"/>
          <w:sz w:val="22"/>
          <w:szCs w:val="22"/>
        </w:rPr>
        <w:t xml:space="preserve">All bank and savings accounts</w:t>
      </w:r>
    </w:p>
    <w:p>
      <w:pPr>
        <w:pStyle w:val="ListParagraph"/>
        <w:numPr>
          <w:ilvl w:val="0"/>
          <w:numId w:val="2"/>
        </w:numPr>
        <w:spacing w:before="60" w:after="60"/>
      </w:pPr>
      <w:r>
        <w:rPr>
          <w:rFonts w:ascii="Arial" w:cs="Arial" w:eastAsia="Arial" w:hAnsi="Arial"/>
          <w:sz w:val="22"/>
          <w:szCs w:val="22"/>
        </w:rPr>
        <w:t xml:space="preserve">Investments, shares, and ISAs</w:t>
      </w:r>
    </w:p>
    <w:p>
      <w:pPr>
        <w:pStyle w:val="ListParagraph"/>
        <w:numPr>
          <w:ilvl w:val="0"/>
          <w:numId w:val="2"/>
        </w:numPr>
        <w:spacing w:before="60" w:after="60"/>
      </w:pPr>
      <w:r>
        <w:rPr>
          <w:rFonts w:ascii="Arial" w:cs="Arial" w:eastAsia="Arial" w:hAnsi="Arial"/>
          <w:sz w:val="22"/>
          <w:szCs w:val="22"/>
        </w:rPr>
        <w:t xml:space="preserve">Pensions — current cash equivalent transfer value (CETV)</w:t>
      </w:r>
    </w:p>
    <w:p>
      <w:pPr>
        <w:pStyle w:val="ListParagraph"/>
        <w:numPr>
          <w:ilvl w:val="0"/>
          <w:numId w:val="2"/>
        </w:numPr>
        <w:spacing w:before="60" w:after="60"/>
      </w:pPr>
      <w:r>
        <w:rPr>
          <w:rFonts w:ascii="Arial" w:cs="Arial" w:eastAsia="Arial" w:hAnsi="Arial"/>
          <w:sz w:val="22"/>
          <w:szCs w:val="22"/>
        </w:rPr>
        <w:t xml:space="preserve">Business interests and their value</w:t>
      </w:r>
    </w:p>
    <w:p>
      <w:pPr>
        <w:pStyle w:val="ListParagraph"/>
        <w:numPr>
          <w:ilvl w:val="0"/>
          <w:numId w:val="2"/>
        </w:numPr>
        <w:spacing w:before="60" w:after="60"/>
      </w:pPr>
      <w:r>
        <w:rPr>
          <w:rFonts w:ascii="Arial" w:cs="Arial" w:eastAsia="Arial" w:hAnsi="Arial"/>
          <w:sz w:val="22"/>
          <w:szCs w:val="22"/>
        </w:rPr>
        <w:t xml:space="preserve">Income from all sources</w:t>
      </w:r>
    </w:p>
    <w:p>
      <w:pPr>
        <w:pStyle w:val="ListParagraph"/>
        <w:numPr>
          <w:ilvl w:val="0"/>
          <w:numId w:val="2"/>
        </w:numPr>
        <w:spacing w:before="60" w:after="60"/>
      </w:pPr>
      <w:r>
        <w:rPr>
          <w:rFonts w:ascii="Arial" w:cs="Arial" w:eastAsia="Arial" w:hAnsi="Arial"/>
          <w:sz w:val="22"/>
          <w:szCs w:val="22"/>
        </w:rPr>
        <w:t xml:space="preserve">Monthly outgoings and liabilities</w:t>
      </w:r>
    </w:p>
    <w:p>
      <w:pPr>
        <w:pStyle w:val="ListParagraph"/>
        <w:numPr>
          <w:ilvl w:val="0"/>
          <w:numId w:val="2"/>
        </w:numPr>
        <w:spacing w:before="60" w:after="60"/>
      </w:pPr>
      <w:r>
        <w:rPr>
          <w:rFonts w:ascii="Arial" w:cs="Arial" w:eastAsia="Arial" w:hAnsi="Arial"/>
          <w:sz w:val="22"/>
          <w:szCs w:val="22"/>
        </w:rPr>
        <w:t xml:space="preserve">Any significant financial changes expected in the next 12 months</w:t>
      </w:r>
    </w:p>
    <w:p>
      <w:pPr>
        <w:spacing w:before="80" w:after="80"/>
      </w:pPr>
      <w:r>
        <w:rPr>
          <w:rFonts w:ascii="Arial" w:cs="Arial" w:eastAsia="Arial" w:hAnsi="Arial"/>
          <w:sz w:val="22"/>
          <w:szCs w:val="22"/>
        </w:rPr>
        <w:t xml:space="preserve">Supporting documentation is required — bank statements, mortgage statements, pension statements, payslips, P60s, and business accounts where relevant. HMRC self-assessment returns are required for the self-employed.</w:t>
      </w:r>
    </w:p>
    <w:p>
      <w:pPr>
        <w:pStyle w:val="Heading2"/>
        <w:spacing w:before="280" w:after="140"/>
      </w:pPr>
      <w:r>
        <w:rPr>
          <w:rFonts w:ascii="Arial" w:cs="Arial" w:eastAsia="Arial" w:hAnsi="Arial"/>
          <w:b/>
          <w:bCs/>
          <w:color w:val="2563a8"/>
          <w:sz w:val="28"/>
          <w:szCs w:val="28"/>
        </w:rPr>
        <w:t xml:space="preserve">When is Financial Disclosure Required?</w:t>
      </w:r>
    </w:p>
    <w:p>
      <w:pPr>
        <w:spacing w:before="80" w:after="80"/>
      </w:pPr>
      <w:r>
        <w:rPr>
          <w:rFonts w:ascii="Arial" w:cs="Arial" w:eastAsia="Arial" w:hAnsi="Arial"/>
          <w:sz w:val="22"/>
          <w:szCs w:val="22"/>
        </w:rPr>
        <w:t xml:space="preserve">If you apply to court for a Financial Remedy Order, Form E is mandatory for both parties and must be filed with the court before the First Directions Appointment. In cases resolved outside court — through solicitor negotiation or mediation — the same level of disclosure is still expected, even if the formal court form is not used. Any settlement based on incomplete information is vulnerable to being set aside later.</w:t>
      </w:r>
    </w:p>
    <w:p>
      <w:pPr>
        <w:pStyle w:val="Heading2"/>
        <w:spacing w:before="280" w:after="140"/>
      </w:pPr>
      <w:r>
        <w:rPr>
          <w:rFonts w:ascii="Arial" w:cs="Arial" w:eastAsia="Arial" w:hAnsi="Arial"/>
          <w:b/>
          <w:bCs/>
          <w:color w:val="2563a8"/>
          <w:sz w:val="28"/>
          <w:szCs w:val="28"/>
        </w:rPr>
        <w:t xml:space="preserve">The Duty of Full and Frank Disclosure</w:t>
      </w:r>
    </w:p>
    <w:p>
      <w:pPr>
        <w:spacing w:before="80" w:after="80"/>
      </w:pPr>
      <w:r>
        <w:rPr>
          <w:rFonts w:ascii="Arial" w:cs="Arial" w:eastAsia="Arial" w:hAnsi="Arial"/>
          <w:sz w:val="22"/>
          <w:szCs w:val="22"/>
        </w:rPr>
        <w:t xml:space="preserve">Both parties have a duty of full and frank disclosure. This is not just about answering the questions asked — it is about proactively disclosing anything that could be material to a fair settlement. Hiding assets, undervaluing business interests, or failing to mention income sources are all serious breaches of this duty.</w:t>
      </w:r>
    </w:p>
    <w:p>
      <w:pPr>
        <w:spacing w:before="200" w:after="100"/>
      </w:pPr>
      <w:r>
        <w:rPr>
          <w:rFonts w:ascii="Arial" w:cs="Arial" w:eastAsia="Arial" w:hAnsi="Arial"/>
          <w:b/>
          <w:bCs/>
          <w:color w:val="1a3c5e"/>
          <w:sz w:val="24"/>
          <w:szCs w:val="24"/>
        </w:rPr>
        <w:t xml:space="preserve">What happens if disclosure is incomplete?</w:t>
      </w:r>
    </w:p>
    <w:p>
      <w:pPr>
        <w:pStyle w:val="ListParagraph"/>
        <w:numPr>
          <w:ilvl w:val="0"/>
          <w:numId w:val="2"/>
        </w:numPr>
        <w:spacing w:before="60" w:after="60"/>
      </w:pPr>
      <w:r>
        <w:rPr>
          <w:rFonts w:ascii="Arial" w:cs="Arial" w:eastAsia="Arial" w:hAnsi="Arial"/>
          <w:sz w:val="22"/>
          <w:szCs w:val="22"/>
        </w:rPr>
        <w:t xml:space="preserve">Courts can draw adverse inferences against the non-disclosing party</w:t>
      </w:r>
    </w:p>
    <w:p>
      <w:pPr>
        <w:pStyle w:val="ListParagraph"/>
        <w:numPr>
          <w:ilvl w:val="0"/>
          <w:numId w:val="2"/>
        </w:numPr>
        <w:spacing w:before="60" w:after="60"/>
      </w:pPr>
      <w:r>
        <w:rPr>
          <w:rFonts w:ascii="Arial" w:cs="Arial" w:eastAsia="Arial" w:hAnsi="Arial"/>
          <w:sz w:val="22"/>
          <w:szCs w:val="22"/>
        </w:rPr>
        <w:t xml:space="preserve">A settlement or court order may be set aside if it was based on materially false information</w:t>
      </w:r>
    </w:p>
    <w:p>
      <w:pPr>
        <w:pStyle w:val="ListParagraph"/>
        <w:numPr>
          <w:ilvl w:val="0"/>
          <w:numId w:val="2"/>
        </w:numPr>
        <w:spacing w:before="60" w:after="60"/>
      </w:pPr>
      <w:r>
        <w:rPr>
          <w:rFonts w:ascii="Arial" w:cs="Arial" w:eastAsia="Arial" w:hAnsi="Arial"/>
          <w:sz w:val="22"/>
          <w:szCs w:val="22"/>
        </w:rPr>
        <w:t xml:space="preserve">Failure to comply with court disclosure orders can result in committal for contempt of court</w:t>
      </w:r>
    </w:p>
    <w:p>
      <w:pPr>
        <w:pStyle w:val="ListParagraph"/>
        <w:numPr>
          <w:ilvl w:val="0"/>
          <w:numId w:val="2"/>
        </w:numPr>
        <w:spacing w:before="60" w:after="60"/>
      </w:pPr>
      <w:r>
        <w:rPr>
          <w:rFonts w:ascii="Arial" w:cs="Arial" w:eastAsia="Arial" w:hAnsi="Arial"/>
          <w:sz w:val="22"/>
          <w:szCs w:val="22"/>
        </w:rPr>
        <w:t xml:space="preserve">The party in breach may face adverse costs orders</w:t>
      </w:r>
    </w:p>
    <w:p>
      <w:pPr>
        <w:pStyle w:val="Heading2"/>
        <w:spacing w:before="280" w:after="140"/>
      </w:pPr>
      <w:r>
        <w:rPr>
          <w:rFonts w:ascii="Arial" w:cs="Arial" w:eastAsia="Arial" w:hAnsi="Arial"/>
          <w:b/>
          <w:bCs/>
          <w:color w:val="2563a8"/>
          <w:sz w:val="28"/>
          <w:szCs w:val="28"/>
        </w:rPr>
        <w:t xml:space="preserve">What if You Suspect Your Spouse is Hiding Assets?</w:t>
      </w:r>
    </w:p>
    <w:p>
      <w:pPr>
        <w:spacing w:before="80" w:after="80"/>
      </w:pPr>
      <w:r>
        <w:rPr>
          <w:rFonts w:ascii="Arial" w:cs="Arial" w:eastAsia="Arial" w:hAnsi="Arial"/>
          <w:sz w:val="22"/>
          <w:szCs w:val="22"/>
        </w:rPr>
        <w:t xml:space="preserve">This is more common than many people realise. If you believe your spouse is hiding assets or undervaluing their financial position, you can:</w:t>
      </w:r>
    </w:p>
    <w:p>
      <w:pPr>
        <w:pStyle w:val="ListParagraph"/>
        <w:numPr>
          <w:ilvl w:val="0"/>
          <w:numId w:val="2"/>
        </w:numPr>
        <w:spacing w:before="60" w:after="60"/>
      </w:pPr>
      <w:r>
        <w:rPr>
          <w:rFonts w:ascii="Arial" w:cs="Arial" w:eastAsia="Arial" w:hAnsi="Arial"/>
          <w:sz w:val="22"/>
          <w:szCs w:val="22"/>
        </w:rPr>
        <w:t xml:space="preserve">Request specific documentation (bank statements, business accounts, valuation reports)</w:t>
      </w:r>
    </w:p>
    <w:p>
      <w:pPr>
        <w:pStyle w:val="ListParagraph"/>
        <w:numPr>
          <w:ilvl w:val="0"/>
          <w:numId w:val="2"/>
        </w:numPr>
        <w:spacing w:before="60" w:after="60"/>
      </w:pPr>
      <w:r>
        <w:rPr>
          <w:rFonts w:ascii="Arial" w:cs="Arial" w:eastAsia="Arial" w:hAnsi="Arial"/>
          <w:sz w:val="22"/>
          <w:szCs w:val="22"/>
        </w:rPr>
        <w:t xml:space="preserve">Apply for a court order compelling disclosure (a 'questionnaire' through the court process)</w:t>
      </w:r>
    </w:p>
    <w:p>
      <w:pPr>
        <w:pStyle w:val="ListParagraph"/>
        <w:numPr>
          <w:ilvl w:val="0"/>
          <w:numId w:val="2"/>
        </w:numPr>
        <w:spacing w:before="60" w:after="60"/>
      </w:pPr>
      <w:r>
        <w:rPr>
          <w:rFonts w:ascii="Arial" w:cs="Arial" w:eastAsia="Arial" w:hAnsi="Arial"/>
          <w:sz w:val="22"/>
          <w:szCs w:val="22"/>
        </w:rPr>
        <w:t xml:space="preserve">Apply for an order requiring third parties — such as banks or businesses — to produce documents</w:t>
      </w:r>
    </w:p>
    <w:p>
      <w:pPr>
        <w:pStyle w:val="ListParagraph"/>
        <w:numPr>
          <w:ilvl w:val="0"/>
          <w:numId w:val="2"/>
        </w:numPr>
        <w:spacing w:before="60" w:after="60"/>
      </w:pPr>
      <w:r>
        <w:rPr>
          <w:rFonts w:ascii="Arial" w:cs="Arial" w:eastAsia="Arial" w:hAnsi="Arial"/>
          <w:sz w:val="22"/>
          <w:szCs w:val="22"/>
        </w:rPr>
        <w:t xml:space="preserve">Instruct a forensic accountant to investigate business accounts or complex financial structures</w:t>
      </w:r>
    </w:p>
    <w:p>
      <w:pPr>
        <w:spacing w:before="80" w:after="80"/>
      </w:pPr>
      <w:r>
        <w:rPr>
          <w:rFonts w:ascii="Arial" w:cs="Arial" w:eastAsia="Arial" w:hAnsi="Arial"/>
          <w:sz w:val="22"/>
          <w:szCs w:val="22"/>
        </w:rPr>
        <w:t xml:space="preserve">Courts take non-disclosure seriously. In cases where hidden assets are discovered, courts can, and do, reopen settlements even years later.</w:t>
      </w:r>
    </w:p>
    <w:p>
      <w:pPr>
        <w:pStyle w:val="Heading2"/>
        <w:spacing w:before="280" w:after="140"/>
      </w:pPr>
      <w:r>
        <w:rPr>
          <w:rFonts w:ascii="Arial" w:cs="Arial" w:eastAsia="Arial" w:hAnsi="Arial"/>
          <w:b/>
          <w:bCs/>
          <w:color w:val="2563a8"/>
          <w:sz w:val="28"/>
          <w:szCs w:val="28"/>
        </w:rPr>
        <w:t xml:space="preserve">Financial Disclosure and Your Settlement Calculator</w:t>
      </w:r>
    </w:p>
    <w:p>
      <w:pPr>
        <w:spacing w:before="80" w:after="80"/>
      </w:pPr>
      <w:r>
        <w:rPr>
          <w:rFonts w:ascii="Arial" w:cs="Arial" w:eastAsia="Arial" w:hAnsi="Arial"/>
          <w:sz w:val="22"/>
          <w:szCs w:val="22"/>
        </w:rPr>
        <w:t xml:space="preserve">Using a divorce financial settlement calculator requires accurate financial information to be useful. Without realistic figures for both parties' income, assets, pensions, and debts, any modelling will be misleading. Completing thorough financial disclosure — even before you are required to — puts you in a stronger negotiating position and means any settlement is built on solid foundations.</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Financial disclosure is legally required in all divorce financial proceedings in England and Wales</w:t>
      </w:r>
    </w:p>
    <w:p>
      <w:pPr>
        <w:pStyle w:val="ListParagraph"/>
        <w:numPr>
          <w:ilvl w:val="0"/>
          <w:numId w:val="2"/>
        </w:numPr>
        <w:spacing w:before="60" w:after="60"/>
      </w:pPr>
      <w:r>
        <w:rPr>
          <w:rFonts w:ascii="Arial" w:cs="Arial" w:eastAsia="Arial" w:hAnsi="Arial"/>
          <w:sz w:val="22"/>
          <w:szCs w:val="22"/>
        </w:rPr>
        <w:t xml:space="preserve">Form E is the standard court disclosure document covering all aspects of your finances</w:t>
      </w:r>
    </w:p>
    <w:p>
      <w:pPr>
        <w:pStyle w:val="ListParagraph"/>
        <w:numPr>
          <w:ilvl w:val="0"/>
          <w:numId w:val="2"/>
        </w:numPr>
        <w:spacing w:before="60" w:after="60"/>
      </w:pPr>
      <w:r>
        <w:rPr>
          <w:rFonts w:ascii="Arial" w:cs="Arial" w:eastAsia="Arial" w:hAnsi="Arial"/>
          <w:sz w:val="22"/>
          <w:szCs w:val="22"/>
        </w:rPr>
        <w:t xml:space="preserve">Both parties have a duty of full and frank disclosure — not just answering questions, but proactively disclosing material information</w:t>
      </w:r>
    </w:p>
    <w:p>
      <w:pPr>
        <w:pStyle w:val="ListParagraph"/>
        <w:numPr>
          <w:ilvl w:val="0"/>
          <w:numId w:val="2"/>
        </w:numPr>
        <w:spacing w:before="60" w:after="60"/>
      </w:pPr>
      <w:r>
        <w:rPr>
          <w:rFonts w:ascii="Arial" w:cs="Arial" w:eastAsia="Arial" w:hAnsi="Arial"/>
          <w:sz w:val="22"/>
          <w:szCs w:val="22"/>
        </w:rPr>
        <w:t xml:space="preserve">Hiding assets or providing false information has serious legal consequences</w:t>
      </w:r>
    </w:p>
    <w:p>
      <w:pPr>
        <w:pStyle w:val="ListParagraph"/>
        <w:numPr>
          <w:ilvl w:val="0"/>
          <w:numId w:val="2"/>
        </w:numPr>
        <w:spacing w:before="60" w:after="60"/>
      </w:pPr>
      <w:r>
        <w:rPr>
          <w:rFonts w:ascii="Arial" w:cs="Arial" w:eastAsia="Arial" w:hAnsi="Arial"/>
          <w:sz w:val="22"/>
          <w:szCs w:val="22"/>
        </w:rPr>
        <w:t xml:space="preserve">Incomplete disclosure can be a basis for setting aside a settlement, even years later</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Do I have to complete Form E even if we agree?</w:t>
      </w:r>
    </w:p>
    <w:p>
      <w:pPr>
        <w:spacing w:before="80" w:after="80"/>
      </w:pPr>
      <w:r>
        <w:rPr>
          <w:rFonts w:ascii="Arial" w:cs="Arial" w:eastAsia="Arial" w:hAnsi="Arial"/>
          <w:sz w:val="22"/>
          <w:szCs w:val="22"/>
        </w:rPr>
        <w:t xml:space="preserve">If you settle without court proceedings, you are not required to formally complete Form E. However, full financial disclosure should still take place — courts expect it, and any settlement based on incomplete information is more vulnerable to challenge.</w:t>
      </w:r>
    </w:p>
    <w:p>
      <w:pPr>
        <w:spacing w:before="200" w:after="100"/>
      </w:pPr>
      <w:r>
        <w:rPr>
          <w:rFonts w:ascii="Arial" w:cs="Arial" w:eastAsia="Arial" w:hAnsi="Arial"/>
          <w:b/>
          <w:bCs/>
          <w:color w:val="1a3c5e"/>
          <w:sz w:val="24"/>
          <w:szCs w:val="24"/>
        </w:rPr>
        <w:t xml:space="preserve">What if my spouse refuses to provide financial disclosure?</w:t>
      </w:r>
    </w:p>
    <w:p>
      <w:pPr>
        <w:spacing w:before="80" w:after="80"/>
      </w:pPr>
      <w:r>
        <w:rPr>
          <w:rFonts w:ascii="Arial" w:cs="Arial" w:eastAsia="Arial" w:hAnsi="Arial"/>
          <w:sz w:val="22"/>
          <w:szCs w:val="22"/>
        </w:rPr>
        <w:t xml:space="preserve">If you issue court proceedings, the court can compel disclosure. Failure to comply can result in contempt of court, adverse cost orders, and the court drawing inferences about what undisclosed assets might contain.</w:t>
      </w:r>
    </w:p>
    <w:p>
      <w:pPr>
        <w:spacing w:before="200" w:after="100"/>
      </w:pPr>
      <w:r>
        <w:rPr>
          <w:rFonts w:ascii="Arial" w:cs="Arial" w:eastAsia="Arial" w:hAnsi="Arial"/>
          <w:b/>
          <w:bCs/>
          <w:color w:val="1a3c5e"/>
          <w:sz w:val="24"/>
          <w:szCs w:val="24"/>
        </w:rPr>
        <w:t xml:space="preserve">How far back do bank statements need to go?</w:t>
      </w:r>
    </w:p>
    <w:p>
      <w:pPr>
        <w:spacing w:before="80" w:after="80"/>
      </w:pPr>
      <w:r>
        <w:rPr>
          <w:rFonts w:ascii="Arial" w:cs="Arial" w:eastAsia="Arial" w:hAnsi="Arial"/>
          <w:sz w:val="22"/>
          <w:szCs w:val="22"/>
        </w:rPr>
        <w:t xml:space="preserve">For court proceedings, 12 months of bank statements is the standard. In some cases, particularly where there are concerns about asset dissipation, longer periods may be requested.</w:t>
      </w:r>
    </w:p>
    <w:p>
      <w:pPr>
        <w:spacing w:before="200" w:after="100"/>
      </w:pPr>
      <w:r>
        <w:rPr>
          <w:rFonts w:ascii="Arial" w:cs="Arial" w:eastAsia="Arial" w:hAnsi="Arial"/>
          <w:b/>
          <w:bCs/>
          <w:color w:val="1a3c5e"/>
          <w:sz w:val="24"/>
          <w:szCs w:val="24"/>
        </w:rPr>
        <w:t xml:space="preserve">Does disclosure include pension details?</w:t>
      </w:r>
    </w:p>
    <w:p>
      <w:pPr>
        <w:spacing w:before="80" w:after="80"/>
      </w:pPr>
      <w:r>
        <w:rPr>
          <w:rFonts w:ascii="Arial" w:cs="Arial" w:eastAsia="Arial" w:hAnsi="Arial"/>
          <w:sz w:val="22"/>
          <w:szCs w:val="22"/>
        </w:rPr>
        <w:t xml:space="preserve">Yes — pensions must be disclosed, including the current cash equivalent transfer value (CETV) from the pension provider. This is critical because pensions are often a significant asset that is overlooked.</w:t>
      </w:r>
    </w:p>
    <w:p>
      <w:pPr>
        <w:spacing w:before="200" w:after="100"/>
      </w:pPr>
      <w:r>
        <w:rPr>
          <w:rFonts w:ascii="Arial" w:cs="Arial" w:eastAsia="Arial" w:hAnsi="Arial"/>
          <w:b/>
          <w:bCs/>
          <w:color w:val="1a3c5e"/>
          <w:sz w:val="24"/>
          <w:szCs w:val="24"/>
        </w:rPr>
        <w:t xml:space="preserve">Can I use information obtained about my spouse's finances without their knowledge?</w:t>
      </w:r>
    </w:p>
    <w:p>
      <w:pPr>
        <w:spacing w:before="80" w:after="80"/>
      </w:pPr>
      <w:r>
        <w:rPr>
          <w:rFonts w:ascii="Arial" w:cs="Arial" w:eastAsia="Arial" w:hAnsi="Arial"/>
          <w:sz w:val="22"/>
          <w:szCs w:val="22"/>
        </w:rPr>
        <w:t xml:space="preserve">This is legally complex. Evidence obtained unlawfully (such as accessing someone's email account without permission) may be inadmissible and could expose you to legal liability. Seek legal advice if you have information you obtained in this way.</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Divorce Mediation Process UK Explained: How it Works and What to Expect</w:t>
      </w:r>
    </w:p>
    <w:p>
      <w:pPr>
        <w:pStyle w:val="Heading2"/>
        <w:spacing w:before="280" w:after="140"/>
      </w:pPr>
      <w:r>
        <w:rPr>
          <w:rFonts w:ascii="Arial" w:cs="Arial" w:eastAsia="Arial" w:hAnsi="Arial"/>
          <w:b/>
          <w:bCs/>
          <w:color w:val="2563a8"/>
          <w:sz w:val="28"/>
          <w:szCs w:val="28"/>
        </w:rPr>
        <w:t xml:space="preserve">What is the Divorce Mediation Process in the UK?</w:t>
      </w:r>
    </w:p>
    <w:p>
      <w:pPr>
        <w:spacing w:before="80" w:after="80"/>
      </w:pPr>
      <w:r>
        <w:rPr>
          <w:rFonts w:ascii="Arial" w:cs="Arial" w:eastAsia="Arial" w:hAnsi="Arial"/>
          <w:sz w:val="22"/>
          <w:szCs w:val="22"/>
        </w:rPr>
        <w:t xml:space="preserve">The divorce mediation process UK is an alternative to going to court — a structured process in which a trained, neutral mediator helps separating couples reach agreement on financial and/or child arrangements. In England and Wales, mediation is strongly encouraged by the courts, and attending a Mediation Information and Assessment Meeting (MIAM) is a legal requirement before issuing most court proceedings. Understanding the process helps you decide whether mediation is right for your situation.</w:t>
      </w:r>
    </w:p>
    <w:p>
      <w:pPr>
        <w:pStyle w:val="Heading2"/>
        <w:spacing w:before="280" w:after="140"/>
      </w:pPr>
      <w:r>
        <w:rPr>
          <w:rFonts w:ascii="Arial" w:cs="Arial" w:eastAsia="Arial" w:hAnsi="Arial"/>
          <w:b/>
          <w:bCs/>
          <w:color w:val="2563a8"/>
          <w:sz w:val="28"/>
          <w:szCs w:val="28"/>
        </w:rPr>
        <w:t xml:space="preserve">What is a MIAM?</w:t>
      </w:r>
    </w:p>
    <w:p>
      <w:pPr>
        <w:spacing w:before="80" w:after="80"/>
      </w:pPr>
      <w:r>
        <w:rPr>
          <w:rFonts w:ascii="Arial" w:cs="Arial" w:eastAsia="Arial" w:hAnsi="Arial"/>
          <w:sz w:val="22"/>
          <w:szCs w:val="22"/>
        </w:rPr>
        <w:t xml:space="preserve">A MIAM (Mediation Information and Assessment Meeting) is a one-to-one meeting with a mediator — not a joint session with your spouse — in which the mediator explains what mediation involves and assesses whether your case is suitable. Both parties must attend their own MIAM before issuing court proceedings, though they attend separately.</w:t>
      </w:r>
    </w:p>
    <w:p>
      <w:pPr>
        <w:spacing w:before="80" w:after="80"/>
      </w:pPr>
      <w:r>
        <w:rPr>
          <w:rFonts w:ascii="Arial" w:cs="Arial" w:eastAsia="Arial" w:hAnsi="Arial"/>
          <w:sz w:val="22"/>
          <w:szCs w:val="22"/>
        </w:rPr>
        <w:t xml:space="preserve">MIAMs are not required in cases involving domestic abuse, urgency, or where the other party is outside the country. A mediator can provide a MIAM certificate confirming you attended, which is required when issuing court proceedings.</w:t>
      </w:r>
    </w:p>
    <w:p>
      <w:pPr>
        <w:pStyle w:val="Heading2"/>
        <w:spacing w:before="280" w:after="140"/>
      </w:pPr>
      <w:r>
        <w:rPr>
          <w:rFonts w:ascii="Arial" w:cs="Arial" w:eastAsia="Arial" w:hAnsi="Arial"/>
          <w:b/>
          <w:bCs/>
          <w:color w:val="2563a8"/>
          <w:sz w:val="28"/>
          <w:szCs w:val="28"/>
        </w:rPr>
        <w:t xml:space="preserve">The Mediation Process: Step by Step</w:t>
      </w:r>
    </w:p>
    <w:p>
      <w:pPr>
        <w:spacing w:before="200" w:after="100"/>
      </w:pPr>
      <w:r>
        <w:rPr>
          <w:rFonts w:ascii="Arial" w:cs="Arial" w:eastAsia="Arial" w:hAnsi="Arial"/>
          <w:b/>
          <w:bCs/>
          <w:color w:val="1a3c5e"/>
          <w:sz w:val="24"/>
          <w:szCs w:val="24"/>
        </w:rPr>
        <w:t xml:space="preserve">Step 1: MIAM assessment</w:t>
      </w:r>
    </w:p>
    <w:p>
      <w:pPr>
        <w:spacing w:before="80" w:after="80"/>
      </w:pPr>
      <w:r>
        <w:rPr>
          <w:rFonts w:ascii="Arial" w:cs="Arial" w:eastAsia="Arial" w:hAnsi="Arial"/>
          <w:sz w:val="22"/>
          <w:szCs w:val="22"/>
        </w:rPr>
        <w:t xml:space="preserve">Both parties attend their MIAM separately. The mediator assesses suitability and explains the process. If both parties are willing to proceed and the case is suitable, joint mediation sessions are arranged.</w:t>
      </w:r>
    </w:p>
    <w:p>
      <w:pPr>
        <w:spacing w:before="200" w:after="100"/>
      </w:pPr>
      <w:r>
        <w:rPr>
          <w:rFonts w:ascii="Arial" w:cs="Arial" w:eastAsia="Arial" w:hAnsi="Arial"/>
          <w:b/>
          <w:bCs/>
          <w:color w:val="1a3c5e"/>
          <w:sz w:val="24"/>
          <w:szCs w:val="24"/>
        </w:rPr>
        <w:t xml:space="preserve">Step 2: Joint mediation sessions</w:t>
      </w:r>
    </w:p>
    <w:p>
      <w:pPr>
        <w:spacing w:before="80" w:after="80"/>
      </w:pPr>
      <w:r>
        <w:rPr>
          <w:rFonts w:ascii="Arial" w:cs="Arial" w:eastAsia="Arial" w:hAnsi="Arial"/>
          <w:sz w:val="22"/>
          <w:szCs w:val="22"/>
        </w:rPr>
        <w:t xml:space="preserve">Both parties meet together with the mediator (in person, or increasingly by video). The mediator does not take sides or make decisions — they facilitate discussion and help you identify areas of agreement and disagreement. Financial mediation may involve sharing income and asset information to ensure both parties are working from the same picture.</w:t>
      </w:r>
    </w:p>
    <w:p>
      <w:pPr>
        <w:spacing w:before="200" w:after="100"/>
      </w:pPr>
      <w:r>
        <w:rPr>
          <w:rFonts w:ascii="Arial" w:cs="Arial" w:eastAsia="Arial" w:hAnsi="Arial"/>
          <w:b/>
          <w:bCs/>
          <w:color w:val="1a3c5e"/>
          <w:sz w:val="24"/>
          <w:szCs w:val="24"/>
        </w:rPr>
        <w:t xml:space="preserve">Step 3: Open financial information</w:t>
      </w:r>
    </w:p>
    <w:p>
      <w:pPr>
        <w:spacing w:before="80" w:after="80"/>
      </w:pPr>
      <w:r>
        <w:rPr>
          <w:rFonts w:ascii="Arial" w:cs="Arial" w:eastAsia="Arial" w:hAnsi="Arial"/>
          <w:sz w:val="22"/>
          <w:szCs w:val="22"/>
        </w:rPr>
        <w:t xml:space="preserve">For financial mediation, both parties are expected to provide open and honest financial information. This is not as formal as Form E but serves the same purpose — ensuring any agreement is based on the full picture.</w:t>
      </w:r>
    </w:p>
    <w:p>
      <w:pPr>
        <w:spacing w:before="200" w:after="100"/>
      </w:pPr>
      <w:r>
        <w:rPr>
          <w:rFonts w:ascii="Arial" w:cs="Arial" w:eastAsia="Arial" w:hAnsi="Arial"/>
          <w:b/>
          <w:bCs/>
          <w:color w:val="1a3c5e"/>
          <w:sz w:val="24"/>
          <w:szCs w:val="24"/>
        </w:rPr>
        <w:t xml:space="preserve">Step 4: Reaching a memorandum of understanding</w:t>
      </w:r>
    </w:p>
    <w:p>
      <w:pPr>
        <w:spacing w:before="80" w:after="80"/>
      </w:pPr>
      <w:r>
        <w:rPr>
          <w:rFonts w:ascii="Arial" w:cs="Arial" w:eastAsia="Arial" w:hAnsi="Arial"/>
          <w:sz w:val="22"/>
          <w:szCs w:val="22"/>
        </w:rPr>
        <w:t xml:space="preserve">If agreement is reached, the mediator prepares a Memorandum of Understanding (MOU) — a document summarising what has been agreed. This is not legally binding in itself but forms the basis for a solicitor to draft a consent order.</w:t>
      </w:r>
    </w:p>
    <w:p>
      <w:pPr>
        <w:spacing w:before="200" w:after="100"/>
      </w:pPr>
      <w:r>
        <w:rPr>
          <w:rFonts w:ascii="Arial" w:cs="Arial" w:eastAsia="Arial" w:hAnsi="Arial"/>
          <w:b/>
          <w:bCs/>
          <w:color w:val="1a3c5e"/>
          <w:sz w:val="24"/>
          <w:szCs w:val="24"/>
        </w:rPr>
        <w:t xml:space="preserve">Step 5: Converting to a consent order</w:t>
      </w:r>
    </w:p>
    <w:p>
      <w:pPr>
        <w:spacing w:before="80" w:after="80"/>
      </w:pPr>
      <w:r>
        <w:rPr>
          <w:rFonts w:ascii="Arial" w:cs="Arial" w:eastAsia="Arial" w:hAnsi="Arial"/>
          <w:sz w:val="22"/>
          <w:szCs w:val="22"/>
        </w:rPr>
        <w:t xml:space="preserve">For any financial agreement to be legally binding, it must be submitted to court as a consent order. A solicitor uses the memorandum of understanding to draft this formal document. Both parties should have their own legal advice before signing.</w:t>
      </w:r>
    </w:p>
    <w:p>
      <w:pPr>
        <w:pStyle w:val="Heading2"/>
        <w:spacing w:before="280" w:after="140"/>
      </w:pPr>
      <w:r>
        <w:rPr>
          <w:rFonts w:ascii="Arial" w:cs="Arial" w:eastAsia="Arial" w:hAnsi="Arial"/>
          <w:b/>
          <w:bCs/>
          <w:color w:val="2563a8"/>
          <w:sz w:val="28"/>
          <w:szCs w:val="28"/>
        </w:rPr>
        <w:t xml:space="preserve">Financial Mediation vs Child Arrangements Mediation</w:t>
      </w:r>
    </w:p>
    <w:p>
      <w:pPr>
        <w:spacing w:before="80" w:after="80"/>
      </w:pPr>
      <w:r>
        <w:rPr>
          <w:rFonts w:ascii="Arial" w:cs="Arial" w:eastAsia="Arial" w:hAnsi="Arial"/>
          <w:sz w:val="22"/>
          <w:szCs w:val="22"/>
        </w:rPr>
        <w:t xml:space="preserve">Mediation can cover both financial matters and child arrangements, either separately or together. Many couples find it helpful to resolve child arrangements first — having a clear parenting plan can make financial negotiations easier, particularly where housing is concerned.</w:t>
      </w:r>
    </w:p>
    <w:p>
      <w:pPr>
        <w:pStyle w:val="Heading2"/>
        <w:spacing w:before="280" w:after="140"/>
      </w:pPr>
      <w:r>
        <w:rPr>
          <w:rFonts w:ascii="Arial" w:cs="Arial" w:eastAsia="Arial" w:hAnsi="Arial"/>
          <w:b/>
          <w:bCs/>
          <w:color w:val="2563a8"/>
          <w:sz w:val="28"/>
          <w:szCs w:val="28"/>
        </w:rPr>
        <w:t xml:space="preserve">Benefits of Mediation</w:t>
      </w:r>
    </w:p>
    <w:p>
      <w:pPr>
        <w:pStyle w:val="ListParagraph"/>
        <w:numPr>
          <w:ilvl w:val="0"/>
          <w:numId w:val="2"/>
        </w:numPr>
        <w:spacing w:before="60" w:after="60"/>
      </w:pPr>
      <w:r>
        <w:rPr>
          <w:rFonts w:ascii="Arial" w:cs="Arial" w:eastAsia="Arial" w:hAnsi="Arial"/>
          <w:sz w:val="22"/>
          <w:szCs w:val="22"/>
        </w:rPr>
        <w:t xml:space="preserve">Significantly cheaper than court proceedings — mediation typically costs £100-£200 per person per session</w:t>
      </w:r>
    </w:p>
    <w:p>
      <w:pPr>
        <w:pStyle w:val="ListParagraph"/>
        <w:numPr>
          <w:ilvl w:val="0"/>
          <w:numId w:val="2"/>
        </w:numPr>
        <w:spacing w:before="60" w:after="60"/>
      </w:pPr>
      <w:r>
        <w:rPr>
          <w:rFonts w:ascii="Arial" w:cs="Arial" w:eastAsia="Arial" w:hAnsi="Arial"/>
          <w:sz w:val="22"/>
          <w:szCs w:val="22"/>
        </w:rPr>
        <w:t xml:space="preserve">Faster — most cases are resolved in 3-6 sessions</w:t>
      </w:r>
    </w:p>
    <w:p>
      <w:pPr>
        <w:pStyle w:val="ListParagraph"/>
        <w:numPr>
          <w:ilvl w:val="0"/>
          <w:numId w:val="2"/>
        </w:numPr>
        <w:spacing w:before="60" w:after="60"/>
      </w:pPr>
      <w:r>
        <w:rPr>
          <w:rFonts w:ascii="Arial" w:cs="Arial" w:eastAsia="Arial" w:hAnsi="Arial"/>
          <w:sz w:val="22"/>
          <w:szCs w:val="22"/>
        </w:rPr>
        <w:t xml:space="preserve">Less adversarial — particularly important where you will need to co-parent</w:t>
      </w:r>
    </w:p>
    <w:p>
      <w:pPr>
        <w:pStyle w:val="ListParagraph"/>
        <w:numPr>
          <w:ilvl w:val="0"/>
          <w:numId w:val="2"/>
        </w:numPr>
        <w:spacing w:before="60" w:after="60"/>
      </w:pPr>
      <w:r>
        <w:rPr>
          <w:rFonts w:ascii="Arial" w:cs="Arial" w:eastAsia="Arial" w:hAnsi="Arial"/>
          <w:sz w:val="22"/>
          <w:szCs w:val="22"/>
        </w:rPr>
        <w:t xml:space="preserve">You retain control of the outcome rather than leaving it to a judge</w:t>
      </w:r>
    </w:p>
    <w:p>
      <w:pPr>
        <w:pStyle w:val="ListParagraph"/>
        <w:numPr>
          <w:ilvl w:val="0"/>
          <w:numId w:val="2"/>
        </w:numPr>
        <w:spacing w:before="60" w:after="60"/>
      </w:pPr>
      <w:r>
        <w:rPr>
          <w:rFonts w:ascii="Arial" w:cs="Arial" w:eastAsia="Arial" w:hAnsi="Arial"/>
          <w:sz w:val="22"/>
          <w:szCs w:val="22"/>
        </w:rPr>
        <w:t xml:space="preserve">Private — unlike court proceedings, mediation is confidential</w:t>
      </w:r>
    </w:p>
    <w:p>
      <w:pPr>
        <w:pStyle w:val="Heading2"/>
        <w:spacing w:before="280" w:after="140"/>
      </w:pPr>
      <w:r>
        <w:rPr>
          <w:rFonts w:ascii="Arial" w:cs="Arial" w:eastAsia="Arial" w:hAnsi="Arial"/>
          <w:b/>
          <w:bCs/>
          <w:color w:val="2563a8"/>
          <w:sz w:val="28"/>
          <w:szCs w:val="28"/>
        </w:rPr>
        <w:t xml:space="preserve">When Mediation May Not Be Suitable</w:t>
      </w:r>
    </w:p>
    <w:p>
      <w:pPr>
        <w:pStyle w:val="ListParagraph"/>
        <w:numPr>
          <w:ilvl w:val="0"/>
          <w:numId w:val="2"/>
        </w:numPr>
        <w:spacing w:before="60" w:after="60"/>
      </w:pPr>
      <w:r>
        <w:rPr>
          <w:rFonts w:ascii="Arial" w:cs="Arial" w:eastAsia="Arial" w:hAnsi="Arial"/>
          <w:sz w:val="22"/>
          <w:szCs w:val="22"/>
        </w:rPr>
        <w:t xml:space="preserve">Cases involving domestic abuse or significant power imbalance</w:t>
      </w:r>
    </w:p>
    <w:p>
      <w:pPr>
        <w:pStyle w:val="ListParagraph"/>
        <w:numPr>
          <w:ilvl w:val="0"/>
          <w:numId w:val="2"/>
        </w:numPr>
        <w:spacing w:before="60" w:after="60"/>
      </w:pPr>
      <w:r>
        <w:rPr>
          <w:rFonts w:ascii="Arial" w:cs="Arial" w:eastAsia="Arial" w:hAnsi="Arial"/>
          <w:sz w:val="22"/>
          <w:szCs w:val="22"/>
        </w:rPr>
        <w:t xml:space="preserve">Where one party is dishonest about their finances or refuses to engage in good faith</w:t>
      </w:r>
    </w:p>
    <w:p>
      <w:pPr>
        <w:pStyle w:val="ListParagraph"/>
        <w:numPr>
          <w:ilvl w:val="0"/>
          <w:numId w:val="2"/>
        </w:numPr>
        <w:spacing w:before="60" w:after="60"/>
      </w:pPr>
      <w:r>
        <w:rPr>
          <w:rFonts w:ascii="Arial" w:cs="Arial" w:eastAsia="Arial" w:hAnsi="Arial"/>
          <w:sz w:val="22"/>
          <w:szCs w:val="22"/>
        </w:rPr>
        <w:t xml:space="preserve">Urgency — for example, where immediate financial orders are needed</w:t>
      </w:r>
    </w:p>
    <w:p>
      <w:pPr>
        <w:pStyle w:val="ListParagraph"/>
        <w:numPr>
          <w:ilvl w:val="0"/>
          <w:numId w:val="2"/>
        </w:numPr>
        <w:spacing w:before="60" w:after="60"/>
      </w:pPr>
      <w:r>
        <w:rPr>
          <w:rFonts w:ascii="Arial" w:cs="Arial" w:eastAsia="Arial" w:hAnsi="Arial"/>
          <w:sz w:val="22"/>
          <w:szCs w:val="22"/>
        </w:rPr>
        <w:t xml:space="preserve">Cases with very complex financial structures requiring expert input from the outset</w:t>
      </w:r>
    </w:p>
    <w:p>
      <w:pPr>
        <w:pStyle w:val="Heading2"/>
        <w:spacing w:before="280" w:after="140"/>
      </w:pPr>
      <w:r>
        <w:rPr>
          <w:rFonts w:ascii="Arial" w:cs="Arial" w:eastAsia="Arial" w:hAnsi="Arial"/>
          <w:b/>
          <w:bCs/>
          <w:color w:val="2563a8"/>
          <w:sz w:val="28"/>
          <w:szCs w:val="28"/>
        </w:rPr>
        <w:t xml:space="preserve">Mediation and Your Financial Understanding</w:t>
      </w:r>
    </w:p>
    <w:p>
      <w:pPr>
        <w:spacing w:before="80" w:after="80"/>
      </w:pPr>
      <w:r>
        <w:rPr>
          <w:rFonts w:ascii="Arial" w:cs="Arial" w:eastAsia="Arial" w:hAnsi="Arial"/>
          <w:sz w:val="22"/>
          <w:szCs w:val="22"/>
        </w:rPr>
        <w:t xml:space="preserve">Coming to mediation with a clear understanding of your finances gives you a significant advantage. Using a divorce financial settlement calculator to model different scenarios before sessions means you can engage more effectively with the mediator and assess proposed solutions quickly — rather than needing to pause and take advice after every session.</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A MIAM is legally required before most court proceedings</w:t>
      </w:r>
    </w:p>
    <w:p>
      <w:pPr>
        <w:pStyle w:val="ListParagraph"/>
        <w:numPr>
          <w:ilvl w:val="0"/>
          <w:numId w:val="2"/>
        </w:numPr>
        <w:spacing w:before="60" w:after="60"/>
      </w:pPr>
      <w:r>
        <w:rPr>
          <w:rFonts w:ascii="Arial" w:cs="Arial" w:eastAsia="Arial" w:hAnsi="Arial"/>
          <w:sz w:val="22"/>
          <w:szCs w:val="22"/>
        </w:rPr>
        <w:t xml:space="preserve">Mediation is voluntary and confidential — the mediator does not make decisions</w:t>
      </w:r>
    </w:p>
    <w:p>
      <w:pPr>
        <w:pStyle w:val="ListParagraph"/>
        <w:numPr>
          <w:ilvl w:val="0"/>
          <w:numId w:val="2"/>
        </w:numPr>
        <w:spacing w:before="60" w:after="60"/>
      </w:pPr>
      <w:r>
        <w:rPr>
          <w:rFonts w:ascii="Arial" w:cs="Arial" w:eastAsia="Arial" w:hAnsi="Arial"/>
          <w:sz w:val="22"/>
          <w:szCs w:val="22"/>
        </w:rPr>
        <w:t xml:space="preserve">A memorandum of understanding produced in mediation must be converted into a consent order to be legally binding</w:t>
      </w:r>
    </w:p>
    <w:p>
      <w:pPr>
        <w:pStyle w:val="ListParagraph"/>
        <w:numPr>
          <w:ilvl w:val="0"/>
          <w:numId w:val="2"/>
        </w:numPr>
        <w:spacing w:before="60" w:after="60"/>
      </w:pPr>
      <w:r>
        <w:rPr>
          <w:rFonts w:ascii="Arial" w:cs="Arial" w:eastAsia="Arial" w:hAnsi="Arial"/>
          <w:sz w:val="22"/>
          <w:szCs w:val="22"/>
        </w:rPr>
        <w:t xml:space="preserve">Mediation is typically cheaper and faster than court proceedings</w:t>
      </w:r>
    </w:p>
    <w:p>
      <w:pPr>
        <w:pStyle w:val="ListParagraph"/>
        <w:numPr>
          <w:ilvl w:val="0"/>
          <w:numId w:val="2"/>
        </w:numPr>
        <w:spacing w:before="60" w:after="60"/>
      </w:pPr>
      <w:r>
        <w:rPr>
          <w:rFonts w:ascii="Arial" w:cs="Arial" w:eastAsia="Arial" w:hAnsi="Arial"/>
          <w:sz w:val="22"/>
          <w:szCs w:val="22"/>
        </w:rPr>
        <w:t xml:space="preserve">It is not suitable in cases of domestic abuse or serious financial dishonesty</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Is mediation compulsory in divorce?</w:t>
      </w:r>
    </w:p>
    <w:p>
      <w:pPr>
        <w:spacing w:before="80" w:after="80"/>
      </w:pPr>
      <w:r>
        <w:rPr>
          <w:rFonts w:ascii="Arial" w:cs="Arial" w:eastAsia="Arial" w:hAnsi="Arial"/>
          <w:sz w:val="22"/>
          <w:szCs w:val="22"/>
        </w:rPr>
        <w:t xml:space="preserve">Attending a MIAM is compulsory before most court applications. Proceeding to joint mediation is voluntary — but courts look favourably on parties who make genuine efforts to reach agreement without litigation.</w:t>
      </w:r>
    </w:p>
    <w:p>
      <w:pPr>
        <w:spacing w:before="200" w:after="100"/>
      </w:pPr>
      <w:r>
        <w:rPr>
          <w:rFonts w:ascii="Arial" w:cs="Arial" w:eastAsia="Arial" w:hAnsi="Arial"/>
          <w:b/>
          <w:bCs/>
          <w:color w:val="1a3c5e"/>
          <w:sz w:val="24"/>
          <w:szCs w:val="24"/>
        </w:rPr>
        <w:t xml:space="preserve">How much does mediation cost?</w:t>
      </w:r>
    </w:p>
    <w:p>
      <w:pPr>
        <w:spacing w:before="80" w:after="80"/>
      </w:pPr>
      <w:r>
        <w:rPr>
          <w:rFonts w:ascii="Arial" w:cs="Arial" w:eastAsia="Arial" w:hAnsi="Arial"/>
          <w:sz w:val="22"/>
          <w:szCs w:val="22"/>
        </w:rPr>
        <w:t xml:space="preserve">Typically £100-£200 per person per session. Many sessions last 1.5-2 hours. Most financial settlements are resolved within 3-6 sessions. Legal Aid may be available for those who qualify.</w:t>
      </w:r>
    </w:p>
    <w:p>
      <w:pPr>
        <w:spacing w:before="200" w:after="100"/>
      </w:pPr>
      <w:r>
        <w:rPr>
          <w:rFonts w:ascii="Arial" w:cs="Arial" w:eastAsia="Arial" w:hAnsi="Arial"/>
          <w:b/>
          <w:bCs/>
          <w:color w:val="1a3c5e"/>
          <w:sz w:val="24"/>
          <w:szCs w:val="24"/>
        </w:rPr>
        <w:t xml:space="preserve">What if the other party refuses to attend mediation?</w:t>
      </w:r>
    </w:p>
    <w:p>
      <w:pPr>
        <w:spacing w:before="80" w:after="80"/>
      </w:pPr>
      <w:r>
        <w:rPr>
          <w:rFonts w:ascii="Arial" w:cs="Arial" w:eastAsia="Arial" w:hAnsi="Arial"/>
          <w:sz w:val="22"/>
          <w:szCs w:val="22"/>
        </w:rPr>
        <w:t xml:space="preserve">You cannot force your spouse to attend. If they refuse, you can proceed to court — the court will consider that you attempted mediation. The non-attending party may face adverse cost consequences.</w:t>
      </w:r>
    </w:p>
    <w:p>
      <w:pPr>
        <w:spacing w:before="200" w:after="100"/>
      </w:pPr>
      <w:r>
        <w:rPr>
          <w:rFonts w:ascii="Arial" w:cs="Arial" w:eastAsia="Arial" w:hAnsi="Arial"/>
          <w:b/>
          <w:bCs/>
          <w:color w:val="1a3c5e"/>
          <w:sz w:val="24"/>
          <w:szCs w:val="24"/>
        </w:rPr>
        <w:t xml:space="preserve">Can I have a solicitor present in mediation?</w:t>
      </w:r>
    </w:p>
    <w:p>
      <w:pPr>
        <w:spacing w:before="80" w:after="80"/>
      </w:pPr>
      <w:r>
        <w:rPr>
          <w:rFonts w:ascii="Arial" w:cs="Arial" w:eastAsia="Arial" w:hAnsi="Arial"/>
          <w:sz w:val="22"/>
          <w:szCs w:val="22"/>
        </w:rPr>
        <w:t xml:space="preserve">Traditional mediation does not involve solicitors in the room, though solicitor-assisted mediation models exist. Most mediators encourage parties to take legal advice between sessions.</w:t>
      </w:r>
    </w:p>
    <w:p>
      <w:pPr>
        <w:spacing w:before="200" w:after="100"/>
      </w:pPr>
      <w:r>
        <w:rPr>
          <w:rFonts w:ascii="Arial" w:cs="Arial" w:eastAsia="Arial" w:hAnsi="Arial"/>
          <w:b/>
          <w:bCs/>
          <w:color w:val="1a3c5e"/>
          <w:sz w:val="24"/>
          <w:szCs w:val="24"/>
        </w:rPr>
        <w:t xml:space="preserve">Does what I say in mediation affect my court case?</w:t>
      </w:r>
    </w:p>
    <w:p>
      <w:pPr>
        <w:spacing w:before="80" w:after="80"/>
      </w:pPr>
      <w:r>
        <w:rPr>
          <w:rFonts w:ascii="Arial" w:cs="Arial" w:eastAsia="Arial" w:hAnsi="Arial"/>
          <w:sz w:val="22"/>
          <w:szCs w:val="22"/>
        </w:rPr>
        <w:t xml:space="preserve">Mediation is confidential and 'without prejudice' — what is said cannot generally be used as evidence in court proceedings. However, financial information exchanged in mediation may be disclosed if it becomes relevant.</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Timeline of Divorce and Financial Settlement UK: A Step-by-Step Guide</w:t>
      </w:r>
    </w:p>
    <w:p>
      <w:pPr>
        <w:pStyle w:val="Heading2"/>
        <w:spacing w:before="280" w:after="140"/>
      </w:pPr>
      <w:r>
        <w:rPr>
          <w:rFonts w:ascii="Arial" w:cs="Arial" w:eastAsia="Arial" w:hAnsi="Arial"/>
          <w:b/>
          <w:bCs/>
          <w:color w:val="2563a8"/>
          <w:sz w:val="28"/>
          <w:szCs w:val="28"/>
        </w:rPr>
        <w:t xml:space="preserve">Understanding the Full Timeline of Divorce and Financial Settlement in the UK</w:t>
      </w:r>
    </w:p>
    <w:p>
      <w:pPr>
        <w:spacing w:before="80" w:after="80"/>
      </w:pPr>
      <w:r>
        <w:rPr>
          <w:rFonts w:ascii="Arial" w:cs="Arial" w:eastAsia="Arial" w:hAnsi="Arial"/>
          <w:sz w:val="22"/>
          <w:szCs w:val="22"/>
        </w:rPr>
        <w:t xml:space="preserve">The timeline of divorce and financial settlement UK is one of the most practical things to understand when your marriage ends. The legal process has multiple stages — and financial settlement is often handled separately from, and in parallel with, the divorce itself. Understanding the full picture from start to finish helps you plan, manage expectations, and avoid costly delays.</w:t>
      </w:r>
    </w:p>
    <w:p>
      <w:pPr>
        <w:pStyle w:val="Heading2"/>
        <w:spacing w:before="280" w:after="140"/>
      </w:pPr>
      <w:r>
        <w:rPr>
          <w:rFonts w:ascii="Arial" w:cs="Arial" w:eastAsia="Arial" w:hAnsi="Arial"/>
          <w:b/>
          <w:bCs/>
          <w:color w:val="2563a8"/>
          <w:sz w:val="28"/>
          <w:szCs w:val="28"/>
        </w:rPr>
        <w:t xml:space="preserve">Overview: Two Parallel Tracks</w:t>
      </w:r>
    </w:p>
    <w:p>
      <w:pPr>
        <w:spacing w:before="80" w:after="80"/>
      </w:pPr>
      <w:r>
        <w:rPr>
          <w:rFonts w:ascii="Arial" w:cs="Arial" w:eastAsia="Arial" w:hAnsi="Arial"/>
          <w:sz w:val="22"/>
          <w:szCs w:val="22"/>
        </w:rPr>
        <w:t xml:space="preserve">In England and Wales, the divorce process and the financial settlement process are legally separate — and can run at different speeds. The divorce application moves through its own stages (application, conditional order, final order), while the financial settlement proceeds through its own pathway (disclosure, negotiation, consent order or court proceedings).</w:t>
      </w:r>
    </w:p>
    <w:p>
      <w:pPr>
        <w:spacing w:before="80" w:after="80"/>
      </w:pPr>
      <w:r>
        <w:rPr>
          <w:rFonts w:ascii="Arial" w:cs="Arial" w:eastAsia="Arial" w:hAnsi="Arial"/>
          <w:sz w:val="22"/>
          <w:szCs w:val="22"/>
        </w:rPr>
        <w:t xml:space="preserve">Most solicitors recommend resolving finances before applying for the Final Order (formerly Decree Absolute), because becoming legally divorced before financial matters are resolved can affect certain pension rights and inheritance protections.</w:t>
      </w:r>
    </w:p>
    <w:p>
      <w:pPr>
        <w:pStyle w:val="Heading2"/>
        <w:spacing w:before="280" w:after="140"/>
      </w:pPr>
      <w:r>
        <w:rPr>
          <w:rFonts w:ascii="Arial" w:cs="Arial" w:eastAsia="Arial" w:hAnsi="Arial"/>
          <w:b/>
          <w:bCs/>
          <w:color w:val="2563a8"/>
          <w:sz w:val="28"/>
          <w:szCs w:val="28"/>
        </w:rPr>
        <w:t xml:space="preserve">Month-by-Month Timeline: Agreed Settlement</w:t>
      </w:r>
    </w:p>
    <w:p>
      <w:pPr>
        <w:spacing w:before="200" w:after="100"/>
      </w:pPr>
      <w:r>
        <w:rPr>
          <w:rFonts w:ascii="Arial" w:cs="Arial" w:eastAsia="Arial" w:hAnsi="Arial"/>
          <w:b/>
          <w:bCs/>
          <w:color w:val="1a3c5e"/>
          <w:sz w:val="24"/>
          <w:szCs w:val="24"/>
        </w:rPr>
        <w:t xml:space="preserve">Month 1-2: Separation and initial steps</w:t>
      </w:r>
    </w:p>
    <w:p>
      <w:pPr>
        <w:spacing w:before="80" w:after="80"/>
      </w:pPr>
      <w:r>
        <w:rPr>
          <w:rFonts w:ascii="Arial" w:cs="Arial" w:eastAsia="Arial" w:hAnsi="Arial"/>
          <w:sz w:val="22"/>
          <w:szCs w:val="22"/>
        </w:rPr>
        <w:t xml:space="preserve">You decide to divorce. Initial conversations with solicitors or mediators. Notification of banks and mortgage provider. If children are involved, initial discussions about care arrangements.</w:t>
      </w:r>
    </w:p>
    <w:p>
      <w:pPr>
        <w:spacing w:before="200" w:after="100"/>
      </w:pPr>
      <w:r>
        <w:rPr>
          <w:rFonts w:ascii="Arial" w:cs="Arial" w:eastAsia="Arial" w:hAnsi="Arial"/>
          <w:b/>
          <w:bCs/>
          <w:color w:val="1a3c5e"/>
          <w:sz w:val="24"/>
          <w:szCs w:val="24"/>
        </w:rPr>
        <w:t xml:space="preserve">Month 2-4: Divorce application and financial disclosure</w:t>
      </w:r>
    </w:p>
    <w:p>
      <w:pPr>
        <w:spacing w:before="80" w:after="80"/>
      </w:pPr>
      <w:r>
        <w:rPr>
          <w:rFonts w:ascii="Arial" w:cs="Arial" w:eastAsia="Arial" w:hAnsi="Arial"/>
          <w:sz w:val="22"/>
          <w:szCs w:val="22"/>
        </w:rPr>
        <w:t xml:space="preserve">Divorce application submitted online. Conditional Order applied for (minimum 20 weeks from application). Both parties complete financial disclosure — collating bank statements, pension valuations, property valuations, payslips. Form E or equivalent exchange.</w:t>
      </w:r>
    </w:p>
    <w:p>
      <w:pPr>
        <w:spacing w:before="200" w:after="100"/>
      </w:pPr>
      <w:r>
        <w:rPr>
          <w:rFonts w:ascii="Arial" w:cs="Arial" w:eastAsia="Arial" w:hAnsi="Arial"/>
          <w:b/>
          <w:bCs/>
          <w:color w:val="1a3c5e"/>
          <w:sz w:val="24"/>
          <w:szCs w:val="24"/>
        </w:rPr>
        <w:t xml:space="preserve">Month 3-6: Negotiation and mediation</w:t>
      </w:r>
    </w:p>
    <w:p>
      <w:pPr>
        <w:spacing w:before="80" w:after="80"/>
      </w:pPr>
      <w:r>
        <w:rPr>
          <w:rFonts w:ascii="Arial" w:cs="Arial" w:eastAsia="Arial" w:hAnsi="Arial"/>
          <w:sz w:val="22"/>
          <w:szCs w:val="22"/>
        </w:rPr>
        <w:t xml:space="preserve">Once disclosure is complete, negotiation begins. This may involve solicitors exchanging offers, mediation sessions, or direct negotiation between the parties. Many cases settle at this stage.</w:t>
      </w:r>
    </w:p>
    <w:p>
      <w:pPr>
        <w:spacing w:before="200" w:after="100"/>
      </w:pPr>
      <w:r>
        <w:rPr>
          <w:rFonts w:ascii="Arial" w:cs="Arial" w:eastAsia="Arial" w:hAnsi="Arial"/>
          <w:b/>
          <w:bCs/>
          <w:color w:val="1a3c5e"/>
          <w:sz w:val="24"/>
          <w:szCs w:val="24"/>
        </w:rPr>
        <w:t xml:space="preserve">Month 4-8: Drafting and submitting the consent order</w:t>
      </w:r>
    </w:p>
    <w:p>
      <w:pPr>
        <w:spacing w:before="80" w:after="80"/>
      </w:pPr>
      <w:r>
        <w:rPr>
          <w:rFonts w:ascii="Arial" w:cs="Arial" w:eastAsia="Arial" w:hAnsi="Arial"/>
          <w:sz w:val="22"/>
          <w:szCs w:val="22"/>
        </w:rPr>
        <w:t xml:space="preserve">Agreement reached. Solicitor drafts consent order and Form D81 statement of information. Both parties sign. Submitted to court with court fee of £53. Court reviews and approves — typically 4-8 weeks.</w:t>
      </w:r>
    </w:p>
    <w:p>
      <w:pPr>
        <w:spacing w:before="200" w:after="100"/>
      </w:pPr>
      <w:r>
        <w:rPr>
          <w:rFonts w:ascii="Arial" w:cs="Arial" w:eastAsia="Arial" w:hAnsi="Arial"/>
          <w:b/>
          <w:bCs/>
          <w:color w:val="1a3c5e"/>
          <w:sz w:val="24"/>
          <w:szCs w:val="24"/>
        </w:rPr>
        <w:t xml:space="preserve">Month 6-10: Final Order and implementation</w:t>
      </w:r>
    </w:p>
    <w:p>
      <w:pPr>
        <w:spacing w:before="80" w:after="80"/>
      </w:pPr>
      <w:r>
        <w:rPr>
          <w:rFonts w:ascii="Arial" w:cs="Arial" w:eastAsia="Arial" w:hAnsi="Arial"/>
          <w:sz w:val="22"/>
          <w:szCs w:val="22"/>
        </w:rPr>
        <w:t xml:space="preserve">Once financial settlement is approved, the Final Order can be obtained (if not already done). Property transfers, mortgage applications, pension sharing orders implemented. Bank accounts separated. Any lump sums paid.</w:t>
      </w:r>
    </w:p>
    <w:p>
      <w:pPr>
        <w:pStyle w:val="Heading2"/>
        <w:spacing w:before="280" w:after="140"/>
      </w:pPr>
      <w:r>
        <w:rPr>
          <w:rFonts w:ascii="Arial" w:cs="Arial" w:eastAsia="Arial" w:hAnsi="Arial"/>
          <w:b/>
          <w:bCs/>
          <w:color w:val="2563a8"/>
          <w:sz w:val="28"/>
          <w:szCs w:val="28"/>
        </w:rPr>
        <w:t xml:space="preserve">Timeline for Contested Cases</w:t>
      </w:r>
    </w:p>
    <w:p>
      <w:pPr>
        <w:spacing w:before="200" w:after="100"/>
      </w:pPr>
      <w:r>
        <w:rPr>
          <w:rFonts w:ascii="Arial" w:cs="Arial" w:eastAsia="Arial" w:hAnsi="Arial"/>
          <w:b/>
          <w:bCs/>
          <w:color w:val="1a3c5e"/>
          <w:sz w:val="24"/>
          <w:szCs w:val="24"/>
        </w:rPr>
        <w:t xml:space="preserve">Month 1-4: Disclosure and attempts at resolution</w:t>
      </w:r>
    </w:p>
    <w:p>
      <w:pPr>
        <w:spacing w:before="80" w:after="80"/>
      </w:pPr>
      <w:r>
        <w:rPr>
          <w:rFonts w:ascii="Arial" w:cs="Arial" w:eastAsia="Arial" w:hAnsi="Arial"/>
          <w:sz w:val="22"/>
          <w:szCs w:val="22"/>
        </w:rPr>
        <w:t xml:space="preserve">Both parties attempt negotiation and/or mediation. If unsuccessful, one party issues Form A (application for financial remedy proceedings).</w:t>
      </w:r>
    </w:p>
    <w:p>
      <w:pPr>
        <w:spacing w:before="200" w:after="100"/>
      </w:pPr>
      <w:r>
        <w:rPr>
          <w:rFonts w:ascii="Arial" w:cs="Arial" w:eastAsia="Arial" w:hAnsi="Arial"/>
          <w:b/>
          <w:bCs/>
          <w:color w:val="1a3c5e"/>
          <w:sz w:val="24"/>
          <w:szCs w:val="24"/>
        </w:rPr>
        <w:t xml:space="preserve">Month 3-6: First Directions Appointment (FDA)</w:t>
      </w:r>
    </w:p>
    <w:p>
      <w:pPr>
        <w:spacing w:before="80" w:after="80"/>
      </w:pPr>
      <w:r>
        <w:rPr>
          <w:rFonts w:ascii="Arial" w:cs="Arial" w:eastAsia="Arial" w:hAnsi="Arial"/>
          <w:sz w:val="22"/>
          <w:szCs w:val="22"/>
        </w:rPr>
        <w:t xml:space="preserve">The first court hearing. The judge gives directions — what evidence is needed, whether valuations are required, next steps. Both parties attend.</w:t>
      </w:r>
    </w:p>
    <w:p>
      <w:pPr>
        <w:spacing w:before="200" w:after="100"/>
      </w:pPr>
      <w:r>
        <w:rPr>
          <w:rFonts w:ascii="Arial" w:cs="Arial" w:eastAsia="Arial" w:hAnsi="Arial"/>
          <w:b/>
          <w:bCs/>
          <w:color w:val="1a3c5e"/>
          <w:sz w:val="24"/>
          <w:szCs w:val="24"/>
        </w:rPr>
        <w:t xml:space="preserve">Month 6-12: Financial Dispute Resolution (FDR)</w:t>
      </w:r>
    </w:p>
    <w:p>
      <w:pPr>
        <w:spacing w:before="80" w:after="80"/>
      </w:pPr>
      <w:r>
        <w:rPr>
          <w:rFonts w:ascii="Arial" w:cs="Arial" w:eastAsia="Arial" w:hAnsi="Arial"/>
          <w:sz w:val="22"/>
          <w:szCs w:val="22"/>
        </w:rPr>
        <w:t xml:space="preserve">The most important pre-trial hearing. The judge gives a non-binding indication of likely outcome. A significant number of cases settle at or after this stage.</w:t>
      </w:r>
    </w:p>
    <w:p>
      <w:pPr>
        <w:spacing w:before="200" w:after="100"/>
      </w:pPr>
      <w:r>
        <w:rPr>
          <w:rFonts w:ascii="Arial" w:cs="Arial" w:eastAsia="Arial" w:hAnsi="Arial"/>
          <w:b/>
          <w:bCs/>
          <w:color w:val="1a3c5e"/>
          <w:sz w:val="24"/>
          <w:szCs w:val="24"/>
        </w:rPr>
        <w:t xml:space="preserve">Month 12-24: Final Hearing (if not settled)</w:t>
      </w:r>
    </w:p>
    <w:p>
      <w:pPr>
        <w:spacing w:before="80" w:after="80"/>
      </w:pPr>
      <w:r>
        <w:rPr>
          <w:rFonts w:ascii="Arial" w:cs="Arial" w:eastAsia="Arial" w:hAnsi="Arial"/>
          <w:sz w:val="22"/>
          <w:szCs w:val="22"/>
        </w:rPr>
        <w:t xml:space="preserve">A full trial before a judge. Both parties present their case and give evidence. The judge makes a binding Financial Remedy Order. Implementation follows.</w:t>
      </w:r>
    </w:p>
    <w:p>
      <w:pPr>
        <w:pStyle w:val="Heading2"/>
        <w:spacing w:before="280" w:after="140"/>
      </w:pPr>
      <w:r>
        <w:rPr>
          <w:rFonts w:ascii="Arial" w:cs="Arial" w:eastAsia="Arial" w:hAnsi="Arial"/>
          <w:b/>
          <w:bCs/>
          <w:color w:val="2563a8"/>
          <w:sz w:val="28"/>
          <w:szCs w:val="28"/>
        </w:rPr>
        <w:t xml:space="preserve">Key Milestones in the Divorce Process</w:t>
      </w:r>
    </w:p>
    <w:p>
      <w:pPr>
        <w:pStyle w:val="ListParagraph"/>
        <w:numPr>
          <w:ilvl w:val="0"/>
          <w:numId w:val="2"/>
        </w:numPr>
        <w:spacing w:before="60" w:after="60"/>
      </w:pPr>
      <w:r>
        <w:rPr>
          <w:rFonts w:ascii="Arial" w:cs="Arial" w:eastAsia="Arial" w:hAnsi="Arial"/>
          <w:sz w:val="22"/>
          <w:szCs w:val="22"/>
        </w:rPr>
        <w:t xml:space="preserve">Application for divorce: Day 1</w:t>
      </w:r>
    </w:p>
    <w:p>
      <w:pPr>
        <w:pStyle w:val="ListParagraph"/>
        <w:numPr>
          <w:ilvl w:val="0"/>
          <w:numId w:val="2"/>
        </w:numPr>
        <w:spacing w:before="60" w:after="60"/>
      </w:pPr>
      <w:r>
        <w:rPr>
          <w:rFonts w:ascii="Arial" w:cs="Arial" w:eastAsia="Arial" w:hAnsi="Arial"/>
          <w:sz w:val="22"/>
          <w:szCs w:val="22"/>
        </w:rPr>
        <w:t xml:space="preserve">Conditional Order: minimum 20 weeks after application</w:t>
      </w:r>
    </w:p>
    <w:p>
      <w:pPr>
        <w:pStyle w:val="ListParagraph"/>
        <w:numPr>
          <w:ilvl w:val="0"/>
          <w:numId w:val="2"/>
        </w:numPr>
        <w:spacing w:before="60" w:after="60"/>
      </w:pPr>
      <w:r>
        <w:rPr>
          <w:rFonts w:ascii="Arial" w:cs="Arial" w:eastAsia="Arial" w:hAnsi="Arial"/>
          <w:sz w:val="22"/>
          <w:szCs w:val="22"/>
        </w:rPr>
        <w:t xml:space="preserve">Final Order: minimum 6 weeks after Conditional Order</w:t>
      </w:r>
    </w:p>
    <w:p>
      <w:pPr>
        <w:pStyle w:val="ListParagraph"/>
        <w:numPr>
          <w:ilvl w:val="0"/>
          <w:numId w:val="2"/>
        </w:numPr>
        <w:spacing w:before="60" w:after="60"/>
      </w:pPr>
      <w:r>
        <w:rPr>
          <w:rFonts w:ascii="Arial" w:cs="Arial" w:eastAsia="Arial" w:hAnsi="Arial"/>
          <w:sz w:val="22"/>
          <w:szCs w:val="22"/>
        </w:rPr>
        <w:t xml:space="preserve">Total minimum divorce period: approximately 26 weeks from application</w:t>
      </w:r>
    </w:p>
    <w:p>
      <w:pPr>
        <w:pStyle w:val="Heading2"/>
        <w:spacing w:before="280" w:after="140"/>
      </w:pPr>
      <w:r>
        <w:rPr>
          <w:rFonts w:ascii="Arial" w:cs="Arial" w:eastAsia="Arial" w:hAnsi="Arial"/>
          <w:b/>
          <w:bCs/>
          <w:color w:val="2563a8"/>
          <w:sz w:val="28"/>
          <w:szCs w:val="28"/>
        </w:rPr>
        <w:t xml:space="preserve">Planning Your Timeline</w:t>
      </w:r>
    </w:p>
    <w:p>
      <w:pPr>
        <w:spacing w:before="80" w:after="80"/>
      </w:pPr>
      <w:r>
        <w:rPr>
          <w:rFonts w:ascii="Arial" w:cs="Arial" w:eastAsia="Arial" w:hAnsi="Arial"/>
          <w:sz w:val="22"/>
          <w:szCs w:val="22"/>
        </w:rPr>
        <w:t xml:space="preserve">Understanding your likely settlement range early is one of the most effective ways to shorten your timeline. Parties who come to negotiations with a realistic understanding of what a court might award — and use a divorce financial settlement calculator to model their own situation — are better placed to reach agreement quickly.</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Divorce and financial settlement are legally separate processes that run in parallel</w:t>
      </w:r>
    </w:p>
    <w:p>
      <w:pPr>
        <w:pStyle w:val="ListParagraph"/>
        <w:numPr>
          <w:ilvl w:val="0"/>
          <w:numId w:val="2"/>
        </w:numPr>
        <w:spacing w:before="60" w:after="60"/>
      </w:pPr>
      <w:r>
        <w:rPr>
          <w:rFonts w:ascii="Arial" w:cs="Arial" w:eastAsia="Arial" w:hAnsi="Arial"/>
          <w:sz w:val="22"/>
          <w:szCs w:val="22"/>
        </w:rPr>
        <w:t xml:space="preserve">Agreed cases: typically 6-10 months from start to fully resolved</w:t>
      </w:r>
    </w:p>
    <w:p>
      <w:pPr>
        <w:pStyle w:val="ListParagraph"/>
        <w:numPr>
          <w:ilvl w:val="0"/>
          <w:numId w:val="2"/>
        </w:numPr>
        <w:spacing w:before="60" w:after="60"/>
      </w:pPr>
      <w:r>
        <w:rPr>
          <w:rFonts w:ascii="Arial" w:cs="Arial" w:eastAsia="Arial" w:hAnsi="Arial"/>
          <w:sz w:val="22"/>
          <w:szCs w:val="22"/>
        </w:rPr>
        <w:t xml:space="preserve">Contested cases: typically 18-30 months with potential for longer</w:t>
      </w:r>
    </w:p>
    <w:p>
      <w:pPr>
        <w:pStyle w:val="ListParagraph"/>
        <w:numPr>
          <w:ilvl w:val="0"/>
          <w:numId w:val="2"/>
        </w:numPr>
        <w:spacing w:before="60" w:after="60"/>
      </w:pPr>
      <w:r>
        <w:rPr>
          <w:rFonts w:ascii="Arial" w:cs="Arial" w:eastAsia="Arial" w:hAnsi="Arial"/>
          <w:sz w:val="22"/>
          <w:szCs w:val="22"/>
        </w:rPr>
        <w:t xml:space="preserve">Financial settlement should ideally be resolved before the Final Order is obtained</w:t>
      </w:r>
    </w:p>
    <w:p>
      <w:pPr>
        <w:pStyle w:val="ListParagraph"/>
        <w:numPr>
          <w:ilvl w:val="0"/>
          <w:numId w:val="2"/>
        </w:numPr>
        <w:spacing w:before="60" w:after="60"/>
      </w:pPr>
      <w:r>
        <w:rPr>
          <w:rFonts w:ascii="Arial" w:cs="Arial" w:eastAsia="Arial" w:hAnsi="Arial"/>
          <w:sz w:val="22"/>
          <w:szCs w:val="22"/>
        </w:rPr>
        <w:t xml:space="preserve">The minimum time for no-fault divorce is approximately 6 months</w:t>
      </w:r>
    </w:p>
    <w:p>
      <w:pPr>
        <w:pStyle w:val="ListParagraph"/>
        <w:numPr>
          <w:ilvl w:val="0"/>
          <w:numId w:val="2"/>
        </w:numPr>
        <w:spacing w:before="60" w:after="60"/>
      </w:pPr>
      <w:r>
        <w:rPr>
          <w:rFonts w:ascii="Arial" w:cs="Arial" w:eastAsia="Arial" w:hAnsi="Arial"/>
          <w:sz w:val="22"/>
          <w:szCs w:val="22"/>
        </w:rPr>
        <w:t xml:space="preserve">Court backlogs in England and Wales can extend timelines beyond your control</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Can I speed up the financial settlement process?</w:t>
      </w:r>
    </w:p>
    <w:p>
      <w:pPr>
        <w:spacing w:before="80" w:after="80"/>
      </w:pPr>
      <w:r>
        <w:rPr>
          <w:rFonts w:ascii="Arial" w:cs="Arial" w:eastAsia="Arial" w:hAnsi="Arial"/>
          <w:sz w:val="22"/>
          <w:szCs w:val="22"/>
        </w:rPr>
        <w:t xml:space="preserve">Yes — by providing prompt and complete financial disclosure, engaging in mediation, making realistic offers early, and instructing a solicitor experienced in efficient resolution.</w:t>
      </w:r>
    </w:p>
    <w:p>
      <w:pPr>
        <w:spacing w:before="200" w:after="100"/>
      </w:pPr>
      <w:r>
        <w:rPr>
          <w:rFonts w:ascii="Arial" w:cs="Arial" w:eastAsia="Arial" w:hAnsi="Arial"/>
          <w:b/>
          <w:bCs/>
          <w:color w:val="1a3c5e"/>
          <w:sz w:val="24"/>
          <w:szCs w:val="24"/>
        </w:rPr>
        <w:t xml:space="preserve">What is the fastest possible timeline?</w:t>
      </w:r>
    </w:p>
    <w:p>
      <w:pPr>
        <w:spacing w:before="80" w:after="80"/>
      </w:pPr>
      <w:r>
        <w:rPr>
          <w:rFonts w:ascii="Arial" w:cs="Arial" w:eastAsia="Arial" w:hAnsi="Arial"/>
          <w:sz w:val="22"/>
          <w:szCs w:val="22"/>
        </w:rPr>
        <w:t xml:space="preserve">An agreed settlement where both parties engage promptly and cooperatively can be completed in 4-6 months from start to final consent order approval. The divorce itself takes a minimum of 26 weeks.</w:t>
      </w:r>
    </w:p>
    <w:p>
      <w:pPr>
        <w:spacing w:before="200" w:after="100"/>
      </w:pPr>
      <w:r>
        <w:rPr>
          <w:rFonts w:ascii="Arial" w:cs="Arial" w:eastAsia="Arial" w:hAnsi="Arial"/>
          <w:b/>
          <w:bCs/>
          <w:color w:val="1a3c5e"/>
          <w:sz w:val="24"/>
          <w:szCs w:val="24"/>
        </w:rPr>
        <w:t xml:space="preserve">Can financial settlement happen before the divorce is finalised?</w:t>
      </w:r>
    </w:p>
    <w:p>
      <w:pPr>
        <w:spacing w:before="80" w:after="80"/>
      </w:pPr>
      <w:r>
        <w:rPr>
          <w:rFonts w:ascii="Arial" w:cs="Arial" w:eastAsia="Arial" w:hAnsi="Arial"/>
          <w:sz w:val="22"/>
          <w:szCs w:val="22"/>
        </w:rPr>
        <w:t xml:space="preserve">Yes. Financial settlement can be agreed, submitted as a consent order, and even approved by the court before the Final Order is obtained. Many couples prefer it this way to ensure all finances are resolved before legally divorcing.</w:t>
      </w:r>
    </w:p>
    <w:p>
      <w:pPr>
        <w:spacing w:before="200" w:after="100"/>
      </w:pPr>
      <w:r>
        <w:rPr>
          <w:rFonts w:ascii="Arial" w:cs="Arial" w:eastAsia="Arial" w:hAnsi="Arial"/>
          <w:b/>
          <w:bCs/>
          <w:color w:val="1a3c5e"/>
          <w:sz w:val="24"/>
          <w:szCs w:val="24"/>
        </w:rPr>
        <w:t xml:space="preserve">What happens if we can't agree on finances?</w:t>
      </w:r>
    </w:p>
    <w:p>
      <w:pPr>
        <w:spacing w:before="80" w:after="80"/>
      </w:pPr>
      <w:r>
        <w:rPr>
          <w:rFonts w:ascii="Arial" w:cs="Arial" w:eastAsia="Arial" w:hAnsi="Arial"/>
          <w:sz w:val="22"/>
          <w:szCs w:val="22"/>
        </w:rPr>
        <w:t xml:space="preserve">Either party can issue court proceedings (Form A). The court process typically takes 12-18 months or longer and is significantly more expensive than reaching an agreement.</w:t>
      </w:r>
    </w:p>
    <w:p>
      <w:pPr>
        <w:spacing w:before="200" w:after="100"/>
      </w:pPr>
      <w:r>
        <w:rPr>
          <w:rFonts w:ascii="Arial" w:cs="Arial" w:eastAsia="Arial" w:hAnsi="Arial"/>
          <w:b/>
          <w:bCs/>
          <w:color w:val="1a3c5e"/>
          <w:sz w:val="24"/>
          <w:szCs w:val="24"/>
        </w:rPr>
        <w:t xml:space="preserve">Does having children affect the timeline?</w:t>
      </w:r>
    </w:p>
    <w:p>
      <w:pPr>
        <w:spacing w:before="80" w:after="80"/>
      </w:pPr>
      <w:r>
        <w:rPr>
          <w:rFonts w:ascii="Arial" w:cs="Arial" w:eastAsia="Arial" w:hAnsi="Arial"/>
          <w:sz w:val="22"/>
          <w:szCs w:val="22"/>
        </w:rPr>
        <w:t xml:space="preserve">Children's arrangements can be resolved separately through a Child Arrangements Order or informally. Keeping children's arrangements separate from financial proceedings can help speed up the financial process.</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563a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2026-03-18T23:02:27.819Z</dcterms:created>
  <dcterms:modified xsi:type="dcterms:W3CDTF">2026-03-18T23:02:27.819Z</dcterms:modified>
</cp:coreProperties>
</file>

<file path=docProps/custom.xml><?xml version="1.0" encoding="utf-8"?>
<Properties xmlns="http://schemas.openxmlformats.org/officeDocument/2006/custom-properties" xmlns:vt="http://schemas.openxmlformats.org/officeDocument/2006/docPropsVTypes"/>
</file>