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200"/>
      </w:pPr>
      <w:r>
        <w:rPr>
          <w:rFonts w:ascii="Arial" w:cs="Arial" w:eastAsia="Arial" w:hAnsi="Arial"/>
          <w:b/>
          <w:bCs/>
          <w:color w:val="1a3c5e"/>
          <w:sz w:val="36"/>
          <w:szCs w:val="36"/>
        </w:rPr>
        <w:t xml:space="preserve">Divorce with Children Financial Settlement UK: What Parents Need to Know</w:t>
      </w:r>
    </w:p>
    <w:p>
      <w:pPr>
        <w:pStyle w:val="Heading2"/>
        <w:spacing w:before="280" w:after="140"/>
      </w:pPr>
      <w:r>
        <w:rPr>
          <w:rFonts w:ascii="Arial" w:cs="Arial" w:eastAsia="Arial" w:hAnsi="Arial"/>
          <w:b/>
          <w:bCs/>
          <w:color w:val="2563a8"/>
          <w:sz w:val="28"/>
          <w:szCs w:val="28"/>
        </w:rPr>
        <w:t xml:space="preserve">How Children Affect a Financial Settlement in UK Divorce</w:t>
      </w:r>
    </w:p>
    <w:p>
      <w:pPr>
        <w:spacing w:before="80" w:after="80"/>
      </w:pPr>
      <w:r>
        <w:rPr>
          <w:rFonts w:ascii="Arial" w:cs="Arial" w:eastAsia="Arial" w:hAnsi="Arial"/>
          <w:sz w:val="22"/>
          <w:szCs w:val="22"/>
        </w:rPr>
        <w:t xml:space="preserve">When children are involved, a divorce financial settlement in the UK becomes more complex — and children's welfare takes centre stage. In England and Wales, the welfare of any child under 18 is the courts' first and paramount consideration when deciding how assets are divided. This means that having children can significantly change the financial outcome compared to a childless divorce, particularly around housing.</w:t>
      </w:r>
    </w:p>
    <w:p>
      <w:pPr>
        <w:pStyle w:val="Heading2"/>
        <w:spacing w:before="280" w:after="140"/>
      </w:pPr>
      <w:r>
        <w:rPr>
          <w:rFonts w:ascii="Arial" w:cs="Arial" w:eastAsia="Arial" w:hAnsi="Arial"/>
          <w:b/>
          <w:bCs/>
          <w:color w:val="2563a8"/>
          <w:sz w:val="28"/>
          <w:szCs w:val="28"/>
        </w:rPr>
        <w:t xml:space="preserve">Housing the Children: The Primary Financial Priority</w:t>
      </w:r>
    </w:p>
    <w:p>
      <w:pPr>
        <w:spacing w:before="80" w:after="80"/>
      </w:pPr>
      <w:r>
        <w:rPr>
          <w:rFonts w:ascii="Arial" w:cs="Arial" w:eastAsia="Arial" w:hAnsi="Arial"/>
          <w:sz w:val="22"/>
          <w:szCs w:val="22"/>
        </w:rPr>
        <w:t xml:space="preserve">The parent with primary care of the children — the one the children live with most of the time — is likely to have priority in relation to the family home. Courts are reluctant to displace children from their home unnecessarily, and the housing needs of the primary carer are given considerable weight.</w:t>
      </w:r>
    </w:p>
    <w:p>
      <w:pPr>
        <w:spacing w:before="80" w:after="80"/>
      </w:pPr>
      <w:r>
        <w:rPr>
          <w:rFonts w:ascii="Arial" w:cs="Arial" w:eastAsia="Arial" w:hAnsi="Arial"/>
          <w:sz w:val="22"/>
          <w:szCs w:val="22"/>
        </w:rPr>
        <w:t xml:space="preserve">This can result in:</w:t>
      </w:r>
    </w:p>
    <w:p>
      <w:pPr>
        <w:pStyle w:val="ListParagraph"/>
        <w:numPr>
          <w:ilvl w:val="0"/>
          <w:numId w:val="2"/>
        </w:numPr>
        <w:spacing w:before="60" w:after="60"/>
      </w:pPr>
      <w:r>
        <w:rPr>
          <w:rFonts w:ascii="Arial" w:cs="Arial" w:eastAsia="Arial" w:hAnsi="Arial"/>
          <w:sz w:val="22"/>
          <w:szCs w:val="22"/>
        </w:rPr>
        <w:t xml:space="preserve">The primary carer retaining the family home (potentially at the expense of their pension share)</w:t>
      </w:r>
    </w:p>
    <w:p>
      <w:pPr>
        <w:pStyle w:val="ListParagraph"/>
        <w:numPr>
          <w:ilvl w:val="0"/>
          <w:numId w:val="2"/>
        </w:numPr>
        <w:spacing w:before="60" w:after="60"/>
      </w:pPr>
      <w:r>
        <w:rPr>
          <w:rFonts w:ascii="Arial" w:cs="Arial" w:eastAsia="Arial" w:hAnsi="Arial"/>
          <w:sz w:val="22"/>
          <w:szCs w:val="22"/>
        </w:rPr>
        <w:t xml:space="preserve">A Mesher Order deferring sale until the youngest child turns 18 or finishes education</w:t>
      </w:r>
    </w:p>
    <w:p>
      <w:pPr>
        <w:pStyle w:val="ListParagraph"/>
        <w:numPr>
          <w:ilvl w:val="0"/>
          <w:numId w:val="2"/>
        </w:numPr>
        <w:spacing w:before="60" w:after="60"/>
      </w:pPr>
      <w:r>
        <w:rPr>
          <w:rFonts w:ascii="Arial" w:cs="Arial" w:eastAsia="Arial" w:hAnsi="Arial"/>
          <w:sz w:val="22"/>
          <w:szCs w:val="22"/>
        </w:rPr>
        <w:t xml:space="preserve">An unequal division of equity to allow the primary carer to rehouse locally</w:t>
      </w:r>
    </w:p>
    <w:p>
      <w:pPr>
        <w:pStyle w:val="Heading2"/>
        <w:spacing w:before="280" w:after="140"/>
      </w:pPr>
      <w:r>
        <w:rPr>
          <w:rFonts w:ascii="Arial" w:cs="Arial" w:eastAsia="Arial" w:hAnsi="Arial"/>
          <w:b/>
          <w:bCs/>
          <w:color w:val="2563a8"/>
          <w:sz w:val="28"/>
          <w:szCs w:val="28"/>
        </w:rPr>
        <w:t xml:space="preserve">Child Maintenance and Financial Settlement: Two Separate Things</w:t>
      </w:r>
    </w:p>
    <w:p>
      <w:pPr>
        <w:spacing w:before="80" w:after="80"/>
      </w:pPr>
      <w:r>
        <w:rPr>
          <w:rFonts w:ascii="Arial" w:cs="Arial" w:eastAsia="Arial" w:hAnsi="Arial"/>
          <w:sz w:val="22"/>
          <w:szCs w:val="22"/>
        </w:rPr>
        <w:t xml:space="preserve">It is important to understand that child maintenance and the divorce financial settlement are legally distinct:</w:t>
      </w:r>
    </w:p>
    <w:p>
      <w:pPr>
        <w:spacing w:before="200" w:after="100"/>
      </w:pPr>
      <w:r>
        <w:rPr>
          <w:rFonts w:ascii="Arial" w:cs="Arial" w:eastAsia="Arial" w:hAnsi="Arial"/>
          <w:b/>
          <w:bCs/>
          <w:color w:val="1a3c5e"/>
          <w:sz w:val="24"/>
          <w:szCs w:val="24"/>
        </w:rPr>
        <w:t xml:space="preserve">Child maintenance</w:t>
      </w:r>
    </w:p>
    <w:p>
      <w:pPr>
        <w:spacing w:before="80" w:after="80"/>
      </w:pPr>
      <w:r>
        <w:rPr>
          <w:rFonts w:ascii="Arial" w:cs="Arial" w:eastAsia="Arial" w:hAnsi="Arial"/>
          <w:sz w:val="22"/>
          <w:szCs w:val="22"/>
        </w:rPr>
        <w:t xml:space="preserve">Paid by the non-resident parent to the resident parent for the benefit of the children. Calculated by the Child Maintenance Service (CMS) based on the payer's gross income. This continues regardless of any financial settlement order.</w:t>
      </w:r>
    </w:p>
    <w:p>
      <w:pPr>
        <w:spacing w:before="200" w:after="100"/>
      </w:pPr>
      <w:r>
        <w:rPr>
          <w:rFonts w:ascii="Arial" w:cs="Arial" w:eastAsia="Arial" w:hAnsi="Arial"/>
          <w:b/>
          <w:bCs/>
          <w:color w:val="1a3c5e"/>
          <w:sz w:val="24"/>
          <w:szCs w:val="24"/>
        </w:rPr>
        <w:t xml:space="preserve">Financial settlement</w:t>
      </w:r>
    </w:p>
    <w:p>
      <w:pPr>
        <w:spacing w:before="80" w:after="80"/>
      </w:pPr>
      <w:r>
        <w:rPr>
          <w:rFonts w:ascii="Arial" w:cs="Arial" w:eastAsia="Arial" w:hAnsi="Arial"/>
          <w:sz w:val="22"/>
          <w:szCs w:val="22"/>
        </w:rPr>
        <w:t xml:space="preserve">Deals with division of capital assets — the house, savings, pensions, and investments. A financial settlement can include child-related provisions such as housing arrangements, but child maintenance itself is handled separately through CMS.</w:t>
      </w:r>
    </w:p>
    <w:p>
      <w:pPr>
        <w:pStyle w:val="Heading2"/>
        <w:spacing w:before="280" w:after="140"/>
      </w:pPr>
      <w:r>
        <w:rPr>
          <w:rFonts w:ascii="Arial" w:cs="Arial" w:eastAsia="Arial" w:hAnsi="Arial"/>
          <w:b/>
          <w:bCs/>
          <w:color w:val="2563a8"/>
          <w:sz w:val="28"/>
          <w:szCs w:val="28"/>
        </w:rPr>
        <w:t xml:space="preserve">How Children Change the Division of Assets</w:t>
      </w:r>
    </w:p>
    <w:p>
      <w:pPr>
        <w:spacing w:before="200" w:after="100"/>
      </w:pPr>
      <w:r>
        <w:rPr>
          <w:rFonts w:ascii="Arial" w:cs="Arial" w:eastAsia="Arial" w:hAnsi="Arial"/>
          <w:b/>
          <w:bCs/>
          <w:color w:val="1a3c5e"/>
          <w:sz w:val="24"/>
          <w:szCs w:val="24"/>
        </w:rPr>
        <w:t xml:space="preserve">Unequal splits</w:t>
      </w:r>
    </w:p>
    <w:p>
      <w:pPr>
        <w:spacing w:before="80" w:after="80"/>
      </w:pPr>
      <w:r>
        <w:rPr>
          <w:rFonts w:ascii="Arial" w:cs="Arial" w:eastAsia="Arial" w:hAnsi="Arial"/>
          <w:sz w:val="22"/>
          <w:szCs w:val="22"/>
        </w:rPr>
        <w:t xml:space="preserve">Where there is a significant income gap between parents, courts may award a larger share of assets to the lower-earning parent if they have primary care of the children. The rationale is that the children need stability, and the primary carer needs sufficient resources to provide it.</w:t>
      </w:r>
    </w:p>
    <w:p>
      <w:pPr>
        <w:spacing w:before="200" w:after="100"/>
      </w:pPr>
      <w:r>
        <w:rPr>
          <w:rFonts w:ascii="Arial" w:cs="Arial" w:eastAsia="Arial" w:hAnsi="Arial"/>
          <w:b/>
          <w:bCs/>
          <w:color w:val="1a3c5e"/>
          <w:sz w:val="24"/>
          <w:szCs w:val="24"/>
        </w:rPr>
        <w:t xml:space="preserve">Pension offsetting</w:t>
      </w:r>
    </w:p>
    <w:p>
      <w:pPr>
        <w:spacing w:before="80" w:after="80"/>
      </w:pPr>
      <w:r>
        <w:rPr>
          <w:rFonts w:ascii="Arial" w:cs="Arial" w:eastAsia="Arial" w:hAnsi="Arial"/>
          <w:sz w:val="22"/>
          <w:szCs w:val="22"/>
        </w:rPr>
        <w:t xml:space="preserve">Where housing needs are prioritised, one parent may keep the family home in exchange for the other keeping a greater share of pension. This is pension offsetting — it means neither party ends up with both the home and the pension.</w:t>
      </w:r>
    </w:p>
    <w:p>
      <w:pPr>
        <w:spacing w:before="200" w:after="100"/>
      </w:pPr>
      <w:r>
        <w:rPr>
          <w:rFonts w:ascii="Arial" w:cs="Arial" w:eastAsia="Arial" w:hAnsi="Arial"/>
          <w:b/>
          <w:bCs/>
          <w:color w:val="1a3c5e"/>
          <w:sz w:val="24"/>
          <w:szCs w:val="24"/>
        </w:rPr>
        <w:t xml:space="preserve">Spousal maintenance alongside child maintenance</w:t>
      </w:r>
    </w:p>
    <w:p>
      <w:pPr>
        <w:spacing w:before="80" w:after="80"/>
      </w:pPr>
      <w:r>
        <w:rPr>
          <w:rFonts w:ascii="Arial" w:cs="Arial" w:eastAsia="Arial" w:hAnsi="Arial"/>
          <w:sz w:val="22"/>
          <w:szCs w:val="22"/>
        </w:rPr>
        <w:t xml:space="preserve">In cases where one parent has a significantly lower income — often because they reduced work to care for children — both child maintenance and spousal maintenance may be awarded. Courts will consider how long it will take the primary carer to rebuild their earning capacity.</w:t>
      </w:r>
    </w:p>
    <w:p>
      <w:pPr>
        <w:pStyle w:val="Heading2"/>
        <w:spacing w:before="280" w:after="140"/>
      </w:pPr>
      <w:r>
        <w:rPr>
          <w:rFonts w:ascii="Arial" w:cs="Arial" w:eastAsia="Arial" w:hAnsi="Arial"/>
          <w:b/>
          <w:bCs/>
          <w:color w:val="2563a8"/>
          <w:sz w:val="28"/>
          <w:szCs w:val="28"/>
        </w:rPr>
        <w:t xml:space="preserve">Real-World Example: Settlement with Two Children</w:t>
      </w:r>
    </w:p>
    <w:p>
      <w:pPr>
        <w:spacing w:before="80" w:after="80"/>
      </w:pPr>
      <w:r>
        <w:rPr>
          <w:rFonts w:ascii="Arial" w:cs="Arial" w:eastAsia="Arial" w:hAnsi="Arial"/>
          <w:sz w:val="22"/>
          <w:szCs w:val="22"/>
        </w:rPr>
        <w:t xml:space="preserve">Clare and David separate after 11 years. Their children are 7 and 9 and live primarily with Clare. The house is worth £380,000 with £100,000 equity. David has a pension pot of £120,000; Clare's is £25,000. David earns £60,000; Clare earns £22,000 part-time.</w:t>
      </w:r>
    </w:p>
    <w:p>
      <w:pPr>
        <w:spacing w:before="80" w:after="80"/>
      </w:pPr>
      <w:r>
        <w:rPr>
          <w:rFonts w:ascii="Arial" w:cs="Arial" w:eastAsia="Arial" w:hAnsi="Arial"/>
          <w:sz w:val="22"/>
          <w:szCs w:val="22"/>
        </w:rPr>
        <w:t xml:space="preserve">Clare keeps the family home — a Mesher Order defers sale until the youngest turns 18. She retains her pension. David keeps his pension but receives no share of the property equity. David pays child maintenance (approximately £192/month for 2 children on his income), plus spousal maintenance of £350/month for 5 years. A divorce financial settlement calculator can help model whether this is genuinely equivalent in long-term value.</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Children's welfare is the first and paramount consideration in any financial settlement</w:t>
      </w:r>
    </w:p>
    <w:p>
      <w:pPr>
        <w:pStyle w:val="ListParagraph"/>
        <w:numPr>
          <w:ilvl w:val="0"/>
          <w:numId w:val="2"/>
        </w:numPr>
        <w:spacing w:before="60" w:after="60"/>
      </w:pPr>
      <w:r>
        <w:rPr>
          <w:rFonts w:ascii="Arial" w:cs="Arial" w:eastAsia="Arial" w:hAnsi="Arial"/>
          <w:sz w:val="22"/>
          <w:szCs w:val="22"/>
        </w:rPr>
        <w:t xml:space="preserve">The parent with primary care is likely to have priority in relation to housing</w:t>
      </w:r>
    </w:p>
    <w:p>
      <w:pPr>
        <w:pStyle w:val="ListParagraph"/>
        <w:numPr>
          <w:ilvl w:val="0"/>
          <w:numId w:val="2"/>
        </w:numPr>
        <w:spacing w:before="60" w:after="60"/>
      </w:pPr>
      <w:r>
        <w:rPr>
          <w:rFonts w:ascii="Arial" w:cs="Arial" w:eastAsia="Arial" w:hAnsi="Arial"/>
          <w:sz w:val="22"/>
          <w:szCs w:val="22"/>
        </w:rPr>
        <w:t xml:space="preserve">Child maintenance and financial settlement are separate — CMS handles maintenance</w:t>
      </w:r>
    </w:p>
    <w:p>
      <w:pPr>
        <w:pStyle w:val="ListParagraph"/>
        <w:numPr>
          <w:ilvl w:val="0"/>
          <w:numId w:val="2"/>
        </w:numPr>
        <w:spacing w:before="60" w:after="60"/>
      </w:pPr>
      <w:r>
        <w:rPr>
          <w:rFonts w:ascii="Arial" w:cs="Arial" w:eastAsia="Arial" w:hAnsi="Arial"/>
          <w:sz w:val="22"/>
          <w:szCs w:val="22"/>
        </w:rPr>
        <w:t xml:space="preserve">Courts may award unequal asset splits to reflect the primary carer's lower earning capacity</w:t>
      </w:r>
    </w:p>
    <w:p>
      <w:pPr>
        <w:pStyle w:val="ListParagraph"/>
        <w:numPr>
          <w:ilvl w:val="0"/>
          <w:numId w:val="2"/>
        </w:numPr>
        <w:spacing w:before="60" w:after="60"/>
      </w:pPr>
      <w:r>
        <w:rPr>
          <w:rFonts w:ascii="Arial" w:cs="Arial" w:eastAsia="Arial" w:hAnsi="Arial"/>
          <w:sz w:val="22"/>
          <w:szCs w:val="22"/>
        </w:rPr>
        <w:t xml:space="preserve">Mesher Orders defer property sale to avoid disrupting children's housing</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Does the parent with more custody get more assets?</w:t>
      </w:r>
    </w:p>
    <w:p>
      <w:pPr>
        <w:spacing w:before="80" w:after="80"/>
      </w:pPr>
      <w:r>
        <w:rPr>
          <w:rFonts w:ascii="Arial" w:cs="Arial" w:eastAsia="Arial" w:hAnsi="Arial"/>
          <w:sz w:val="22"/>
          <w:szCs w:val="22"/>
        </w:rPr>
        <w:t xml:space="preserve">Not automatically. But the housing needs of the primary carer and children carry significant weight. Assets may be distributed to prioritise stable housing for children, which often benefits the primary carer.</w:t>
      </w:r>
    </w:p>
    <w:p>
      <w:pPr>
        <w:spacing w:before="200" w:after="100"/>
      </w:pPr>
      <w:r>
        <w:rPr>
          <w:rFonts w:ascii="Arial" w:cs="Arial" w:eastAsia="Arial" w:hAnsi="Arial"/>
          <w:b/>
          <w:bCs/>
          <w:color w:val="1a3c5e"/>
          <w:sz w:val="24"/>
          <w:szCs w:val="24"/>
        </w:rPr>
        <w:t xml:space="preserve">Can financial settlement override child maintenance?</w:t>
      </w:r>
    </w:p>
    <w:p>
      <w:pPr>
        <w:spacing w:before="80" w:after="80"/>
      </w:pPr>
      <w:r>
        <w:rPr>
          <w:rFonts w:ascii="Arial" w:cs="Arial" w:eastAsia="Arial" w:hAnsi="Arial"/>
          <w:sz w:val="22"/>
          <w:szCs w:val="22"/>
        </w:rPr>
        <w:t xml:space="preserve">No. Child maintenance through CMS cannot be contracted out of in a financial settlement. Any private agreement about child maintenance becomes unenforceable after 12 months if either party applies to CMS.</w:t>
      </w:r>
    </w:p>
    <w:p>
      <w:pPr>
        <w:spacing w:before="200" w:after="100"/>
      </w:pPr>
      <w:r>
        <w:rPr>
          <w:rFonts w:ascii="Arial" w:cs="Arial" w:eastAsia="Arial" w:hAnsi="Arial"/>
          <w:b/>
          <w:bCs/>
          <w:color w:val="1a3c5e"/>
          <w:sz w:val="24"/>
          <w:szCs w:val="24"/>
        </w:rPr>
        <w:t xml:space="preserve">What if children are over 18?</w:t>
      </w:r>
    </w:p>
    <w:p>
      <w:pPr>
        <w:spacing w:before="80" w:after="80"/>
      </w:pPr>
      <w:r>
        <w:rPr>
          <w:rFonts w:ascii="Arial" w:cs="Arial" w:eastAsia="Arial" w:hAnsi="Arial"/>
          <w:sz w:val="22"/>
          <w:szCs w:val="22"/>
        </w:rPr>
        <w:t xml:space="preserve">Financial claims do not require dependent children. If children are adults, the settlement is based on the adults' needs, contributions, and circumstances — though a history of one parent having cared for children can still factor into a spousal maintenance award.</w:t>
      </w:r>
    </w:p>
    <w:p>
      <w:pPr>
        <w:spacing w:before="200" w:after="100"/>
      </w:pPr>
      <w:r>
        <w:rPr>
          <w:rFonts w:ascii="Arial" w:cs="Arial" w:eastAsia="Arial" w:hAnsi="Arial"/>
          <w:b/>
          <w:bCs/>
          <w:color w:val="1a3c5e"/>
          <w:sz w:val="24"/>
          <w:szCs w:val="24"/>
        </w:rPr>
        <w:t xml:space="preserve">What is a Mesher Order and when is it used?</w:t>
      </w:r>
    </w:p>
    <w:p>
      <w:pPr>
        <w:spacing w:before="80" w:after="80"/>
      </w:pPr>
      <w:r>
        <w:rPr>
          <w:rFonts w:ascii="Arial" w:cs="Arial" w:eastAsia="Arial" w:hAnsi="Arial"/>
          <w:sz w:val="22"/>
          <w:szCs w:val="22"/>
        </w:rPr>
        <w:t xml:space="preserve">A Mesher Order defers the sale of the family home — usually until the youngest child turns 18 or leaves full-time education. Both parties retain a share of the equity, but the primary carer continues living in the property. It is used when immediate sale would be disruptive to children's schooling or stability.</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360" w:after="200"/>
      </w:pPr>
      <w:r>
        <w:rPr>
          <w:rFonts w:ascii="Arial" w:cs="Arial" w:eastAsia="Arial" w:hAnsi="Arial"/>
          <w:b/>
          <w:bCs/>
          <w:color w:val="1a3c5e"/>
          <w:sz w:val="36"/>
          <w:szCs w:val="36"/>
        </w:rPr>
        <w:t xml:space="preserve">Divorce Where One Earns More UK: What Happens to the Financial Settlement?</w:t>
      </w:r>
    </w:p>
    <w:p>
      <w:pPr>
        <w:pStyle w:val="Heading2"/>
        <w:spacing w:before="280" w:after="140"/>
      </w:pPr>
      <w:r>
        <w:rPr>
          <w:rFonts w:ascii="Arial" w:cs="Arial" w:eastAsia="Arial" w:hAnsi="Arial"/>
          <w:b/>
          <w:bCs/>
          <w:color w:val="2563a8"/>
          <w:sz w:val="28"/>
          <w:szCs w:val="28"/>
        </w:rPr>
        <w:t xml:space="preserve">How Income Inequality Affects Divorce in the UK</w:t>
      </w:r>
    </w:p>
    <w:p>
      <w:pPr>
        <w:spacing w:before="80" w:after="80"/>
      </w:pPr>
      <w:r>
        <w:rPr>
          <w:rFonts w:ascii="Arial" w:cs="Arial" w:eastAsia="Arial" w:hAnsi="Arial"/>
          <w:sz w:val="22"/>
          <w:szCs w:val="22"/>
        </w:rPr>
        <w:t xml:space="preserve">In many marriages, one spouse earns significantly more than the other. A divorce where one earns more UK raises important questions about fairness: does the higher earner simply keep more? Is the lower earner protected? Under English and Welsh law, the answer to both is more nuanced than you might expect. Courts focus on meeting both parties' financial needs, not simply dividing assets in proportion to income.</w:t>
      </w:r>
    </w:p>
    <w:p>
      <w:pPr>
        <w:pStyle w:val="Heading2"/>
        <w:spacing w:before="280" w:after="140"/>
      </w:pPr>
      <w:r>
        <w:rPr>
          <w:rFonts w:ascii="Arial" w:cs="Arial" w:eastAsia="Arial" w:hAnsi="Arial"/>
          <w:b/>
          <w:bCs/>
          <w:color w:val="2563a8"/>
          <w:sz w:val="28"/>
          <w:szCs w:val="28"/>
        </w:rPr>
        <w:t xml:space="preserve">The Starting Point: Both Parties' Needs Must Be Met</w:t>
      </w:r>
    </w:p>
    <w:p>
      <w:pPr>
        <w:spacing w:before="80" w:after="80"/>
      </w:pPr>
      <w:r>
        <w:rPr>
          <w:rFonts w:ascii="Arial" w:cs="Arial" w:eastAsia="Arial" w:hAnsi="Arial"/>
          <w:sz w:val="22"/>
          <w:szCs w:val="22"/>
        </w:rPr>
        <w:t xml:space="preserve">Regardless of who earned what during the marriage, the court's primary task is to ensure both parties can meet their reasonable financial needs after separation. This means the lower earner is not simply left with nothing because they contributed less financially.</w:t>
      </w:r>
    </w:p>
    <w:p>
      <w:pPr>
        <w:spacing w:before="80" w:after="80"/>
      </w:pPr>
      <w:r>
        <w:rPr>
          <w:rFonts w:ascii="Arial" w:cs="Arial" w:eastAsia="Arial" w:hAnsi="Arial"/>
          <w:sz w:val="22"/>
          <w:szCs w:val="22"/>
        </w:rPr>
        <w:t xml:space="preserve">Courts recognise that non-financial contributions — including caring for children, supporting a partner's career, or running the home — have equal value to financial contributions. This is the principle from White v White [2000].</w:t>
      </w:r>
    </w:p>
    <w:p>
      <w:pPr>
        <w:pStyle w:val="Heading2"/>
        <w:spacing w:before="280" w:after="140"/>
      </w:pPr>
      <w:r>
        <w:rPr>
          <w:rFonts w:ascii="Arial" w:cs="Arial" w:eastAsia="Arial" w:hAnsi="Arial"/>
          <w:b/>
          <w:bCs/>
          <w:color w:val="2563a8"/>
          <w:sz w:val="28"/>
          <w:szCs w:val="28"/>
        </w:rPr>
        <w:t xml:space="preserve">What 'Earning More' Actually Means for Settlement</w:t>
      </w:r>
    </w:p>
    <w:p>
      <w:pPr>
        <w:spacing w:before="200" w:after="100"/>
      </w:pPr>
      <w:r>
        <w:rPr>
          <w:rFonts w:ascii="Arial" w:cs="Arial" w:eastAsia="Arial" w:hAnsi="Arial"/>
          <w:b/>
          <w:bCs/>
          <w:color w:val="1a3c5e"/>
          <w:sz w:val="24"/>
          <w:szCs w:val="24"/>
        </w:rPr>
        <w:t xml:space="preserve">Capital assets: often shared equally</w:t>
      </w:r>
    </w:p>
    <w:p>
      <w:pPr>
        <w:spacing w:before="80" w:after="80"/>
      </w:pPr>
      <w:r>
        <w:rPr>
          <w:rFonts w:ascii="Arial" w:cs="Arial" w:eastAsia="Arial" w:hAnsi="Arial"/>
          <w:sz w:val="22"/>
          <w:szCs w:val="22"/>
        </w:rPr>
        <w:t xml:space="preserve">For capital assets accumulated during the marriage — the family home, savings, investments — the starting point is still an equal division, regardless of who earned more. The equal sharing principle applies to matrimonial property. Departure from 50/50 happens when need or other factors require it.</w:t>
      </w:r>
    </w:p>
    <w:p>
      <w:pPr>
        <w:spacing w:before="200" w:after="100"/>
      </w:pPr>
      <w:r>
        <w:rPr>
          <w:rFonts w:ascii="Arial" w:cs="Arial" w:eastAsia="Arial" w:hAnsi="Arial"/>
          <w:b/>
          <w:bCs/>
          <w:color w:val="1a3c5e"/>
          <w:sz w:val="24"/>
          <w:szCs w:val="24"/>
        </w:rPr>
        <w:t xml:space="preserve">Ongoing income: spousal maintenance</w:t>
      </w:r>
    </w:p>
    <w:p>
      <w:pPr>
        <w:spacing w:before="80" w:after="80"/>
      </w:pPr>
      <w:r>
        <w:rPr>
          <w:rFonts w:ascii="Arial" w:cs="Arial" w:eastAsia="Arial" w:hAnsi="Arial"/>
          <w:sz w:val="22"/>
          <w:szCs w:val="22"/>
        </w:rPr>
        <w:t xml:space="preserve">Where there is a significant income gap that leaves the lower earner unable to meet their reasonable outgoings, the court may award spousal maintenance. The amount is calculated based on the budget deficit: what the lower earner needs, less what they earn (or could earn with reasonable effort).</w:t>
      </w:r>
    </w:p>
    <w:p>
      <w:pPr>
        <w:spacing w:before="200" w:after="100"/>
      </w:pPr>
      <w:r>
        <w:rPr>
          <w:rFonts w:ascii="Arial" w:cs="Arial" w:eastAsia="Arial" w:hAnsi="Arial"/>
          <w:b/>
          <w:bCs/>
          <w:color w:val="1a3c5e"/>
          <w:sz w:val="24"/>
          <w:szCs w:val="24"/>
        </w:rPr>
        <w:t xml:space="preserve">Pension: often the key battleground</w:t>
      </w:r>
    </w:p>
    <w:p>
      <w:pPr>
        <w:spacing w:before="80" w:after="80"/>
      </w:pPr>
      <w:r>
        <w:rPr>
          <w:rFonts w:ascii="Arial" w:cs="Arial" w:eastAsia="Arial" w:hAnsi="Arial"/>
          <w:sz w:val="22"/>
          <w:szCs w:val="22"/>
        </w:rPr>
        <w:t xml:space="preserve">If the higher earner has a substantially larger pension — common where one party worked full-time throughout and the other took time out for childcare — pension sharing is likely. Courts look at retirement income needs, not just current income.</w:t>
      </w:r>
    </w:p>
    <w:p>
      <w:pPr>
        <w:pStyle w:val="Heading2"/>
        <w:spacing w:before="280" w:after="140"/>
      </w:pPr>
      <w:r>
        <w:rPr>
          <w:rFonts w:ascii="Arial" w:cs="Arial" w:eastAsia="Arial" w:hAnsi="Arial"/>
          <w:b/>
          <w:bCs/>
          <w:color w:val="2563a8"/>
          <w:sz w:val="28"/>
          <w:szCs w:val="28"/>
        </w:rPr>
        <w:t xml:space="preserve">Ring-Fencing High Earner's Pre-Marital Assets</w:t>
      </w:r>
    </w:p>
    <w:p>
      <w:pPr>
        <w:spacing w:before="80" w:after="80"/>
      </w:pPr>
      <w:r>
        <w:rPr>
          <w:rFonts w:ascii="Arial" w:cs="Arial" w:eastAsia="Arial" w:hAnsi="Arial"/>
          <w:sz w:val="22"/>
          <w:szCs w:val="22"/>
        </w:rPr>
        <w:t xml:space="preserve">Assets accumulated before the marriage — particularly in short marriages — may be treated differently. A high earner who brought significant wealth into the marriage can argue that pre-marital property should not be included in the matrimonial pot. However, this is not guaranteed, and the longer the marriage and the greater the financial need of the other spouse, the less likely ring-fencing is to succeed.</w:t>
      </w:r>
    </w:p>
    <w:p>
      <w:pPr>
        <w:pStyle w:val="Heading2"/>
        <w:spacing w:before="280" w:after="140"/>
      </w:pPr>
      <w:r>
        <w:rPr>
          <w:rFonts w:ascii="Arial" w:cs="Arial" w:eastAsia="Arial" w:hAnsi="Arial"/>
          <w:b/>
          <w:bCs/>
          <w:color w:val="2563a8"/>
          <w:sz w:val="28"/>
          <w:szCs w:val="28"/>
        </w:rPr>
        <w:t xml:space="preserve">Real-World Example: High vs Low Earner Divorce</w:t>
      </w:r>
    </w:p>
    <w:p>
      <w:pPr>
        <w:spacing w:before="80" w:after="80"/>
      </w:pPr>
      <w:r>
        <w:rPr>
          <w:rFonts w:ascii="Arial" w:cs="Arial" w:eastAsia="Arial" w:hAnsi="Arial"/>
          <w:sz w:val="22"/>
          <w:szCs w:val="22"/>
        </w:rPr>
        <w:t xml:space="preserve">Anna earns £85,000 as a director. Her husband Marcus earns £28,000. They have been married 9 years. No children. They own a property with £180,000 equity and have joint savings of £40,000.</w:t>
      </w:r>
    </w:p>
    <w:p>
      <w:pPr>
        <w:spacing w:before="80" w:after="80"/>
      </w:pPr>
      <w:r>
        <w:rPr>
          <w:rFonts w:ascii="Arial" w:cs="Arial" w:eastAsia="Arial" w:hAnsi="Arial"/>
          <w:sz w:val="22"/>
          <w:szCs w:val="22"/>
        </w:rPr>
        <w:t xml:space="preserve">The starting point is equal division of matrimonial assets: £110,000 each. Marcus may also seek spousal maintenance if his budget shows a genuine shortfall — though courts would expect him to maintain or increase his earning capacity. Anna's higher pension may be subject to sharing. A divorce financial settlement calculator would help both parties understand the likely outcome before instructing solicitors.</w:t>
      </w:r>
    </w:p>
    <w:p>
      <w:pPr>
        <w:pStyle w:val="Heading2"/>
        <w:spacing w:before="280" w:after="140"/>
      </w:pPr>
      <w:r>
        <w:rPr>
          <w:rFonts w:ascii="Arial" w:cs="Arial" w:eastAsia="Arial" w:hAnsi="Arial"/>
          <w:b/>
          <w:bCs/>
          <w:color w:val="2563a8"/>
          <w:sz w:val="28"/>
          <w:szCs w:val="28"/>
        </w:rPr>
        <w:t xml:space="preserve">How to Protect a Higher Earner's Position</w:t>
      </w:r>
    </w:p>
    <w:p>
      <w:pPr>
        <w:pStyle w:val="ListParagraph"/>
        <w:numPr>
          <w:ilvl w:val="0"/>
          <w:numId w:val="2"/>
        </w:numPr>
        <w:spacing w:before="60" w:after="60"/>
      </w:pPr>
      <w:r>
        <w:rPr>
          <w:rFonts w:ascii="Arial" w:cs="Arial" w:eastAsia="Arial" w:hAnsi="Arial"/>
          <w:sz w:val="22"/>
          <w:szCs w:val="22"/>
        </w:rPr>
        <w:t xml:space="preserve">Document pre-marital assets carefully — bank statements, property records, valuations</w:t>
      </w:r>
    </w:p>
    <w:p>
      <w:pPr>
        <w:pStyle w:val="ListParagraph"/>
        <w:numPr>
          <w:ilvl w:val="0"/>
          <w:numId w:val="2"/>
        </w:numPr>
        <w:spacing w:before="60" w:after="60"/>
      </w:pPr>
      <w:r>
        <w:rPr>
          <w:rFonts w:ascii="Arial" w:cs="Arial" w:eastAsia="Arial" w:hAnsi="Arial"/>
          <w:sz w:val="22"/>
          <w:szCs w:val="22"/>
        </w:rPr>
        <w:t xml:space="preserve">Seek a clean break order at the earliest opportunity to prevent future claims</w:t>
      </w:r>
    </w:p>
    <w:p>
      <w:pPr>
        <w:pStyle w:val="ListParagraph"/>
        <w:numPr>
          <w:ilvl w:val="0"/>
          <w:numId w:val="2"/>
        </w:numPr>
        <w:spacing w:before="60" w:after="60"/>
      </w:pPr>
      <w:r>
        <w:rPr>
          <w:rFonts w:ascii="Arial" w:cs="Arial" w:eastAsia="Arial" w:hAnsi="Arial"/>
          <w:sz w:val="22"/>
          <w:szCs w:val="22"/>
        </w:rPr>
        <w:t xml:space="preserve">Engage with financial disclosure fully — attempting to conceal assets is counterproductive and legally risky</w:t>
      </w:r>
    </w:p>
    <w:p>
      <w:pPr>
        <w:pStyle w:val="ListParagraph"/>
        <w:numPr>
          <w:ilvl w:val="0"/>
          <w:numId w:val="2"/>
        </w:numPr>
        <w:spacing w:before="60" w:after="60"/>
      </w:pPr>
      <w:r>
        <w:rPr>
          <w:rFonts w:ascii="Arial" w:cs="Arial" w:eastAsia="Arial" w:hAnsi="Arial"/>
          <w:sz w:val="22"/>
          <w:szCs w:val="22"/>
        </w:rPr>
        <w:t xml:space="preserve">Understand the difference between sharing matrimonial assets and compensating for career sacrifices</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Courts start from equal sharing of matrimonial assets regardless of income disparity</w:t>
      </w:r>
    </w:p>
    <w:p>
      <w:pPr>
        <w:pStyle w:val="ListParagraph"/>
        <w:numPr>
          <w:ilvl w:val="0"/>
          <w:numId w:val="2"/>
        </w:numPr>
        <w:spacing w:before="60" w:after="60"/>
      </w:pPr>
      <w:r>
        <w:rPr>
          <w:rFonts w:ascii="Arial" w:cs="Arial" w:eastAsia="Arial" w:hAnsi="Arial"/>
          <w:sz w:val="22"/>
          <w:szCs w:val="22"/>
        </w:rPr>
        <w:t xml:space="preserve">Spousal maintenance can be awarded where the income gap creates a genuine budget deficit</w:t>
      </w:r>
    </w:p>
    <w:p>
      <w:pPr>
        <w:pStyle w:val="ListParagraph"/>
        <w:numPr>
          <w:ilvl w:val="0"/>
          <w:numId w:val="2"/>
        </w:numPr>
        <w:spacing w:before="60" w:after="60"/>
      </w:pPr>
      <w:r>
        <w:rPr>
          <w:rFonts w:ascii="Arial" w:cs="Arial" w:eastAsia="Arial" w:hAnsi="Arial"/>
          <w:sz w:val="22"/>
          <w:szCs w:val="22"/>
        </w:rPr>
        <w:t xml:space="preserve">Non-financial contributions are given equal weight to financial ones</w:t>
      </w:r>
    </w:p>
    <w:p>
      <w:pPr>
        <w:pStyle w:val="ListParagraph"/>
        <w:numPr>
          <w:ilvl w:val="0"/>
          <w:numId w:val="2"/>
        </w:numPr>
        <w:spacing w:before="60" w:after="60"/>
      </w:pPr>
      <w:r>
        <w:rPr>
          <w:rFonts w:ascii="Arial" w:cs="Arial" w:eastAsia="Arial" w:hAnsi="Arial"/>
          <w:sz w:val="22"/>
          <w:szCs w:val="22"/>
        </w:rPr>
        <w:t xml:space="preserve">Pre-marital assets may be ring-fenced in shorter marriages</w:t>
      </w:r>
    </w:p>
    <w:p>
      <w:pPr>
        <w:pStyle w:val="ListParagraph"/>
        <w:numPr>
          <w:ilvl w:val="0"/>
          <w:numId w:val="2"/>
        </w:numPr>
        <w:spacing w:before="60" w:after="60"/>
      </w:pPr>
      <w:r>
        <w:rPr>
          <w:rFonts w:ascii="Arial" w:cs="Arial" w:eastAsia="Arial" w:hAnsi="Arial"/>
          <w:sz w:val="22"/>
          <w:szCs w:val="22"/>
        </w:rPr>
        <w:t xml:space="preserve">Pension sharing is likely where there is a significant retirement income gap</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Does the higher earner always get a better settlement?</w:t>
      </w:r>
    </w:p>
    <w:p>
      <w:pPr>
        <w:spacing w:before="80" w:after="80"/>
      </w:pPr>
      <w:r>
        <w:rPr>
          <w:rFonts w:ascii="Arial" w:cs="Arial" w:eastAsia="Arial" w:hAnsi="Arial"/>
          <w:sz w:val="22"/>
          <w:szCs w:val="22"/>
        </w:rPr>
        <w:t xml:space="preserve">No. The equal sharing principle and needs-based approach mean that the lower earner is entitled to a fair share. Courts do not simply reward higher earners with more assets.</w:t>
      </w:r>
    </w:p>
    <w:p>
      <w:pPr>
        <w:spacing w:before="200" w:after="100"/>
      </w:pPr>
      <w:r>
        <w:rPr>
          <w:rFonts w:ascii="Arial" w:cs="Arial" w:eastAsia="Arial" w:hAnsi="Arial"/>
          <w:b/>
          <w:bCs/>
          <w:color w:val="1a3c5e"/>
          <w:sz w:val="24"/>
          <w:szCs w:val="24"/>
        </w:rPr>
        <w:t xml:space="preserve">Can the lower earner claim the higher earner's future earnings?</w:t>
      </w:r>
    </w:p>
    <w:p>
      <w:pPr>
        <w:spacing w:before="80" w:after="80"/>
      </w:pPr>
      <w:r>
        <w:rPr>
          <w:rFonts w:ascii="Arial" w:cs="Arial" w:eastAsia="Arial" w:hAnsi="Arial"/>
          <w:sz w:val="22"/>
          <w:szCs w:val="22"/>
        </w:rPr>
        <w:t xml:space="preserve">Not directly. Financial settlements deal with existing assets and current income levels. However, the higher earner's earning capacity factors into decisions about maintenance duration and amount.</w:t>
      </w:r>
    </w:p>
    <w:p>
      <w:pPr>
        <w:spacing w:before="200" w:after="100"/>
      </w:pPr>
      <w:r>
        <w:rPr>
          <w:rFonts w:ascii="Arial" w:cs="Arial" w:eastAsia="Arial" w:hAnsi="Arial"/>
          <w:b/>
          <w:bCs/>
          <w:color w:val="1a3c5e"/>
          <w:sz w:val="24"/>
          <w:szCs w:val="24"/>
        </w:rPr>
        <w:t xml:space="preserve">Is there a formula for calculating what a higher earner owes?</w:t>
      </w:r>
    </w:p>
    <w:p>
      <w:pPr>
        <w:spacing w:before="80" w:after="80"/>
      </w:pPr>
      <w:r>
        <w:rPr>
          <w:rFonts w:ascii="Arial" w:cs="Arial" w:eastAsia="Arial" w:hAnsi="Arial"/>
          <w:sz w:val="22"/>
          <w:szCs w:val="22"/>
        </w:rPr>
        <w:t xml:space="preserve">No single formula. Courts weigh all Section 25 factors. A divorce financial settlement calculator based on typical outcomes can give an indicative range, but individual circumstances always influence the final outcome.</w:t>
      </w:r>
    </w:p>
    <w:p>
      <w:pPr>
        <w:spacing w:before="200" w:after="100"/>
      </w:pPr>
      <w:r>
        <w:rPr>
          <w:rFonts w:ascii="Arial" w:cs="Arial" w:eastAsia="Arial" w:hAnsi="Arial"/>
          <w:b/>
          <w:bCs/>
          <w:color w:val="1a3c5e"/>
          <w:sz w:val="24"/>
          <w:szCs w:val="24"/>
        </w:rPr>
        <w:t xml:space="preserve">What if the lower earner has never worked?</w:t>
      </w:r>
    </w:p>
    <w:p>
      <w:pPr>
        <w:spacing w:before="80" w:after="80"/>
      </w:pPr>
      <w:r>
        <w:rPr>
          <w:rFonts w:ascii="Arial" w:cs="Arial" w:eastAsia="Arial" w:hAnsi="Arial"/>
          <w:sz w:val="22"/>
          <w:szCs w:val="22"/>
        </w:rPr>
        <w:t xml:space="preserve">Non-financial contributions (childcare, homemaking) are treated equally to financial contributions. A spouse who never worked but contributed in other ways has a strong claim to an equal or near-equal share of matrimonial assets.</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360" w:after="200"/>
      </w:pPr>
      <w:r>
        <w:rPr>
          <w:rFonts w:ascii="Arial" w:cs="Arial" w:eastAsia="Arial" w:hAnsi="Arial"/>
          <w:b/>
          <w:bCs/>
          <w:color w:val="1a3c5e"/>
          <w:sz w:val="36"/>
          <w:szCs w:val="36"/>
        </w:rPr>
        <w:t xml:space="preserve">How Are Savings Split in Divorce UK? A Clear Guide to Dividing Bank Accounts and Investments</w:t>
      </w:r>
    </w:p>
    <w:p>
      <w:pPr>
        <w:pStyle w:val="Heading2"/>
        <w:spacing w:before="280" w:after="140"/>
      </w:pPr>
      <w:r>
        <w:rPr>
          <w:rFonts w:ascii="Arial" w:cs="Arial" w:eastAsia="Arial" w:hAnsi="Arial"/>
          <w:b/>
          <w:bCs/>
          <w:color w:val="2563a8"/>
          <w:sz w:val="28"/>
          <w:szCs w:val="28"/>
        </w:rPr>
        <w:t xml:space="preserve">How Are Savings Split in Divorce in the UK?</w:t>
      </w:r>
    </w:p>
    <w:p>
      <w:pPr>
        <w:spacing w:before="80" w:after="80"/>
      </w:pPr>
      <w:r>
        <w:rPr>
          <w:rFonts w:ascii="Arial" w:cs="Arial" w:eastAsia="Arial" w:hAnsi="Arial"/>
          <w:sz w:val="22"/>
          <w:szCs w:val="22"/>
        </w:rPr>
        <w:t xml:space="preserve">When a marriage ends, savings accumulated during the relationship are typically treated as matrimonial assets and subject to division. How savings are split in divorce UK depends on the same principles as all financial settlement decisions: a fair division based on both parties' needs, contributions, and circumstances. There is no automatic 50/50 rule — though equal division is often the starting point.</w:t>
      </w:r>
    </w:p>
    <w:p>
      <w:pPr>
        <w:pStyle w:val="Heading2"/>
        <w:spacing w:before="280" w:after="140"/>
      </w:pPr>
      <w:r>
        <w:rPr>
          <w:rFonts w:ascii="Arial" w:cs="Arial" w:eastAsia="Arial" w:hAnsi="Arial"/>
          <w:b/>
          <w:bCs/>
          <w:color w:val="2563a8"/>
          <w:sz w:val="28"/>
          <w:szCs w:val="28"/>
        </w:rPr>
        <w:t xml:space="preserve">What Counts as Matrimonial Savings?</w:t>
      </w:r>
    </w:p>
    <w:p>
      <w:pPr>
        <w:spacing w:before="80" w:after="80"/>
      </w:pPr>
      <w:r>
        <w:rPr>
          <w:rFonts w:ascii="Arial" w:cs="Arial" w:eastAsia="Arial" w:hAnsi="Arial"/>
          <w:sz w:val="22"/>
          <w:szCs w:val="22"/>
        </w:rPr>
        <w:t xml:space="preserve">Savings built up during the marriage — from either or both parties' income — are generally treated as jointly owned matrimonial assets, even if held in a sole account. This includes:</w:t>
      </w:r>
    </w:p>
    <w:p>
      <w:pPr>
        <w:pStyle w:val="ListParagraph"/>
        <w:numPr>
          <w:ilvl w:val="0"/>
          <w:numId w:val="2"/>
        </w:numPr>
        <w:spacing w:before="60" w:after="60"/>
      </w:pPr>
      <w:r>
        <w:rPr>
          <w:rFonts w:ascii="Arial" w:cs="Arial" w:eastAsia="Arial" w:hAnsi="Arial"/>
          <w:sz w:val="22"/>
          <w:szCs w:val="22"/>
        </w:rPr>
        <w:t xml:space="preserve">Current and savings accounts in either party's name</w:t>
      </w:r>
    </w:p>
    <w:p>
      <w:pPr>
        <w:pStyle w:val="ListParagraph"/>
        <w:numPr>
          <w:ilvl w:val="0"/>
          <w:numId w:val="2"/>
        </w:numPr>
        <w:spacing w:before="60" w:after="60"/>
      </w:pPr>
      <w:r>
        <w:rPr>
          <w:rFonts w:ascii="Arial" w:cs="Arial" w:eastAsia="Arial" w:hAnsi="Arial"/>
          <w:sz w:val="22"/>
          <w:szCs w:val="22"/>
        </w:rPr>
        <w:t xml:space="preserve">Cash ISAs built up during the marriage</w:t>
      </w:r>
    </w:p>
    <w:p>
      <w:pPr>
        <w:pStyle w:val="ListParagraph"/>
        <w:numPr>
          <w:ilvl w:val="0"/>
          <w:numId w:val="2"/>
        </w:numPr>
        <w:spacing w:before="60" w:after="60"/>
      </w:pPr>
      <w:r>
        <w:rPr>
          <w:rFonts w:ascii="Arial" w:cs="Arial" w:eastAsia="Arial" w:hAnsi="Arial"/>
          <w:sz w:val="22"/>
          <w:szCs w:val="22"/>
        </w:rPr>
        <w:t xml:space="preserve">Premium bonds</w:t>
      </w:r>
    </w:p>
    <w:p>
      <w:pPr>
        <w:pStyle w:val="ListParagraph"/>
        <w:numPr>
          <w:ilvl w:val="0"/>
          <w:numId w:val="2"/>
        </w:numPr>
        <w:spacing w:before="60" w:after="60"/>
      </w:pPr>
      <w:r>
        <w:rPr>
          <w:rFonts w:ascii="Arial" w:cs="Arial" w:eastAsia="Arial" w:hAnsi="Arial"/>
          <w:sz w:val="22"/>
          <w:szCs w:val="22"/>
        </w:rPr>
        <w:t xml:space="preserve">Cash held in business accounts where the business is a marital asset</w:t>
      </w:r>
    </w:p>
    <w:p>
      <w:pPr>
        <w:spacing w:before="200" w:after="100"/>
      </w:pPr>
      <w:r>
        <w:rPr>
          <w:rFonts w:ascii="Arial" w:cs="Arial" w:eastAsia="Arial" w:hAnsi="Arial"/>
          <w:b/>
          <w:bCs/>
          <w:color w:val="1a3c5e"/>
          <w:sz w:val="24"/>
          <w:szCs w:val="24"/>
        </w:rPr>
        <w:t xml:space="preserve">What may be treated differently:</w:t>
      </w:r>
    </w:p>
    <w:p>
      <w:pPr>
        <w:pStyle w:val="ListParagraph"/>
        <w:numPr>
          <w:ilvl w:val="0"/>
          <w:numId w:val="2"/>
        </w:numPr>
        <w:spacing w:before="60" w:after="60"/>
      </w:pPr>
      <w:r>
        <w:rPr>
          <w:rFonts w:ascii="Arial" w:cs="Arial" w:eastAsia="Arial" w:hAnsi="Arial"/>
          <w:sz w:val="22"/>
          <w:szCs w:val="22"/>
        </w:rPr>
        <w:t xml:space="preserve">Savings predating the marriage that can be clearly evidenced</w:t>
      </w:r>
    </w:p>
    <w:p>
      <w:pPr>
        <w:pStyle w:val="ListParagraph"/>
        <w:numPr>
          <w:ilvl w:val="0"/>
          <w:numId w:val="2"/>
        </w:numPr>
        <w:spacing w:before="60" w:after="60"/>
      </w:pPr>
      <w:r>
        <w:rPr>
          <w:rFonts w:ascii="Arial" w:cs="Arial" w:eastAsia="Arial" w:hAnsi="Arial"/>
          <w:sz w:val="22"/>
          <w:szCs w:val="22"/>
        </w:rPr>
        <w:t xml:space="preserve">Inheritance placed directly into a savings account and kept separate (ring-fencing is easier to argue for short marriages)</w:t>
      </w:r>
    </w:p>
    <w:p>
      <w:pPr>
        <w:pStyle w:val="ListParagraph"/>
        <w:numPr>
          <w:ilvl w:val="0"/>
          <w:numId w:val="2"/>
        </w:numPr>
        <w:spacing w:before="60" w:after="60"/>
      </w:pPr>
      <w:r>
        <w:rPr>
          <w:rFonts w:ascii="Arial" w:cs="Arial" w:eastAsia="Arial" w:hAnsi="Arial"/>
          <w:sz w:val="22"/>
          <w:szCs w:val="22"/>
        </w:rPr>
        <w:t xml:space="preserve">Gifts from third parties kept separate throughout the marriage</w:t>
      </w:r>
    </w:p>
    <w:p>
      <w:pPr>
        <w:pStyle w:val="Heading2"/>
        <w:spacing w:before="280" w:after="140"/>
      </w:pPr>
      <w:r>
        <w:rPr>
          <w:rFonts w:ascii="Arial" w:cs="Arial" w:eastAsia="Arial" w:hAnsi="Arial"/>
          <w:b/>
          <w:bCs/>
          <w:color w:val="2563a8"/>
          <w:sz w:val="28"/>
          <w:szCs w:val="28"/>
        </w:rPr>
        <w:t xml:space="preserve">How Are Investments Divided in Divorce UK?</w:t>
      </w:r>
    </w:p>
    <w:p>
      <w:pPr>
        <w:spacing w:before="80" w:after="80"/>
      </w:pPr>
      <w:r>
        <w:rPr>
          <w:rFonts w:ascii="Arial" w:cs="Arial" w:eastAsia="Arial" w:hAnsi="Arial"/>
          <w:sz w:val="22"/>
          <w:szCs w:val="22"/>
        </w:rPr>
        <w:t xml:space="preserve">Investments — shares, unit trusts, stocks and shares ISAs, and investment portfolios — are treated in the same way as savings. If accumulated during the marriage, they are matrimonial assets. Valuations are taken at the time of settlement (not at the time of separation or purchase).</w:t>
      </w:r>
    </w:p>
    <w:p>
      <w:pPr>
        <w:spacing w:before="80" w:after="80"/>
      </w:pPr>
      <w:r>
        <w:rPr>
          <w:rFonts w:ascii="Arial" w:cs="Arial" w:eastAsia="Arial" w:hAnsi="Arial"/>
          <w:sz w:val="22"/>
          <w:szCs w:val="22"/>
        </w:rPr>
        <w:t xml:space="preserve">Investment valuations can fluctuate significantly. If markets move between the date of valuation and the date of transfer, this can create disputes. Courts typically use current value at the time of order unless there is a compelling reason to do otherwise.</w:t>
      </w:r>
    </w:p>
    <w:p>
      <w:pPr>
        <w:pStyle w:val="Heading2"/>
        <w:spacing w:before="280" w:after="140"/>
      </w:pPr>
      <w:r>
        <w:rPr>
          <w:rFonts w:ascii="Arial" w:cs="Arial" w:eastAsia="Arial" w:hAnsi="Arial"/>
          <w:b/>
          <w:bCs/>
          <w:color w:val="2563a8"/>
          <w:sz w:val="28"/>
          <w:szCs w:val="28"/>
        </w:rPr>
        <w:t xml:space="preserve">What Happens to Joint Bank Accounts After Divorce UK?</w:t>
      </w:r>
    </w:p>
    <w:p>
      <w:pPr>
        <w:spacing w:before="80" w:after="80"/>
      </w:pPr>
      <w:r>
        <w:rPr>
          <w:rFonts w:ascii="Arial" w:cs="Arial" w:eastAsia="Arial" w:hAnsi="Arial"/>
          <w:sz w:val="22"/>
          <w:szCs w:val="22"/>
        </w:rPr>
        <w:t xml:space="preserve">Joint bank accounts are technically owned jointly — either party can withdraw funds at any time. On separation, it is common for:</w:t>
      </w:r>
    </w:p>
    <w:p>
      <w:pPr>
        <w:pStyle w:val="ListParagraph"/>
        <w:numPr>
          <w:ilvl w:val="0"/>
          <w:numId w:val="2"/>
        </w:numPr>
        <w:spacing w:before="60" w:after="60"/>
      </w:pPr>
      <w:r>
        <w:rPr>
          <w:rFonts w:ascii="Arial" w:cs="Arial" w:eastAsia="Arial" w:hAnsi="Arial"/>
          <w:sz w:val="22"/>
          <w:szCs w:val="22"/>
        </w:rPr>
        <w:t xml:space="preserve">The joint account to be frozen by agreement pending settlement (neither party spends the balance)</w:t>
      </w:r>
    </w:p>
    <w:p>
      <w:pPr>
        <w:pStyle w:val="ListParagraph"/>
        <w:numPr>
          <w:ilvl w:val="0"/>
          <w:numId w:val="2"/>
        </w:numPr>
        <w:spacing w:before="60" w:after="60"/>
      </w:pPr>
      <w:r>
        <w:rPr>
          <w:rFonts w:ascii="Arial" w:cs="Arial" w:eastAsia="Arial" w:hAnsi="Arial"/>
          <w:sz w:val="22"/>
          <w:szCs w:val="22"/>
        </w:rPr>
        <w:t xml:space="preserve">The balance to be split equally and the account closed</w:t>
      </w:r>
    </w:p>
    <w:p>
      <w:pPr>
        <w:pStyle w:val="ListParagraph"/>
        <w:numPr>
          <w:ilvl w:val="0"/>
          <w:numId w:val="2"/>
        </w:numPr>
        <w:spacing w:before="60" w:after="60"/>
      </w:pPr>
      <w:r>
        <w:rPr>
          <w:rFonts w:ascii="Arial" w:cs="Arial" w:eastAsia="Arial" w:hAnsi="Arial"/>
          <w:sz w:val="22"/>
          <w:szCs w:val="22"/>
        </w:rPr>
        <w:t xml:space="preserve">One party to buy out the other's interest in the joint balance as part of the overall settlement</w:t>
      </w:r>
    </w:p>
    <w:p>
      <w:pPr>
        <w:spacing w:before="80" w:after="80"/>
      </w:pPr>
      <w:r>
        <w:rPr>
          <w:rFonts w:ascii="Arial" w:cs="Arial" w:eastAsia="Arial" w:hAnsi="Arial"/>
          <w:sz w:val="22"/>
          <w:szCs w:val="22"/>
        </w:rPr>
        <w:t xml:space="preserve">Important: If one party empties a joint account on or after separation, courts can take this into account when considering the overall settlement. Dissipation of matrimonial assets is looked upon very negatively.</w:t>
      </w:r>
    </w:p>
    <w:p>
      <w:pPr>
        <w:pStyle w:val="Heading2"/>
        <w:spacing w:before="280" w:after="140"/>
      </w:pPr>
      <w:r>
        <w:rPr>
          <w:rFonts w:ascii="Arial" w:cs="Arial" w:eastAsia="Arial" w:hAnsi="Arial"/>
          <w:b/>
          <w:bCs/>
          <w:color w:val="2563a8"/>
          <w:sz w:val="28"/>
          <w:szCs w:val="28"/>
        </w:rPr>
        <w:t xml:space="preserve">Can My Ex Claim My Inheritance in UK Divorce?</w:t>
      </w:r>
    </w:p>
    <w:p>
      <w:pPr>
        <w:spacing w:before="80" w:after="80"/>
      </w:pPr>
      <w:r>
        <w:rPr>
          <w:rFonts w:ascii="Arial" w:cs="Arial" w:eastAsia="Arial" w:hAnsi="Arial"/>
          <w:sz w:val="22"/>
          <w:szCs w:val="22"/>
        </w:rPr>
        <w:t xml:space="preserve">Whether an inheritance can be claimed in a UK divorce is one of the most commonly asked questions — and the answer is: it depends.</w:t>
      </w:r>
    </w:p>
    <w:p>
      <w:pPr>
        <w:spacing w:before="200" w:after="100"/>
      </w:pPr>
      <w:r>
        <w:rPr>
          <w:rFonts w:ascii="Arial" w:cs="Arial" w:eastAsia="Arial" w:hAnsi="Arial"/>
          <w:b/>
          <w:bCs/>
          <w:color w:val="1a3c5e"/>
          <w:sz w:val="24"/>
          <w:szCs w:val="24"/>
        </w:rPr>
        <w:t xml:space="preserve">When inheritance may be included:</w:t>
      </w:r>
    </w:p>
    <w:p>
      <w:pPr>
        <w:pStyle w:val="ListParagraph"/>
        <w:numPr>
          <w:ilvl w:val="0"/>
          <w:numId w:val="2"/>
        </w:numPr>
        <w:spacing w:before="60" w:after="60"/>
      </w:pPr>
      <w:r>
        <w:rPr>
          <w:rFonts w:ascii="Arial" w:cs="Arial" w:eastAsia="Arial" w:hAnsi="Arial"/>
          <w:sz w:val="22"/>
          <w:szCs w:val="22"/>
        </w:rPr>
        <w:t xml:space="preserve">When it was inherited during a long marriage and mixed with joint funds</w:t>
      </w:r>
    </w:p>
    <w:p>
      <w:pPr>
        <w:pStyle w:val="ListParagraph"/>
        <w:numPr>
          <w:ilvl w:val="0"/>
          <w:numId w:val="2"/>
        </w:numPr>
        <w:spacing w:before="60" w:after="60"/>
      </w:pPr>
      <w:r>
        <w:rPr>
          <w:rFonts w:ascii="Arial" w:cs="Arial" w:eastAsia="Arial" w:hAnsi="Arial"/>
          <w:sz w:val="22"/>
          <w:szCs w:val="22"/>
        </w:rPr>
        <w:t xml:space="preserve">When it was used to fund the family home or joint lifestyle</w:t>
      </w:r>
    </w:p>
    <w:p>
      <w:pPr>
        <w:pStyle w:val="ListParagraph"/>
        <w:numPr>
          <w:ilvl w:val="0"/>
          <w:numId w:val="2"/>
        </w:numPr>
        <w:spacing w:before="60" w:after="60"/>
      </w:pPr>
      <w:r>
        <w:rPr>
          <w:rFonts w:ascii="Arial" w:cs="Arial" w:eastAsia="Arial" w:hAnsi="Arial"/>
          <w:sz w:val="22"/>
          <w:szCs w:val="22"/>
        </w:rPr>
        <w:t xml:space="preserve">When the other party has a significant financial need that cannot otherwise be met</w:t>
      </w:r>
    </w:p>
    <w:p>
      <w:pPr>
        <w:spacing w:before="200" w:after="100"/>
      </w:pPr>
      <w:r>
        <w:rPr>
          <w:rFonts w:ascii="Arial" w:cs="Arial" w:eastAsia="Arial" w:hAnsi="Arial"/>
          <w:b/>
          <w:bCs/>
          <w:color w:val="1a3c5e"/>
          <w:sz w:val="24"/>
          <w:szCs w:val="24"/>
        </w:rPr>
        <w:t xml:space="preserve">When inheritance is more likely to be ring-fenced:</w:t>
      </w:r>
    </w:p>
    <w:p>
      <w:pPr>
        <w:pStyle w:val="ListParagraph"/>
        <w:numPr>
          <w:ilvl w:val="0"/>
          <w:numId w:val="2"/>
        </w:numPr>
        <w:spacing w:before="60" w:after="60"/>
      </w:pPr>
      <w:r>
        <w:rPr>
          <w:rFonts w:ascii="Arial" w:cs="Arial" w:eastAsia="Arial" w:hAnsi="Arial"/>
          <w:sz w:val="22"/>
          <w:szCs w:val="22"/>
        </w:rPr>
        <w:t xml:space="preserve">Short marriages where the inheritance clearly predates or is separate from the marital relationship</w:t>
      </w:r>
    </w:p>
    <w:p>
      <w:pPr>
        <w:pStyle w:val="ListParagraph"/>
        <w:numPr>
          <w:ilvl w:val="0"/>
          <w:numId w:val="2"/>
        </w:numPr>
        <w:spacing w:before="60" w:after="60"/>
      </w:pPr>
      <w:r>
        <w:rPr>
          <w:rFonts w:ascii="Arial" w:cs="Arial" w:eastAsia="Arial" w:hAnsi="Arial"/>
          <w:sz w:val="22"/>
          <w:szCs w:val="22"/>
        </w:rPr>
        <w:t xml:space="preserve">Inheritance kept entirely separate — never mixed with joint accounts or used for joint purposes</w:t>
      </w:r>
    </w:p>
    <w:p>
      <w:pPr>
        <w:pStyle w:val="ListParagraph"/>
        <w:numPr>
          <w:ilvl w:val="0"/>
          <w:numId w:val="2"/>
        </w:numPr>
        <w:spacing w:before="60" w:after="60"/>
      </w:pPr>
      <w:r>
        <w:rPr>
          <w:rFonts w:ascii="Arial" w:cs="Arial" w:eastAsia="Arial" w:hAnsi="Arial"/>
          <w:sz w:val="22"/>
          <w:szCs w:val="22"/>
        </w:rPr>
        <w:t xml:space="preserve">Very recent inheritances received close to or after separation</w:t>
      </w:r>
    </w:p>
    <w:p>
      <w:pPr>
        <w:spacing w:before="80" w:after="80"/>
      </w:pPr>
      <w:r>
        <w:rPr>
          <w:rFonts w:ascii="Arial" w:cs="Arial" w:eastAsia="Arial" w:hAnsi="Arial"/>
          <w:sz w:val="22"/>
          <w:szCs w:val="22"/>
        </w:rPr>
        <w:t xml:space="preserve">The longer the marriage and the greater the other party's financial need, the harder it is to ring-fence an inheritance. Courts have broad discretion, and there is no absolute rule.</w:t>
      </w:r>
    </w:p>
    <w:p>
      <w:pPr>
        <w:pStyle w:val="Heading2"/>
        <w:spacing w:before="280" w:after="140"/>
      </w:pPr>
      <w:r>
        <w:rPr>
          <w:rFonts w:ascii="Arial" w:cs="Arial" w:eastAsia="Arial" w:hAnsi="Arial"/>
          <w:b/>
          <w:bCs/>
          <w:color w:val="2563a8"/>
          <w:sz w:val="28"/>
          <w:szCs w:val="28"/>
        </w:rPr>
        <w:t xml:space="preserve">Is Inheritance Included in Divorce Settlement UK?</w:t>
      </w:r>
    </w:p>
    <w:p>
      <w:pPr>
        <w:spacing w:before="80" w:after="80"/>
      </w:pPr>
      <w:r>
        <w:rPr>
          <w:rFonts w:ascii="Arial" w:cs="Arial" w:eastAsia="Arial" w:hAnsi="Arial"/>
          <w:sz w:val="22"/>
          <w:szCs w:val="22"/>
        </w:rPr>
        <w:t xml:space="preserve">As above: it can be. The key factors are the length of the marriage, whether the inheritance was 'mingled' with matrimonial funds, and whether the other spouse has a financial need that can only be met by including the inheritance. Courts use the concept of 'source of funds' to trace where money came from — but tracing becomes harder when funds are mixed.</w:t>
      </w:r>
    </w:p>
    <w:p>
      <w:pPr>
        <w:pStyle w:val="Heading2"/>
        <w:spacing w:before="280" w:after="140"/>
      </w:pPr>
      <w:r>
        <w:rPr>
          <w:rFonts w:ascii="Arial" w:cs="Arial" w:eastAsia="Arial" w:hAnsi="Arial"/>
          <w:b/>
          <w:bCs/>
          <w:color w:val="2563a8"/>
          <w:sz w:val="28"/>
          <w:szCs w:val="28"/>
        </w:rPr>
        <w:t xml:space="preserve">Understanding Your Full Financial Picture</w:t>
      </w:r>
    </w:p>
    <w:p>
      <w:pPr>
        <w:spacing w:before="80" w:after="80"/>
      </w:pPr>
      <w:r>
        <w:rPr>
          <w:rFonts w:ascii="Arial" w:cs="Arial" w:eastAsia="Arial" w:hAnsi="Arial"/>
          <w:sz w:val="22"/>
          <w:szCs w:val="22"/>
        </w:rPr>
        <w:t xml:space="preserve">Whether you are trying to understand what share of savings you are entitled to, whether your inheritance is at risk, or how investments should be valued, a divorce financial settlement calculator can help you model the overall picture. The key is using accurate figures for all assets — savings, investments, property, and pensions — and understanding how the court might approach each one.</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Savings and investments built up during the marriage are typically matrimonial assets</w:t>
      </w:r>
    </w:p>
    <w:p>
      <w:pPr>
        <w:pStyle w:val="ListParagraph"/>
        <w:numPr>
          <w:ilvl w:val="0"/>
          <w:numId w:val="2"/>
        </w:numPr>
        <w:spacing w:before="60" w:after="60"/>
      </w:pPr>
      <w:r>
        <w:rPr>
          <w:rFonts w:ascii="Arial" w:cs="Arial" w:eastAsia="Arial" w:hAnsi="Arial"/>
          <w:sz w:val="22"/>
          <w:szCs w:val="22"/>
        </w:rPr>
        <w:t xml:space="preserve">Equal division is the starting point, subject to departures based on need and other factors</w:t>
      </w:r>
    </w:p>
    <w:p>
      <w:pPr>
        <w:pStyle w:val="ListParagraph"/>
        <w:numPr>
          <w:ilvl w:val="0"/>
          <w:numId w:val="2"/>
        </w:numPr>
        <w:spacing w:before="60" w:after="60"/>
      </w:pPr>
      <w:r>
        <w:rPr>
          <w:rFonts w:ascii="Arial" w:cs="Arial" w:eastAsia="Arial" w:hAnsi="Arial"/>
          <w:sz w:val="22"/>
          <w:szCs w:val="22"/>
        </w:rPr>
        <w:t xml:space="preserve">Joint accounts should be frozen by agreement on separation — emptying them unilaterally is viewed negatively</w:t>
      </w:r>
    </w:p>
    <w:p>
      <w:pPr>
        <w:pStyle w:val="ListParagraph"/>
        <w:numPr>
          <w:ilvl w:val="0"/>
          <w:numId w:val="2"/>
        </w:numPr>
        <w:spacing w:before="60" w:after="60"/>
      </w:pPr>
      <w:r>
        <w:rPr>
          <w:rFonts w:ascii="Arial" w:cs="Arial" w:eastAsia="Arial" w:hAnsi="Arial"/>
          <w:sz w:val="22"/>
          <w:szCs w:val="22"/>
        </w:rPr>
        <w:t xml:space="preserve">Inheritance may or may not be included depending on marriage length, mixing of funds, and financial need</w:t>
      </w:r>
    </w:p>
    <w:p>
      <w:pPr>
        <w:pStyle w:val="ListParagraph"/>
        <w:numPr>
          <w:ilvl w:val="0"/>
          <w:numId w:val="2"/>
        </w:numPr>
        <w:spacing w:before="60" w:after="60"/>
      </w:pPr>
      <w:r>
        <w:rPr>
          <w:rFonts w:ascii="Arial" w:cs="Arial" w:eastAsia="Arial" w:hAnsi="Arial"/>
          <w:sz w:val="22"/>
          <w:szCs w:val="22"/>
        </w:rPr>
        <w:t xml:space="preserve">Investments are valued at the time of settlement, not at the time of purchase</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Can I protect my savings by moving them before we separate?</w:t>
      </w:r>
    </w:p>
    <w:p>
      <w:pPr>
        <w:spacing w:before="80" w:after="80"/>
      </w:pPr>
      <w:r>
        <w:rPr>
          <w:rFonts w:ascii="Arial" w:cs="Arial" w:eastAsia="Arial" w:hAnsi="Arial"/>
          <w:sz w:val="22"/>
          <w:szCs w:val="22"/>
        </w:rPr>
        <w:t xml:space="preserve">No — courts can look back at financial transactions and treat transferred or hidden assets as still available. Moving funds to hide them from a spouse is a breach of the duty of disclosure and can result in adverse findings.</w:t>
      </w:r>
    </w:p>
    <w:p>
      <w:pPr>
        <w:spacing w:before="200" w:after="100"/>
      </w:pPr>
      <w:r>
        <w:rPr>
          <w:rFonts w:ascii="Arial" w:cs="Arial" w:eastAsia="Arial" w:hAnsi="Arial"/>
          <w:b/>
          <w:bCs/>
          <w:color w:val="1a3c5e"/>
          <w:sz w:val="24"/>
          <w:szCs w:val="24"/>
        </w:rPr>
        <w:t xml:space="preserve">Does it matter whose name savings are in?</w:t>
      </w:r>
    </w:p>
    <w:p>
      <w:pPr>
        <w:spacing w:before="80" w:after="80"/>
      </w:pPr>
      <w:r>
        <w:rPr>
          <w:rFonts w:ascii="Arial" w:cs="Arial" w:eastAsia="Arial" w:hAnsi="Arial"/>
          <w:sz w:val="22"/>
          <w:szCs w:val="22"/>
        </w:rPr>
        <w:t xml:space="preserve">For matrimonial savings, no — savings held in a sole account are still treated as joint matrimonial assets if built up during the marriage. Only clearly pre-marital or ring-fenced assets may be treated differently.</w:t>
      </w:r>
    </w:p>
    <w:p>
      <w:pPr>
        <w:spacing w:before="200" w:after="100"/>
      </w:pPr>
      <w:r>
        <w:rPr>
          <w:rFonts w:ascii="Arial" w:cs="Arial" w:eastAsia="Arial" w:hAnsi="Arial"/>
          <w:b/>
          <w:bCs/>
          <w:color w:val="1a3c5e"/>
          <w:sz w:val="24"/>
          <w:szCs w:val="24"/>
        </w:rPr>
        <w:t xml:space="preserve">Can my ex claim my pension savings?</w:t>
      </w:r>
    </w:p>
    <w:p>
      <w:pPr>
        <w:spacing w:before="80" w:after="80"/>
      </w:pPr>
      <w:r>
        <w:rPr>
          <w:rFonts w:ascii="Arial" w:cs="Arial" w:eastAsia="Arial" w:hAnsi="Arial"/>
          <w:sz w:val="22"/>
          <w:szCs w:val="22"/>
        </w:rPr>
        <w:t xml:space="preserve">Yes — pension funds accumulated during the marriage are matrimonial assets. A pension sharing order can transfer a percentage of your pension to your spouse. This is separate from savings and bank accounts.</w:t>
      </w:r>
    </w:p>
    <w:p>
      <w:pPr>
        <w:spacing w:before="200" w:after="100"/>
      </w:pPr>
      <w:r>
        <w:rPr>
          <w:rFonts w:ascii="Arial" w:cs="Arial" w:eastAsia="Arial" w:hAnsi="Arial"/>
          <w:b/>
          <w:bCs/>
          <w:color w:val="1a3c5e"/>
          <w:sz w:val="24"/>
          <w:szCs w:val="24"/>
        </w:rPr>
        <w:t xml:space="preserve">What happens to locked-in investments during divorce?</w:t>
      </w:r>
    </w:p>
    <w:p>
      <w:pPr>
        <w:spacing w:before="80" w:after="80"/>
      </w:pPr>
      <w:r>
        <w:rPr>
          <w:rFonts w:ascii="Arial" w:cs="Arial" w:eastAsia="Arial" w:hAnsi="Arial"/>
          <w:sz w:val="22"/>
          <w:szCs w:val="22"/>
        </w:rPr>
        <w:t xml:space="preserve">If investments cannot be immediately accessed (e.g., tied-in ISAs, share schemes with vesting periods), courts take them into account at their current value and may offset them against other assets, or order that they are shared when they become accessible.</w:t>
      </w:r>
    </w:p>
    <w:p>
      <w:pPr>
        <w:spacing w:before="200" w:after="100"/>
      </w:pPr>
      <w:r>
        <w:rPr>
          <w:rFonts w:ascii="Arial" w:cs="Arial" w:eastAsia="Arial" w:hAnsi="Arial"/>
          <w:b/>
          <w:bCs/>
          <w:color w:val="1a3c5e"/>
          <w:sz w:val="24"/>
          <w:szCs w:val="24"/>
        </w:rPr>
        <w:t xml:space="preserve">Are Premium Bonds split in divorce?</w:t>
      </w:r>
    </w:p>
    <w:p>
      <w:pPr>
        <w:spacing w:before="80" w:after="80"/>
      </w:pPr>
      <w:r>
        <w:rPr>
          <w:rFonts w:ascii="Arial" w:cs="Arial" w:eastAsia="Arial" w:hAnsi="Arial"/>
          <w:sz w:val="22"/>
          <w:szCs w:val="22"/>
        </w:rPr>
        <w:t xml:space="preserve">Yes. Premium Bonds are a financial asset and are included in the matrimonial pot if acquired during the marriage. They are valued at face value (the amount invested, not any prize winnings that have been paid out).</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360" w:after="200"/>
      </w:pPr>
      <w:r>
        <w:rPr>
          <w:rFonts w:ascii="Arial" w:cs="Arial" w:eastAsia="Arial" w:hAnsi="Arial"/>
          <w:b/>
          <w:bCs/>
          <w:color w:val="1a3c5e"/>
          <w:sz w:val="36"/>
          <w:szCs w:val="36"/>
        </w:rPr>
        <w:t xml:space="preserve">What Happens if Both Names Are on the Mortgage in Divorce UK?</w:t>
      </w:r>
    </w:p>
    <w:p>
      <w:pPr>
        <w:pStyle w:val="Heading2"/>
        <w:spacing w:before="280" w:after="140"/>
      </w:pPr>
      <w:r>
        <w:rPr>
          <w:rFonts w:ascii="Arial" w:cs="Arial" w:eastAsia="Arial" w:hAnsi="Arial"/>
          <w:b/>
          <w:bCs/>
          <w:color w:val="2563a8"/>
          <w:sz w:val="28"/>
          <w:szCs w:val="28"/>
        </w:rPr>
        <w:t xml:space="preserve">Both Names on Mortgage in Divorce UK: Understanding Your Options</w:t>
      </w:r>
    </w:p>
    <w:p>
      <w:pPr>
        <w:spacing w:before="80" w:after="80"/>
      </w:pPr>
      <w:r>
        <w:rPr>
          <w:rFonts w:ascii="Arial" w:cs="Arial" w:eastAsia="Arial" w:hAnsi="Arial"/>
          <w:sz w:val="22"/>
          <w:szCs w:val="22"/>
        </w:rPr>
        <w:t xml:space="preserve">If both names are on the mortgage, you are both legally liable to the lender — regardless of what any divorce settlement might say. When a marriage ends and both names are on the mortgage in divorce UK, the options are to sell the property, have one party buy the other out (with the mortgage transferred into one name), or keep the property in both names while making new arrangements. Each option has different financial and legal implications.</w:t>
      </w:r>
    </w:p>
    <w:p>
      <w:pPr>
        <w:pStyle w:val="Heading2"/>
        <w:spacing w:before="280" w:after="140"/>
      </w:pPr>
      <w:r>
        <w:rPr>
          <w:rFonts w:ascii="Arial" w:cs="Arial" w:eastAsia="Arial" w:hAnsi="Arial"/>
          <w:b/>
          <w:bCs/>
          <w:color w:val="2563a8"/>
          <w:sz w:val="28"/>
          <w:szCs w:val="28"/>
        </w:rPr>
        <w:t xml:space="preserve">Why the Mortgage is a Problem in Divorce</w:t>
      </w:r>
    </w:p>
    <w:p>
      <w:pPr>
        <w:spacing w:before="80" w:after="80"/>
      </w:pPr>
      <w:r>
        <w:rPr>
          <w:rFonts w:ascii="Arial" w:cs="Arial" w:eastAsia="Arial" w:hAnsi="Arial"/>
          <w:sz w:val="22"/>
          <w:szCs w:val="22"/>
        </w:rPr>
        <w:t xml:space="preserve">A mortgage is a contract between you, your spouse, and the lender. Your divorce does not change that contract. The lender is not bound by your divorce settlement. Both parties remain fully liable for the mortgage debt until:</w:t>
      </w:r>
    </w:p>
    <w:p>
      <w:pPr>
        <w:pStyle w:val="ListParagraph"/>
        <w:numPr>
          <w:ilvl w:val="0"/>
          <w:numId w:val="2"/>
        </w:numPr>
        <w:spacing w:before="60" w:after="60"/>
      </w:pPr>
      <w:r>
        <w:rPr>
          <w:rFonts w:ascii="Arial" w:cs="Arial" w:eastAsia="Arial" w:hAnsi="Arial"/>
          <w:sz w:val="22"/>
          <w:szCs w:val="22"/>
        </w:rPr>
        <w:t xml:space="preserve">The property is sold and the mortgage is redeemed</w:t>
      </w:r>
    </w:p>
    <w:p>
      <w:pPr>
        <w:pStyle w:val="ListParagraph"/>
        <w:numPr>
          <w:ilvl w:val="0"/>
          <w:numId w:val="2"/>
        </w:numPr>
        <w:spacing w:before="60" w:after="60"/>
      </w:pPr>
      <w:r>
        <w:rPr>
          <w:rFonts w:ascii="Arial" w:cs="Arial" w:eastAsia="Arial" w:hAnsi="Arial"/>
          <w:sz w:val="22"/>
          <w:szCs w:val="22"/>
        </w:rPr>
        <w:t xml:space="preserve">The mortgage is transferred into one name with lender approval</w:t>
      </w:r>
    </w:p>
    <w:p>
      <w:pPr>
        <w:pStyle w:val="ListParagraph"/>
        <w:numPr>
          <w:ilvl w:val="0"/>
          <w:numId w:val="2"/>
        </w:numPr>
        <w:spacing w:before="60" w:after="60"/>
      </w:pPr>
      <w:r>
        <w:rPr>
          <w:rFonts w:ascii="Arial" w:cs="Arial" w:eastAsia="Arial" w:hAnsi="Arial"/>
          <w:sz w:val="22"/>
          <w:szCs w:val="22"/>
        </w:rPr>
        <w:t xml:space="preserve">The mortgage is refinanced in a sole name</w:t>
      </w:r>
    </w:p>
    <w:p>
      <w:pPr>
        <w:spacing w:before="80" w:after="80"/>
      </w:pPr>
      <w:r>
        <w:rPr>
          <w:rFonts w:ascii="Arial" w:cs="Arial" w:eastAsia="Arial" w:hAnsi="Arial"/>
          <w:sz w:val="22"/>
          <w:szCs w:val="22"/>
        </w:rPr>
        <w:t xml:space="preserve">This means if your ex stops paying their share of the mortgage, your credit record is affected — and the lender can pursue you for the full amount.</w:t>
      </w:r>
    </w:p>
    <w:p>
      <w:pPr>
        <w:pStyle w:val="Heading2"/>
        <w:spacing w:before="280" w:after="140"/>
      </w:pPr>
      <w:r>
        <w:rPr>
          <w:rFonts w:ascii="Arial" w:cs="Arial" w:eastAsia="Arial" w:hAnsi="Arial"/>
          <w:b/>
          <w:bCs/>
          <w:color w:val="2563a8"/>
          <w:sz w:val="28"/>
          <w:szCs w:val="28"/>
        </w:rPr>
        <w:t xml:space="preserve">Option 1: Sell the Property and Redeem the Mortgage</w:t>
      </w:r>
    </w:p>
    <w:p>
      <w:pPr>
        <w:spacing w:before="80" w:after="80"/>
      </w:pPr>
      <w:r>
        <w:rPr>
          <w:rFonts w:ascii="Arial" w:cs="Arial" w:eastAsia="Arial" w:hAnsi="Arial"/>
          <w:sz w:val="22"/>
          <w:szCs w:val="22"/>
        </w:rPr>
        <w:t xml:space="preserve">The most straightforward outcome. The property is sold, the mortgage is redeemed from the proceeds, and any remaining equity is divided between the parties according to the settlement. Both parties are released from the mortgage obligation on completion of the sale.</w:t>
      </w:r>
    </w:p>
    <w:p>
      <w:pPr>
        <w:pStyle w:val="Heading2"/>
        <w:spacing w:before="280" w:after="140"/>
      </w:pPr>
      <w:r>
        <w:rPr>
          <w:rFonts w:ascii="Arial" w:cs="Arial" w:eastAsia="Arial" w:hAnsi="Arial"/>
          <w:b/>
          <w:bCs/>
          <w:color w:val="2563a8"/>
          <w:sz w:val="28"/>
          <w:szCs w:val="28"/>
        </w:rPr>
        <w:t xml:space="preserve">Option 2: One Party Buys the Other Out (Transfer of Equity)</w:t>
      </w:r>
    </w:p>
    <w:p>
      <w:pPr>
        <w:spacing w:before="80" w:after="80"/>
      </w:pPr>
      <w:r>
        <w:rPr>
          <w:rFonts w:ascii="Arial" w:cs="Arial" w:eastAsia="Arial" w:hAnsi="Arial"/>
          <w:sz w:val="22"/>
          <w:szCs w:val="22"/>
        </w:rPr>
        <w:t xml:space="preserve">One spouse pays the other their share of the equity and takes over full ownership of the property. For the non-remaining party to be released from the mortgage, the remaining party must apply to the lender to transfer the mortgage into their sole name — known as a transfer of equity or removal from the mortgage.</w:t>
      </w:r>
    </w:p>
    <w:p>
      <w:pPr>
        <w:spacing w:before="200" w:after="100"/>
      </w:pPr>
      <w:r>
        <w:rPr>
          <w:rFonts w:ascii="Arial" w:cs="Arial" w:eastAsia="Arial" w:hAnsi="Arial"/>
          <w:b/>
          <w:bCs/>
          <w:color w:val="1a3c5e"/>
          <w:sz w:val="24"/>
          <w:szCs w:val="24"/>
        </w:rPr>
        <w:t xml:space="preserve">What the lender will require:</w:t>
      </w:r>
    </w:p>
    <w:p>
      <w:pPr>
        <w:pStyle w:val="ListParagraph"/>
        <w:numPr>
          <w:ilvl w:val="0"/>
          <w:numId w:val="2"/>
        </w:numPr>
        <w:spacing w:before="60" w:after="60"/>
      </w:pPr>
      <w:r>
        <w:rPr>
          <w:rFonts w:ascii="Arial" w:cs="Arial" w:eastAsia="Arial" w:hAnsi="Arial"/>
          <w:sz w:val="22"/>
          <w:szCs w:val="22"/>
        </w:rPr>
        <w:t xml:space="preserve">Evidence that the remaining party can afford the mortgage independently</w:t>
      </w:r>
    </w:p>
    <w:p>
      <w:pPr>
        <w:pStyle w:val="ListParagraph"/>
        <w:numPr>
          <w:ilvl w:val="0"/>
          <w:numId w:val="2"/>
        </w:numPr>
        <w:spacing w:before="60" w:after="60"/>
      </w:pPr>
      <w:r>
        <w:rPr>
          <w:rFonts w:ascii="Arial" w:cs="Arial" w:eastAsia="Arial" w:hAnsi="Arial"/>
          <w:sz w:val="22"/>
          <w:szCs w:val="22"/>
        </w:rPr>
        <w:t xml:space="preserve">A new affordability assessment based on sole income</w:t>
      </w:r>
    </w:p>
    <w:p>
      <w:pPr>
        <w:pStyle w:val="ListParagraph"/>
        <w:numPr>
          <w:ilvl w:val="0"/>
          <w:numId w:val="2"/>
        </w:numPr>
        <w:spacing w:before="60" w:after="60"/>
      </w:pPr>
      <w:r>
        <w:rPr>
          <w:rFonts w:ascii="Arial" w:cs="Arial" w:eastAsia="Arial" w:hAnsi="Arial"/>
          <w:sz w:val="22"/>
          <w:szCs w:val="22"/>
        </w:rPr>
        <w:t xml:space="preserve">Potentially a new mortgage application at the lender's standard rates</w:t>
      </w:r>
    </w:p>
    <w:p>
      <w:pPr>
        <w:spacing w:before="80" w:after="80"/>
      </w:pPr>
      <w:r>
        <w:rPr>
          <w:rFonts w:ascii="Arial" w:cs="Arial" w:eastAsia="Arial" w:hAnsi="Arial"/>
          <w:sz w:val="22"/>
          <w:szCs w:val="22"/>
        </w:rPr>
        <w:t xml:space="preserve">If the remaining party cannot meet the affordability criteria alone, the lender may refuse to release the other party. In this case, the buyout may not be feasible, and selling becomes the likely outcome.</w:t>
      </w:r>
    </w:p>
    <w:p>
      <w:pPr>
        <w:pStyle w:val="Heading2"/>
        <w:spacing w:before="280" w:after="140"/>
      </w:pPr>
      <w:r>
        <w:rPr>
          <w:rFonts w:ascii="Arial" w:cs="Arial" w:eastAsia="Arial" w:hAnsi="Arial"/>
          <w:b/>
          <w:bCs/>
          <w:color w:val="2563a8"/>
          <w:sz w:val="28"/>
          <w:szCs w:val="28"/>
        </w:rPr>
        <w:t xml:space="preserve">Who Pays the Mortgage During Divorce UK?</w:t>
      </w:r>
    </w:p>
    <w:p>
      <w:pPr>
        <w:spacing w:before="80" w:after="80"/>
      </w:pPr>
      <w:r>
        <w:rPr>
          <w:rFonts w:ascii="Arial" w:cs="Arial" w:eastAsia="Arial" w:hAnsi="Arial"/>
          <w:sz w:val="22"/>
          <w:szCs w:val="22"/>
        </w:rPr>
        <w:t xml:space="preserve">Until the property is sold or the mortgage transferred, both parties remain contractually liable. In practice, the party living in the property typically continues to pay the mortgage during the divorce process. However, this arrangement should be clearly documented — payments made by one party may be taken into account in the overall settlement.</w:t>
      </w:r>
    </w:p>
    <w:p>
      <w:pPr>
        <w:spacing w:before="80" w:after="80"/>
      </w:pPr>
      <w:r>
        <w:rPr>
          <w:rFonts w:ascii="Arial" w:cs="Arial" w:eastAsia="Arial" w:hAnsi="Arial"/>
          <w:sz w:val="22"/>
          <w:szCs w:val="22"/>
        </w:rPr>
        <w:t xml:space="preserve">Courts can make temporary maintenance orders covering mortgage payments if needed. If neither party can afford the mortgage alone and the property cannot be sold quickly, lenders should be contacted early — many have processes for customers going through divorce.</w:t>
      </w:r>
    </w:p>
    <w:p>
      <w:pPr>
        <w:pStyle w:val="Heading2"/>
        <w:spacing w:before="280" w:after="140"/>
      </w:pPr>
      <w:r>
        <w:rPr>
          <w:rFonts w:ascii="Arial" w:cs="Arial" w:eastAsia="Arial" w:hAnsi="Arial"/>
          <w:b/>
          <w:bCs/>
          <w:color w:val="2563a8"/>
          <w:sz w:val="28"/>
          <w:szCs w:val="28"/>
        </w:rPr>
        <w:t xml:space="preserve">Can I Force Sale of House After Divorce UK?</w:t>
      </w:r>
    </w:p>
    <w:p>
      <w:pPr>
        <w:spacing w:before="80" w:after="80"/>
      </w:pPr>
      <w:r>
        <w:rPr>
          <w:rFonts w:ascii="Arial" w:cs="Arial" w:eastAsia="Arial" w:hAnsi="Arial"/>
          <w:sz w:val="22"/>
          <w:szCs w:val="22"/>
        </w:rPr>
        <w:t xml:space="preserve">Yes — if both parties are on the mortgage and cannot agree to sell, either party can apply to court for an order for sale. Courts have the power to order the sale of a jointly owned property under the Trusts of Land and Appointment of Trustees Act 1996 (TOLATA) or within financial remedy proceedings. The main reason a court might delay a forced sale is where children are involved and a Mesher Order is more appropriate.</w:t>
      </w:r>
    </w:p>
    <w:p>
      <w:pPr>
        <w:pStyle w:val="Heading2"/>
        <w:spacing w:before="280" w:after="140"/>
      </w:pPr>
      <w:r>
        <w:rPr>
          <w:rFonts w:ascii="Arial" w:cs="Arial" w:eastAsia="Arial" w:hAnsi="Arial"/>
          <w:b/>
          <w:bCs/>
          <w:color w:val="2563a8"/>
          <w:sz w:val="28"/>
          <w:szCs w:val="28"/>
        </w:rPr>
        <w:t xml:space="preserve">Buying Partner Out of House in Divorce UK: A Step-by-Step Guide</w:t>
      </w:r>
    </w:p>
    <w:p>
      <w:pPr>
        <w:pStyle w:val="ListParagraph"/>
        <w:numPr>
          <w:ilvl w:val="0"/>
          <w:numId w:val="2"/>
        </w:numPr>
        <w:spacing w:before="60" w:after="60"/>
      </w:pPr>
      <w:r>
        <w:rPr>
          <w:rFonts w:ascii="Arial" w:cs="Arial" w:eastAsia="Arial" w:hAnsi="Arial"/>
          <w:sz w:val="22"/>
          <w:szCs w:val="22"/>
        </w:rPr>
        <w:t xml:space="preserve">Step 1: Agree on the property value (instruct an independent valuation if disputed)</w:t>
      </w:r>
    </w:p>
    <w:p>
      <w:pPr>
        <w:pStyle w:val="ListParagraph"/>
        <w:numPr>
          <w:ilvl w:val="0"/>
          <w:numId w:val="2"/>
        </w:numPr>
        <w:spacing w:before="60" w:after="60"/>
      </w:pPr>
      <w:r>
        <w:rPr>
          <w:rFonts w:ascii="Arial" w:cs="Arial" w:eastAsia="Arial" w:hAnsi="Arial"/>
          <w:sz w:val="22"/>
          <w:szCs w:val="22"/>
        </w:rPr>
        <w:t xml:space="preserve">Step 2: Calculate the equity (value minus outstanding mortgage and selling costs)</w:t>
      </w:r>
    </w:p>
    <w:p>
      <w:pPr>
        <w:pStyle w:val="ListParagraph"/>
        <w:numPr>
          <w:ilvl w:val="0"/>
          <w:numId w:val="2"/>
        </w:numPr>
        <w:spacing w:before="60" w:after="60"/>
      </w:pPr>
      <w:r>
        <w:rPr>
          <w:rFonts w:ascii="Arial" w:cs="Arial" w:eastAsia="Arial" w:hAnsi="Arial"/>
          <w:sz w:val="22"/>
          <w:szCs w:val="22"/>
        </w:rPr>
        <w:t xml:space="preserve">Step 3: Agree the split of equity (may not be 50/50 depending on circumstances)</w:t>
      </w:r>
    </w:p>
    <w:p>
      <w:pPr>
        <w:pStyle w:val="ListParagraph"/>
        <w:numPr>
          <w:ilvl w:val="0"/>
          <w:numId w:val="2"/>
        </w:numPr>
        <w:spacing w:before="60" w:after="60"/>
      </w:pPr>
      <w:r>
        <w:rPr>
          <w:rFonts w:ascii="Arial" w:cs="Arial" w:eastAsia="Arial" w:hAnsi="Arial"/>
          <w:sz w:val="22"/>
          <w:szCs w:val="22"/>
        </w:rPr>
        <w:t xml:space="preserve">Step 4: Raise the funds to pay the other party — either from savings or by remortgaging</w:t>
      </w:r>
    </w:p>
    <w:p>
      <w:pPr>
        <w:pStyle w:val="ListParagraph"/>
        <w:numPr>
          <w:ilvl w:val="0"/>
          <w:numId w:val="2"/>
        </w:numPr>
        <w:spacing w:before="60" w:after="60"/>
      </w:pPr>
      <w:r>
        <w:rPr>
          <w:rFonts w:ascii="Arial" w:cs="Arial" w:eastAsia="Arial" w:hAnsi="Arial"/>
          <w:sz w:val="22"/>
          <w:szCs w:val="22"/>
        </w:rPr>
        <w:t xml:space="preserve">Step 5: Apply to the lender to remove the other party from the mortgage</w:t>
      </w:r>
    </w:p>
    <w:p>
      <w:pPr>
        <w:pStyle w:val="ListParagraph"/>
        <w:numPr>
          <w:ilvl w:val="0"/>
          <w:numId w:val="2"/>
        </w:numPr>
        <w:spacing w:before="60" w:after="60"/>
      </w:pPr>
      <w:r>
        <w:rPr>
          <w:rFonts w:ascii="Arial" w:cs="Arial" w:eastAsia="Arial" w:hAnsi="Arial"/>
          <w:sz w:val="22"/>
          <w:szCs w:val="22"/>
        </w:rPr>
        <w:t xml:space="preserve">Step 6: Complete the legal transfer of ownership (via a solicitor)</w:t>
      </w:r>
    </w:p>
    <w:p>
      <w:pPr>
        <w:pStyle w:val="ListParagraph"/>
        <w:numPr>
          <w:ilvl w:val="0"/>
          <w:numId w:val="2"/>
        </w:numPr>
        <w:spacing w:before="60" w:after="60"/>
      </w:pPr>
      <w:r>
        <w:rPr>
          <w:rFonts w:ascii="Arial" w:cs="Arial" w:eastAsia="Arial" w:hAnsi="Arial"/>
          <w:sz w:val="22"/>
          <w:szCs w:val="22"/>
        </w:rPr>
        <w:t xml:space="preserve">Step 7: Have the financial settlement formalised in a consent order</w:t>
      </w:r>
    </w:p>
    <w:p>
      <w:pPr>
        <w:pStyle w:val="Heading2"/>
        <w:spacing w:before="280" w:after="140"/>
      </w:pPr>
      <w:r>
        <w:rPr>
          <w:rFonts w:ascii="Arial" w:cs="Arial" w:eastAsia="Arial" w:hAnsi="Arial"/>
          <w:b/>
          <w:bCs/>
          <w:color w:val="2563a8"/>
          <w:sz w:val="28"/>
          <w:szCs w:val="28"/>
        </w:rPr>
        <w:t xml:space="preserve">What Happens to the House if Unmarried but Separating UK?</w:t>
      </w:r>
    </w:p>
    <w:p>
      <w:pPr>
        <w:spacing w:before="80" w:after="80"/>
      </w:pPr>
      <w:r>
        <w:rPr>
          <w:rFonts w:ascii="Arial" w:cs="Arial" w:eastAsia="Arial" w:hAnsi="Arial"/>
          <w:sz w:val="22"/>
          <w:szCs w:val="22"/>
        </w:rPr>
        <w:t xml:space="preserve">If you are not married, different rules apply. Unmarried partners do not have the same automatic rights to financial provision as spouses. Your entitlement to the property depends on legal ownership (who is on the title deeds), any declaration of trust, and the law of beneficial ownership (constructive or resulting trusts).</w:t>
      </w:r>
    </w:p>
    <w:p>
      <w:pPr>
        <w:spacing w:before="80" w:after="80"/>
      </w:pPr>
      <w:r>
        <w:rPr>
          <w:rFonts w:ascii="Arial" w:cs="Arial" w:eastAsia="Arial" w:hAnsi="Arial"/>
          <w:sz w:val="22"/>
          <w:szCs w:val="22"/>
        </w:rPr>
        <w:t xml:space="preserve">If both names are on the mortgage and the title deeds, both parties own the property — and either can force a sale through TOLATA proceedings if agreement cannot be reached. Property rights between unmarried partners are a complex area and legal advice is strongly recommended.</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Both names on the mortgage means both parties are legally liable to the lender — divorce does not change this</w:t>
      </w:r>
    </w:p>
    <w:p>
      <w:pPr>
        <w:pStyle w:val="ListParagraph"/>
        <w:numPr>
          <w:ilvl w:val="0"/>
          <w:numId w:val="2"/>
        </w:numPr>
        <w:spacing w:before="60" w:after="60"/>
      </w:pPr>
      <w:r>
        <w:rPr>
          <w:rFonts w:ascii="Arial" w:cs="Arial" w:eastAsia="Arial" w:hAnsi="Arial"/>
          <w:sz w:val="22"/>
          <w:szCs w:val="22"/>
        </w:rPr>
        <w:t xml:space="preserve">Options are: sell and divide equity, buy out (with mortgage transfer), or retain joint ownership temporarily</w:t>
      </w:r>
    </w:p>
    <w:p>
      <w:pPr>
        <w:pStyle w:val="ListParagraph"/>
        <w:numPr>
          <w:ilvl w:val="0"/>
          <w:numId w:val="2"/>
        </w:numPr>
        <w:spacing w:before="60" w:after="60"/>
      </w:pPr>
      <w:r>
        <w:rPr>
          <w:rFonts w:ascii="Arial" w:cs="Arial" w:eastAsia="Arial" w:hAnsi="Arial"/>
          <w:sz w:val="22"/>
          <w:szCs w:val="22"/>
        </w:rPr>
        <w:t xml:space="preserve">The lender must agree to release one party — affordability criteria apply</w:t>
      </w:r>
    </w:p>
    <w:p>
      <w:pPr>
        <w:pStyle w:val="ListParagraph"/>
        <w:numPr>
          <w:ilvl w:val="0"/>
          <w:numId w:val="2"/>
        </w:numPr>
        <w:spacing w:before="60" w:after="60"/>
      </w:pPr>
      <w:r>
        <w:rPr>
          <w:rFonts w:ascii="Arial" w:cs="Arial" w:eastAsia="Arial" w:hAnsi="Arial"/>
          <w:sz w:val="22"/>
          <w:szCs w:val="22"/>
        </w:rPr>
        <w:t xml:space="preserve">Courts can order a forced sale if agreement cannot be reached</w:t>
      </w:r>
    </w:p>
    <w:p>
      <w:pPr>
        <w:pStyle w:val="ListParagraph"/>
        <w:numPr>
          <w:ilvl w:val="0"/>
          <w:numId w:val="2"/>
        </w:numPr>
        <w:spacing w:before="60" w:after="60"/>
      </w:pPr>
      <w:r>
        <w:rPr>
          <w:rFonts w:ascii="Arial" w:cs="Arial" w:eastAsia="Arial" w:hAnsi="Arial"/>
          <w:sz w:val="22"/>
          <w:szCs w:val="22"/>
        </w:rPr>
        <w:t xml:space="preserve">Unmarried partners have different and more limited rights — legal advice is critical</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Can I be forced off a joint mortgage without my consent?</w:t>
      </w:r>
    </w:p>
    <w:p>
      <w:pPr>
        <w:spacing w:before="80" w:after="80"/>
      </w:pPr>
      <w:r>
        <w:rPr>
          <w:rFonts w:ascii="Arial" w:cs="Arial" w:eastAsia="Arial" w:hAnsi="Arial"/>
          <w:sz w:val="22"/>
          <w:szCs w:val="22"/>
        </w:rPr>
        <w:t xml:space="preserve">Not without a court order or lender agreement. However, a court can order a transfer of equity and require the lender to reassess the mortgage.</w:t>
      </w:r>
    </w:p>
    <w:p>
      <w:pPr>
        <w:spacing w:before="200" w:after="100"/>
      </w:pPr>
      <w:r>
        <w:rPr>
          <w:rFonts w:ascii="Arial" w:cs="Arial" w:eastAsia="Arial" w:hAnsi="Arial"/>
          <w:b/>
          <w:bCs/>
          <w:color w:val="1a3c5e"/>
          <w:sz w:val="24"/>
          <w:szCs w:val="24"/>
        </w:rPr>
        <w:t xml:space="preserve">What if my ex refuses to pay their share of the mortgage?</w:t>
      </w:r>
    </w:p>
    <w:p>
      <w:pPr>
        <w:spacing w:before="80" w:after="80"/>
      </w:pPr>
      <w:r>
        <w:rPr>
          <w:rFonts w:ascii="Arial" w:cs="Arial" w:eastAsia="Arial" w:hAnsi="Arial"/>
          <w:sz w:val="22"/>
          <w:szCs w:val="22"/>
        </w:rPr>
        <w:t xml:space="preserve">The lender will pursue both parties. Contact the lender immediately if mortgage payments are at risk. You may need to apply for a court order to force sale or transfer. You could also pay to protect your credit record and seek reimbursement through the courts.</w:t>
      </w:r>
    </w:p>
    <w:p>
      <w:pPr>
        <w:spacing w:before="200" w:after="100"/>
      </w:pPr>
      <w:r>
        <w:rPr>
          <w:rFonts w:ascii="Arial" w:cs="Arial" w:eastAsia="Arial" w:hAnsi="Arial"/>
          <w:b/>
          <w:bCs/>
          <w:color w:val="1a3c5e"/>
          <w:sz w:val="24"/>
          <w:szCs w:val="24"/>
        </w:rPr>
        <w:t xml:space="preserve">How long does a transfer of equity take?</w:t>
      </w:r>
    </w:p>
    <w:p>
      <w:pPr>
        <w:spacing w:before="80" w:after="80"/>
      </w:pPr>
      <w:r>
        <w:rPr>
          <w:rFonts w:ascii="Arial" w:cs="Arial" w:eastAsia="Arial" w:hAnsi="Arial"/>
          <w:sz w:val="22"/>
          <w:szCs w:val="22"/>
        </w:rPr>
        <w:t xml:space="preserve">Typically 4-12 weeks from lender application, though remortgaging can take longer. The legal transfer is handled by a solicitor.</w:t>
      </w:r>
    </w:p>
    <w:p>
      <w:pPr>
        <w:spacing w:before="200" w:after="100"/>
      </w:pPr>
      <w:r>
        <w:rPr>
          <w:rFonts w:ascii="Arial" w:cs="Arial" w:eastAsia="Arial" w:hAnsi="Arial"/>
          <w:b/>
          <w:bCs/>
          <w:color w:val="1a3c5e"/>
          <w:sz w:val="24"/>
          <w:szCs w:val="24"/>
        </w:rPr>
        <w:t xml:space="preserve">What if the property is in negative equity?</w:t>
      </w:r>
    </w:p>
    <w:p>
      <w:pPr>
        <w:spacing w:before="80" w:after="80"/>
      </w:pPr>
      <w:r>
        <w:rPr>
          <w:rFonts w:ascii="Arial" w:cs="Arial" w:eastAsia="Arial" w:hAnsi="Arial"/>
          <w:sz w:val="22"/>
          <w:szCs w:val="22"/>
        </w:rPr>
        <w:t xml:space="preserve">If the property is worth less than the outstanding mortgage, selling does not clear the debt. Both parties remain liable for the shortfall unless the lender agrees otherwise. Options include continuing to hold until values recover, one party taking on the debt, or negotiating with the lender.</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360" w:after="200"/>
      </w:pPr>
      <w:r>
        <w:rPr>
          <w:rFonts w:ascii="Arial" w:cs="Arial" w:eastAsia="Arial" w:hAnsi="Arial"/>
          <w:b/>
          <w:bCs/>
          <w:color w:val="1a3c5e"/>
          <w:sz w:val="36"/>
          <w:szCs w:val="36"/>
        </w:rPr>
        <w:t xml:space="preserve">Divorce Settlement with No Assets UK: What Happens When There Is Nothing to Divide?</w:t>
      </w:r>
    </w:p>
    <w:p>
      <w:pPr>
        <w:pStyle w:val="Heading2"/>
        <w:spacing w:before="280" w:after="140"/>
      </w:pPr>
      <w:r>
        <w:rPr>
          <w:rFonts w:ascii="Arial" w:cs="Arial" w:eastAsia="Arial" w:hAnsi="Arial"/>
          <w:b/>
          <w:bCs/>
          <w:color w:val="2563a8"/>
          <w:sz w:val="28"/>
          <w:szCs w:val="28"/>
        </w:rPr>
        <w:t xml:space="preserve">What Happens in a Divorce Settlement with No Assets in the UK?</w:t>
      </w:r>
    </w:p>
    <w:p>
      <w:pPr>
        <w:spacing w:before="80" w:after="80"/>
      </w:pPr>
      <w:r>
        <w:rPr>
          <w:rFonts w:ascii="Arial" w:cs="Arial" w:eastAsia="Arial" w:hAnsi="Arial"/>
          <w:sz w:val="22"/>
          <w:szCs w:val="22"/>
        </w:rPr>
        <w:t xml:space="preserve">Not every divorce involves a family home, substantial savings, or a large pension. In a divorce settlement with no assets UK — where the marital pot is small or even negative — the legal process still applies, but the outcomes are necessarily different. Courts still consider both parties' needs, income, and circumstances, but the focus shifts from dividing assets to managing realistic expectations about what each person can achieve financially post-divorce.</w:t>
      </w:r>
    </w:p>
    <w:p>
      <w:pPr>
        <w:pStyle w:val="Heading2"/>
        <w:spacing w:before="280" w:after="140"/>
      </w:pPr>
      <w:r>
        <w:rPr>
          <w:rFonts w:ascii="Arial" w:cs="Arial" w:eastAsia="Arial" w:hAnsi="Arial"/>
          <w:b/>
          <w:bCs/>
          <w:color w:val="2563a8"/>
          <w:sz w:val="28"/>
          <w:szCs w:val="28"/>
        </w:rPr>
        <w:t xml:space="preserve">What 'No Assets' Actually Means</w:t>
      </w:r>
    </w:p>
    <w:p>
      <w:pPr>
        <w:spacing w:before="80" w:after="80"/>
      </w:pPr>
      <w:r>
        <w:rPr>
          <w:rFonts w:ascii="Arial" w:cs="Arial" w:eastAsia="Arial" w:hAnsi="Arial"/>
          <w:sz w:val="22"/>
          <w:szCs w:val="22"/>
        </w:rPr>
        <w:t xml:space="preserve">'No assets' can mean several different things:</w:t>
      </w:r>
    </w:p>
    <w:p>
      <w:pPr>
        <w:pStyle w:val="ListParagraph"/>
        <w:numPr>
          <w:ilvl w:val="0"/>
          <w:numId w:val="2"/>
        </w:numPr>
        <w:spacing w:before="60" w:after="60"/>
      </w:pPr>
      <w:r>
        <w:rPr>
          <w:rFonts w:ascii="Arial" w:cs="Arial" w:eastAsia="Arial" w:hAnsi="Arial"/>
          <w:sz w:val="22"/>
          <w:szCs w:val="22"/>
        </w:rPr>
        <w:t xml:space="preserve">Renting, with no property to divide</w:t>
      </w:r>
    </w:p>
    <w:p>
      <w:pPr>
        <w:pStyle w:val="ListParagraph"/>
        <w:numPr>
          <w:ilvl w:val="0"/>
          <w:numId w:val="2"/>
        </w:numPr>
        <w:spacing w:before="60" w:after="60"/>
      </w:pPr>
      <w:r>
        <w:rPr>
          <w:rFonts w:ascii="Arial" w:cs="Arial" w:eastAsia="Arial" w:hAnsi="Arial"/>
          <w:sz w:val="22"/>
          <w:szCs w:val="22"/>
        </w:rPr>
        <w:t xml:space="preserve">Significant joint debts that exceed any assets (negative net worth)</w:t>
      </w:r>
    </w:p>
    <w:p>
      <w:pPr>
        <w:pStyle w:val="ListParagraph"/>
        <w:numPr>
          <w:ilvl w:val="0"/>
          <w:numId w:val="2"/>
        </w:numPr>
        <w:spacing w:before="60" w:after="60"/>
      </w:pPr>
      <w:r>
        <w:rPr>
          <w:rFonts w:ascii="Arial" w:cs="Arial" w:eastAsia="Arial" w:hAnsi="Arial"/>
          <w:sz w:val="22"/>
          <w:szCs w:val="22"/>
        </w:rPr>
        <w:t xml:space="preserve">Short marriage where few assets were accumulated</w:t>
      </w:r>
    </w:p>
    <w:p>
      <w:pPr>
        <w:pStyle w:val="ListParagraph"/>
        <w:numPr>
          <w:ilvl w:val="0"/>
          <w:numId w:val="2"/>
        </w:numPr>
        <w:spacing w:before="60" w:after="60"/>
      </w:pPr>
      <w:r>
        <w:rPr>
          <w:rFonts w:ascii="Arial" w:cs="Arial" w:eastAsia="Arial" w:hAnsi="Arial"/>
          <w:sz w:val="22"/>
          <w:szCs w:val="22"/>
        </w:rPr>
        <w:t xml:space="preserve">Assets exist but are almost entirely absorbed by mortgage debt, leaving minimal equity</w:t>
      </w:r>
    </w:p>
    <w:p>
      <w:pPr>
        <w:pStyle w:val="Heading2"/>
        <w:spacing w:before="280" w:after="140"/>
      </w:pPr>
      <w:r>
        <w:rPr>
          <w:rFonts w:ascii="Arial" w:cs="Arial" w:eastAsia="Arial" w:hAnsi="Arial"/>
          <w:b/>
          <w:bCs/>
          <w:color w:val="2563a8"/>
          <w:sz w:val="28"/>
          <w:szCs w:val="28"/>
        </w:rPr>
        <w:t xml:space="preserve">Financial Settlement in Rented Accommodation</w:t>
      </w:r>
    </w:p>
    <w:p>
      <w:pPr>
        <w:spacing w:before="80" w:after="80"/>
      </w:pPr>
      <w:r>
        <w:rPr>
          <w:rFonts w:ascii="Arial" w:cs="Arial" w:eastAsia="Arial" w:hAnsi="Arial"/>
          <w:sz w:val="22"/>
          <w:szCs w:val="22"/>
        </w:rPr>
        <w:t xml:space="preserve">If you rent and have no shared property, the financial settlement focuses on:</w:t>
      </w:r>
    </w:p>
    <w:p>
      <w:pPr>
        <w:pStyle w:val="ListParagraph"/>
        <w:numPr>
          <w:ilvl w:val="0"/>
          <w:numId w:val="2"/>
        </w:numPr>
        <w:spacing w:before="60" w:after="60"/>
      </w:pPr>
      <w:r>
        <w:rPr>
          <w:rFonts w:ascii="Arial" w:cs="Arial" w:eastAsia="Arial" w:hAnsi="Arial"/>
          <w:sz w:val="22"/>
          <w:szCs w:val="22"/>
        </w:rPr>
        <w:t xml:space="preserve">Division of any savings or investments accumulated during the marriage</w:t>
      </w:r>
    </w:p>
    <w:p>
      <w:pPr>
        <w:pStyle w:val="ListParagraph"/>
        <w:numPr>
          <w:ilvl w:val="0"/>
          <w:numId w:val="2"/>
        </w:numPr>
        <w:spacing w:before="60" w:after="60"/>
      </w:pPr>
      <w:r>
        <w:rPr>
          <w:rFonts w:ascii="Arial" w:cs="Arial" w:eastAsia="Arial" w:hAnsi="Arial"/>
          <w:sz w:val="22"/>
          <w:szCs w:val="22"/>
        </w:rPr>
        <w:t xml:space="preserve">Division of any pension rights (often overlooked but can be significant)</w:t>
      </w:r>
    </w:p>
    <w:p>
      <w:pPr>
        <w:pStyle w:val="ListParagraph"/>
        <w:numPr>
          <w:ilvl w:val="0"/>
          <w:numId w:val="2"/>
        </w:numPr>
        <w:spacing w:before="60" w:after="60"/>
      </w:pPr>
      <w:r>
        <w:rPr>
          <w:rFonts w:ascii="Arial" w:cs="Arial" w:eastAsia="Arial" w:hAnsi="Arial"/>
          <w:sz w:val="22"/>
          <w:szCs w:val="22"/>
        </w:rPr>
        <w:t xml:space="preserve">Dealing with any joint debts</w:t>
      </w:r>
    </w:p>
    <w:p>
      <w:pPr>
        <w:pStyle w:val="ListParagraph"/>
        <w:numPr>
          <w:ilvl w:val="0"/>
          <w:numId w:val="2"/>
        </w:numPr>
        <w:spacing w:before="60" w:after="60"/>
      </w:pPr>
      <w:r>
        <w:rPr>
          <w:rFonts w:ascii="Arial" w:cs="Arial" w:eastAsia="Arial" w:hAnsi="Arial"/>
          <w:sz w:val="22"/>
          <w:szCs w:val="22"/>
        </w:rPr>
        <w:t xml:space="preserve">Spousal maintenance if there is a significant income gap</w:t>
      </w:r>
    </w:p>
    <w:p>
      <w:pPr>
        <w:pStyle w:val="ListParagraph"/>
        <w:numPr>
          <w:ilvl w:val="0"/>
          <w:numId w:val="2"/>
        </w:numPr>
        <w:spacing w:before="60" w:after="60"/>
      </w:pPr>
      <w:r>
        <w:rPr>
          <w:rFonts w:ascii="Arial" w:cs="Arial" w:eastAsia="Arial" w:hAnsi="Arial"/>
          <w:sz w:val="22"/>
          <w:szCs w:val="22"/>
        </w:rPr>
        <w:t xml:space="preserve">Child maintenance if children are involved</w:t>
      </w:r>
    </w:p>
    <w:p>
      <w:pPr>
        <w:pStyle w:val="Heading2"/>
        <w:spacing w:before="280" w:after="140"/>
      </w:pPr>
      <w:r>
        <w:rPr>
          <w:rFonts w:ascii="Arial" w:cs="Arial" w:eastAsia="Arial" w:hAnsi="Arial"/>
          <w:b/>
          <w:bCs/>
          <w:color w:val="2563a8"/>
          <w:sz w:val="28"/>
          <w:szCs w:val="28"/>
        </w:rPr>
        <w:t xml:space="preserve">When Debts Exceed Assets</w:t>
      </w:r>
    </w:p>
    <w:p>
      <w:pPr>
        <w:spacing w:before="80" w:after="80"/>
      </w:pPr>
      <w:r>
        <w:rPr>
          <w:rFonts w:ascii="Arial" w:cs="Arial" w:eastAsia="Arial" w:hAnsi="Arial"/>
          <w:sz w:val="22"/>
          <w:szCs w:val="22"/>
        </w:rPr>
        <w:t xml:space="preserve">A negative-asset divorce — where joint debts exceed joint assets — is practically difficult. Courts still have to decide how debts are allocated between the parties, but cannot create assets that do not exist. The focus moves to:</w:t>
      </w:r>
    </w:p>
    <w:p>
      <w:pPr>
        <w:pStyle w:val="ListParagraph"/>
        <w:numPr>
          <w:ilvl w:val="0"/>
          <w:numId w:val="2"/>
        </w:numPr>
        <w:spacing w:before="60" w:after="60"/>
      </w:pPr>
      <w:r>
        <w:rPr>
          <w:rFonts w:ascii="Arial" w:cs="Arial" w:eastAsia="Arial" w:hAnsi="Arial"/>
          <w:sz w:val="22"/>
          <w:szCs w:val="22"/>
        </w:rPr>
        <w:t xml:space="preserve">Who takes on which debts</w:t>
      </w:r>
    </w:p>
    <w:p>
      <w:pPr>
        <w:pStyle w:val="ListParagraph"/>
        <w:numPr>
          <w:ilvl w:val="0"/>
          <w:numId w:val="2"/>
        </w:numPr>
        <w:spacing w:before="60" w:after="60"/>
      </w:pPr>
      <w:r>
        <w:rPr>
          <w:rFonts w:ascii="Arial" w:cs="Arial" w:eastAsia="Arial" w:hAnsi="Arial"/>
          <w:sz w:val="22"/>
          <w:szCs w:val="22"/>
        </w:rPr>
        <w:t xml:space="preserve">How to protect each party's credit rating going forward</w:t>
      </w:r>
    </w:p>
    <w:p>
      <w:pPr>
        <w:pStyle w:val="ListParagraph"/>
        <w:numPr>
          <w:ilvl w:val="0"/>
          <w:numId w:val="2"/>
        </w:numPr>
        <w:spacing w:before="60" w:after="60"/>
      </w:pPr>
      <w:r>
        <w:rPr>
          <w:rFonts w:ascii="Arial" w:cs="Arial" w:eastAsia="Arial" w:hAnsi="Arial"/>
          <w:sz w:val="22"/>
          <w:szCs w:val="22"/>
        </w:rPr>
        <w:t xml:space="preserve">Whether individual bankruptcy or insolvency procedures are relevant</w:t>
      </w:r>
    </w:p>
    <w:p>
      <w:pPr>
        <w:pStyle w:val="Heading2"/>
        <w:spacing w:before="280" w:after="140"/>
      </w:pPr>
      <w:r>
        <w:rPr>
          <w:rFonts w:ascii="Arial" w:cs="Arial" w:eastAsia="Arial" w:hAnsi="Arial"/>
          <w:b/>
          <w:bCs/>
          <w:color w:val="2563a8"/>
          <w:sz w:val="28"/>
          <w:szCs w:val="28"/>
        </w:rPr>
        <w:t xml:space="preserve">Pensions in Low-Asset Divorces</w:t>
      </w:r>
    </w:p>
    <w:p>
      <w:pPr>
        <w:spacing w:before="80" w:after="80"/>
      </w:pPr>
      <w:r>
        <w:rPr>
          <w:rFonts w:ascii="Arial" w:cs="Arial" w:eastAsia="Arial" w:hAnsi="Arial"/>
          <w:sz w:val="22"/>
          <w:szCs w:val="22"/>
        </w:rPr>
        <w:t xml:space="preserve">Even in low-asset divorces, pensions may be significant. A couple who have been renting throughout their marriage may have modest savings but one or both may have a workplace or final salary pension with a substantial transfer value. Pensions are consistently the most overlooked asset in divorce — and one of the most valuable. A divorce financial settlement calculator that includes pension modelling is essential even in cases that appear asset-light at first glance.</w:t>
      </w:r>
    </w:p>
    <w:p>
      <w:pPr>
        <w:pStyle w:val="Heading2"/>
        <w:spacing w:before="280" w:after="140"/>
      </w:pPr>
      <w:r>
        <w:rPr>
          <w:rFonts w:ascii="Arial" w:cs="Arial" w:eastAsia="Arial" w:hAnsi="Arial"/>
          <w:b/>
          <w:bCs/>
          <w:color w:val="2563a8"/>
          <w:sz w:val="28"/>
          <w:szCs w:val="28"/>
        </w:rPr>
        <w:t xml:space="preserve">Spousal Maintenance in No-Asset Divorces</w:t>
      </w:r>
    </w:p>
    <w:p>
      <w:pPr>
        <w:spacing w:before="80" w:after="80"/>
      </w:pPr>
      <w:r>
        <w:rPr>
          <w:rFonts w:ascii="Arial" w:cs="Arial" w:eastAsia="Arial" w:hAnsi="Arial"/>
          <w:sz w:val="22"/>
          <w:szCs w:val="22"/>
        </w:rPr>
        <w:t xml:space="preserve">Where there are no capital assets to divide, income-based maintenance becomes more important. If one party earns significantly more, a court may award spousal maintenance to the lower earner — particularly where children are involved or where one party sacrificed career progression for the marriage. The lack of assets does not remove this obligation.</w:t>
      </w:r>
    </w:p>
    <w:p>
      <w:pPr>
        <w:pStyle w:val="Heading2"/>
        <w:spacing w:before="280" w:after="140"/>
      </w:pPr>
      <w:r>
        <w:rPr>
          <w:rFonts w:ascii="Arial" w:cs="Arial" w:eastAsia="Arial" w:hAnsi="Arial"/>
          <w:b/>
          <w:bCs/>
          <w:color w:val="2563a8"/>
          <w:sz w:val="28"/>
          <w:szCs w:val="28"/>
        </w:rPr>
        <w:t xml:space="preserve">Short Marriages and the 'Starting Over' Principle</w:t>
      </w:r>
    </w:p>
    <w:p>
      <w:pPr>
        <w:spacing w:before="80" w:after="80"/>
      </w:pPr>
      <w:r>
        <w:rPr>
          <w:rFonts w:ascii="Arial" w:cs="Arial" w:eastAsia="Arial" w:hAnsi="Arial"/>
          <w:sz w:val="22"/>
          <w:szCs w:val="22"/>
        </w:rPr>
        <w:t xml:space="preserve">In short marriages with few assets, courts often attempt to return each party to their pre-marital financial position as far as possible. This means pre-marital assets are more likely to be ring-fenced, and a claim for spousal maintenance is harder to sustain. Each party is expected to 'start over' with what they brought to the marriage.</w:t>
      </w:r>
    </w:p>
    <w:p>
      <w:pPr>
        <w:pStyle w:val="Heading2"/>
        <w:spacing w:before="280" w:after="140"/>
      </w:pPr>
      <w:r>
        <w:rPr>
          <w:rFonts w:ascii="Arial" w:cs="Arial" w:eastAsia="Arial" w:hAnsi="Arial"/>
          <w:b/>
          <w:bCs/>
          <w:color w:val="2563a8"/>
          <w:sz w:val="28"/>
          <w:szCs w:val="28"/>
        </w:rPr>
        <w:t xml:space="preserve">Do You Still Need a Consent Order if There Are No Assets?</w:t>
      </w:r>
    </w:p>
    <w:p>
      <w:pPr>
        <w:spacing w:before="80" w:after="80"/>
      </w:pPr>
      <w:r>
        <w:rPr>
          <w:rFonts w:ascii="Arial" w:cs="Arial" w:eastAsia="Arial" w:hAnsi="Arial"/>
          <w:sz w:val="22"/>
          <w:szCs w:val="22"/>
        </w:rPr>
        <w:t xml:space="preserve">Yes — almost always. Even if there are no assets now, you may both build wealth in the future. Without a consent order including a clean break clause, your ex-spouse could make financial claims against you years later if your circumstances change. A clean break order costs very little and protects you from future claims.</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Even with no assets, financial claims remain open unless closed by a consent order</w:t>
      </w:r>
    </w:p>
    <w:p>
      <w:pPr>
        <w:pStyle w:val="ListParagraph"/>
        <w:numPr>
          <w:ilvl w:val="0"/>
          <w:numId w:val="2"/>
        </w:numPr>
        <w:spacing w:before="60" w:after="60"/>
      </w:pPr>
      <w:r>
        <w:rPr>
          <w:rFonts w:ascii="Arial" w:cs="Arial" w:eastAsia="Arial" w:hAnsi="Arial"/>
          <w:sz w:val="22"/>
          <w:szCs w:val="22"/>
        </w:rPr>
        <w:t xml:space="preserve">Pensions may be the only significant asset in low-asset divorces — do not overlook them</w:t>
      </w:r>
    </w:p>
    <w:p>
      <w:pPr>
        <w:pStyle w:val="ListParagraph"/>
        <w:numPr>
          <w:ilvl w:val="0"/>
          <w:numId w:val="2"/>
        </w:numPr>
        <w:spacing w:before="60" w:after="60"/>
      </w:pPr>
      <w:r>
        <w:rPr>
          <w:rFonts w:ascii="Arial" w:cs="Arial" w:eastAsia="Arial" w:hAnsi="Arial"/>
          <w:sz w:val="22"/>
          <w:szCs w:val="22"/>
        </w:rPr>
        <w:t xml:space="preserve">Courts still consider spousal maintenance needs even when there is nothing to divide</w:t>
      </w:r>
    </w:p>
    <w:p>
      <w:pPr>
        <w:pStyle w:val="ListParagraph"/>
        <w:numPr>
          <w:ilvl w:val="0"/>
          <w:numId w:val="2"/>
        </w:numPr>
        <w:spacing w:before="60" w:after="60"/>
      </w:pPr>
      <w:r>
        <w:rPr>
          <w:rFonts w:ascii="Arial" w:cs="Arial" w:eastAsia="Arial" w:hAnsi="Arial"/>
          <w:sz w:val="22"/>
          <w:szCs w:val="22"/>
        </w:rPr>
        <w:t xml:space="preserve">Short marriages are more likely to result in a 'starting over' outcome</w:t>
      </w:r>
    </w:p>
    <w:p>
      <w:pPr>
        <w:pStyle w:val="ListParagraph"/>
        <w:numPr>
          <w:ilvl w:val="0"/>
          <w:numId w:val="2"/>
        </w:numPr>
        <w:spacing w:before="60" w:after="60"/>
      </w:pPr>
      <w:r>
        <w:rPr>
          <w:rFonts w:ascii="Arial" w:cs="Arial" w:eastAsia="Arial" w:hAnsi="Arial"/>
          <w:sz w:val="22"/>
          <w:szCs w:val="22"/>
        </w:rPr>
        <w:t xml:space="preserve">A clean break consent order is still strongly recommended to prevent future claims</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Can my ex make financial claims if I have nothing now but earn well later?</w:t>
      </w:r>
    </w:p>
    <w:p>
      <w:pPr>
        <w:spacing w:before="80" w:after="80"/>
      </w:pPr>
      <w:r>
        <w:rPr>
          <w:rFonts w:ascii="Arial" w:cs="Arial" w:eastAsia="Arial" w:hAnsi="Arial"/>
          <w:sz w:val="22"/>
          <w:szCs w:val="22"/>
        </w:rPr>
        <w:t xml:space="preserve">Yes — if no consent order or clean break has been made. Financial claims can be made years after divorce if no formal order closes them. This is why a consent order with a clean break clause is essential even in low-asset divorces.</w:t>
      </w:r>
    </w:p>
    <w:p>
      <w:pPr>
        <w:spacing w:before="200" w:after="100"/>
      </w:pPr>
      <w:r>
        <w:rPr>
          <w:rFonts w:ascii="Arial" w:cs="Arial" w:eastAsia="Arial" w:hAnsi="Arial"/>
          <w:b/>
          <w:bCs/>
          <w:color w:val="1a3c5e"/>
          <w:sz w:val="24"/>
          <w:szCs w:val="24"/>
        </w:rPr>
        <w:t xml:space="preserve">What if my ex has significant debts I didn't know about?</w:t>
      </w:r>
    </w:p>
    <w:p>
      <w:pPr>
        <w:spacing w:before="80" w:after="80"/>
      </w:pPr>
      <w:r>
        <w:rPr>
          <w:rFonts w:ascii="Arial" w:cs="Arial" w:eastAsia="Arial" w:hAnsi="Arial"/>
          <w:sz w:val="22"/>
          <w:szCs w:val="22"/>
        </w:rPr>
        <w:t xml:space="preserve">Debts solely in your ex's name are generally their legal responsibility. However, if court proceedings are issued, all debts are disclosed and considered in the overall picture. Financial disclosure ensures you understand the full picture before agreeing to any settlement.</w:t>
      </w:r>
    </w:p>
    <w:p>
      <w:pPr>
        <w:spacing w:before="200" w:after="100"/>
      </w:pPr>
      <w:r>
        <w:rPr>
          <w:rFonts w:ascii="Arial" w:cs="Arial" w:eastAsia="Arial" w:hAnsi="Arial"/>
          <w:b/>
          <w:bCs/>
          <w:color w:val="1a3c5e"/>
          <w:sz w:val="24"/>
          <w:szCs w:val="24"/>
        </w:rPr>
        <w:t xml:space="preserve">Is divorce expensive if there are no assets?</w:t>
      </w:r>
    </w:p>
    <w:p>
      <w:pPr>
        <w:spacing w:before="80" w:after="80"/>
      </w:pPr>
      <w:r>
        <w:rPr>
          <w:rFonts w:ascii="Arial" w:cs="Arial" w:eastAsia="Arial" w:hAnsi="Arial"/>
          <w:sz w:val="22"/>
          <w:szCs w:val="22"/>
        </w:rPr>
        <w:t xml:space="preserve">Solicitor fees still apply, but a low-asset divorce can be handled cheaply if both parties cooperate, use mediation, and opt for an online divorce. A simple consent order can cost less than £1,000 in total.</w:t>
      </w:r>
    </w:p>
    <w:p>
      <w:pPr>
        <w:spacing w:before="200" w:after="100"/>
      </w:pPr>
      <w:r>
        <w:rPr>
          <w:rFonts w:ascii="Arial" w:cs="Arial" w:eastAsia="Arial" w:hAnsi="Arial"/>
          <w:b/>
          <w:bCs/>
          <w:color w:val="1a3c5e"/>
          <w:sz w:val="24"/>
          <w:szCs w:val="24"/>
        </w:rPr>
        <w:t xml:space="preserve">Can I get spousal maintenance if my spouse has no assets?</w:t>
      </w:r>
    </w:p>
    <w:p>
      <w:pPr>
        <w:spacing w:before="80" w:after="80"/>
      </w:pPr>
      <w:r>
        <w:rPr>
          <w:rFonts w:ascii="Arial" w:cs="Arial" w:eastAsia="Arial" w:hAnsi="Arial"/>
          <w:sz w:val="22"/>
          <w:szCs w:val="22"/>
        </w:rPr>
        <w:t xml:space="preserve">You can, if they have income. Maintenance is based on income and budget deficit, not asset ownership. However, if your spouse genuinely has minimal income, a maintenance order may be set at a low level or not at all.</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360" w:after="200"/>
      </w:pPr>
      <w:r>
        <w:rPr>
          <w:rFonts w:ascii="Arial" w:cs="Arial" w:eastAsia="Arial" w:hAnsi="Arial"/>
          <w:b/>
          <w:bCs/>
          <w:color w:val="1a3c5e"/>
          <w:sz w:val="36"/>
          <w:szCs w:val="36"/>
        </w:rPr>
        <w:t xml:space="preserve">Can I Hide Assets in Divorce UK? Financial Disclosure Rules and Consequences</w:t>
      </w:r>
    </w:p>
    <w:p>
      <w:pPr>
        <w:pStyle w:val="Heading2"/>
        <w:spacing w:before="280" w:after="140"/>
      </w:pPr>
      <w:r>
        <w:rPr>
          <w:rFonts w:ascii="Arial" w:cs="Arial" w:eastAsia="Arial" w:hAnsi="Arial"/>
          <w:b/>
          <w:bCs/>
          <w:color w:val="2563a8"/>
          <w:sz w:val="28"/>
          <w:szCs w:val="28"/>
        </w:rPr>
        <w:t xml:space="preserve">Can You Hide Assets in Divorce in the UK?</w:t>
      </w:r>
    </w:p>
    <w:p>
      <w:pPr>
        <w:spacing w:before="80" w:after="80"/>
      </w:pPr>
      <w:r>
        <w:rPr>
          <w:rFonts w:ascii="Arial" w:cs="Arial" w:eastAsia="Arial" w:hAnsi="Arial"/>
          <w:sz w:val="22"/>
          <w:szCs w:val="22"/>
        </w:rPr>
        <w:t xml:space="preserve">Can I hide assets in divorce UK? In short, no — and the consequences of attempting to do so are serious. Both parties in a UK divorce are under a legal duty of full and frank financial disclosure. Attempting to conceal assets, undervalue them, or transfer them to third parties to put them beyond a court's reach is a contempt of court and can result in criminal prosecution, the reopening of any settlement reached, and adverse cost orders.</w:t>
      </w:r>
    </w:p>
    <w:p>
      <w:pPr>
        <w:pStyle w:val="Heading2"/>
        <w:spacing w:before="280" w:after="140"/>
      </w:pPr>
      <w:r>
        <w:rPr>
          <w:rFonts w:ascii="Arial" w:cs="Arial" w:eastAsia="Arial" w:hAnsi="Arial"/>
          <w:b/>
          <w:bCs/>
          <w:color w:val="2563a8"/>
          <w:sz w:val="28"/>
          <w:szCs w:val="28"/>
        </w:rPr>
        <w:t xml:space="preserve">What Counts as Hiding Assets?</w:t>
      </w:r>
    </w:p>
    <w:p>
      <w:pPr>
        <w:pStyle w:val="ListParagraph"/>
        <w:numPr>
          <w:ilvl w:val="0"/>
          <w:numId w:val="2"/>
        </w:numPr>
        <w:spacing w:before="60" w:after="60"/>
      </w:pPr>
      <w:r>
        <w:rPr>
          <w:rFonts w:ascii="Arial" w:cs="Arial" w:eastAsia="Arial" w:hAnsi="Arial"/>
          <w:sz w:val="22"/>
          <w:szCs w:val="22"/>
        </w:rPr>
        <w:t xml:space="preserve">Transferring money to a family member or friend to conceal it</w:t>
      </w:r>
    </w:p>
    <w:p>
      <w:pPr>
        <w:pStyle w:val="ListParagraph"/>
        <w:numPr>
          <w:ilvl w:val="0"/>
          <w:numId w:val="2"/>
        </w:numPr>
        <w:spacing w:before="60" w:after="60"/>
      </w:pPr>
      <w:r>
        <w:rPr>
          <w:rFonts w:ascii="Arial" w:cs="Arial" w:eastAsia="Arial" w:hAnsi="Arial"/>
          <w:sz w:val="22"/>
          <w:szCs w:val="22"/>
        </w:rPr>
        <w:t xml:space="preserve">Undervaluing a business or investment property</w:t>
      </w:r>
    </w:p>
    <w:p>
      <w:pPr>
        <w:pStyle w:val="ListParagraph"/>
        <w:numPr>
          <w:ilvl w:val="0"/>
          <w:numId w:val="2"/>
        </w:numPr>
        <w:spacing w:before="60" w:after="60"/>
      </w:pPr>
      <w:r>
        <w:rPr>
          <w:rFonts w:ascii="Arial" w:cs="Arial" w:eastAsia="Arial" w:hAnsi="Arial"/>
          <w:sz w:val="22"/>
          <w:szCs w:val="22"/>
        </w:rPr>
        <w:t xml:space="preserve">Failing to declare a savings account, pension, or investment portfolio</w:t>
      </w:r>
    </w:p>
    <w:p>
      <w:pPr>
        <w:pStyle w:val="ListParagraph"/>
        <w:numPr>
          <w:ilvl w:val="0"/>
          <w:numId w:val="2"/>
        </w:numPr>
        <w:spacing w:before="60" w:after="60"/>
      </w:pPr>
      <w:r>
        <w:rPr>
          <w:rFonts w:ascii="Arial" w:cs="Arial" w:eastAsia="Arial" w:hAnsi="Arial"/>
          <w:sz w:val="22"/>
          <w:szCs w:val="22"/>
        </w:rPr>
        <w:t xml:space="preserve">Declaring a fictional debt to reduce apparent net worth</w:t>
      </w:r>
    </w:p>
    <w:p>
      <w:pPr>
        <w:pStyle w:val="ListParagraph"/>
        <w:numPr>
          <w:ilvl w:val="0"/>
          <w:numId w:val="2"/>
        </w:numPr>
        <w:spacing w:before="60" w:after="60"/>
      </w:pPr>
      <w:r>
        <w:rPr>
          <w:rFonts w:ascii="Arial" w:cs="Arial" w:eastAsia="Arial" w:hAnsi="Arial"/>
          <w:sz w:val="22"/>
          <w:szCs w:val="22"/>
        </w:rPr>
        <w:t xml:space="preserve">Accelerating business expenses to reduce apparent business profit</w:t>
      </w:r>
    </w:p>
    <w:p>
      <w:pPr>
        <w:pStyle w:val="ListParagraph"/>
        <w:numPr>
          <w:ilvl w:val="0"/>
          <w:numId w:val="2"/>
        </w:numPr>
        <w:spacing w:before="60" w:after="60"/>
      </w:pPr>
      <w:r>
        <w:rPr>
          <w:rFonts w:ascii="Arial" w:cs="Arial" w:eastAsia="Arial" w:hAnsi="Arial"/>
          <w:sz w:val="22"/>
          <w:szCs w:val="22"/>
        </w:rPr>
        <w:t xml:space="preserve">Deferring salary payments or bonuses until after settlement</w:t>
      </w:r>
    </w:p>
    <w:p>
      <w:pPr>
        <w:pStyle w:val="Heading2"/>
        <w:spacing w:before="280" w:after="140"/>
      </w:pPr>
      <w:r>
        <w:rPr>
          <w:rFonts w:ascii="Arial" w:cs="Arial" w:eastAsia="Arial" w:hAnsi="Arial"/>
          <w:b/>
          <w:bCs/>
          <w:color w:val="2563a8"/>
          <w:sz w:val="28"/>
          <w:szCs w:val="28"/>
        </w:rPr>
        <w:t xml:space="preserve">What Happens if Your Spouse Refuses Financial Disclosure UK?</w:t>
      </w:r>
    </w:p>
    <w:p>
      <w:pPr>
        <w:spacing w:before="80" w:after="80"/>
      </w:pPr>
      <w:r>
        <w:rPr>
          <w:rFonts w:ascii="Arial" w:cs="Arial" w:eastAsia="Arial" w:hAnsi="Arial"/>
          <w:sz w:val="22"/>
          <w:szCs w:val="22"/>
        </w:rPr>
        <w:t xml:space="preserve">If your spouse refuses to provide financial disclosure within a court process, the court has extensive powers:</w:t>
      </w:r>
    </w:p>
    <w:p>
      <w:pPr>
        <w:pStyle w:val="ListParagraph"/>
        <w:numPr>
          <w:ilvl w:val="0"/>
          <w:numId w:val="2"/>
        </w:numPr>
        <w:spacing w:before="60" w:after="60"/>
      </w:pPr>
      <w:r>
        <w:rPr>
          <w:rFonts w:ascii="Arial" w:cs="Arial" w:eastAsia="Arial" w:hAnsi="Arial"/>
          <w:sz w:val="22"/>
          <w:szCs w:val="22"/>
        </w:rPr>
        <w:t xml:space="preserve">An 'unless order' — they must comply by a specific date or face sanctions</w:t>
      </w:r>
    </w:p>
    <w:p>
      <w:pPr>
        <w:pStyle w:val="ListParagraph"/>
        <w:numPr>
          <w:ilvl w:val="0"/>
          <w:numId w:val="2"/>
        </w:numPr>
        <w:spacing w:before="60" w:after="60"/>
      </w:pPr>
      <w:r>
        <w:rPr>
          <w:rFonts w:ascii="Arial" w:cs="Arial" w:eastAsia="Arial" w:hAnsi="Arial"/>
          <w:sz w:val="22"/>
          <w:szCs w:val="22"/>
        </w:rPr>
        <w:t xml:space="preserve">Drawing adverse inferences — the court assumes they are hiding something and may increase your award accordingly</w:t>
      </w:r>
    </w:p>
    <w:p>
      <w:pPr>
        <w:pStyle w:val="ListParagraph"/>
        <w:numPr>
          <w:ilvl w:val="0"/>
          <w:numId w:val="2"/>
        </w:numPr>
        <w:spacing w:before="60" w:after="60"/>
      </w:pPr>
      <w:r>
        <w:rPr>
          <w:rFonts w:ascii="Arial" w:cs="Arial" w:eastAsia="Arial" w:hAnsi="Arial"/>
          <w:sz w:val="22"/>
          <w:szCs w:val="22"/>
        </w:rPr>
        <w:t xml:space="preserve">Finding of contempt of court — potentially resulting in a fine or imprisonment</w:t>
      </w:r>
    </w:p>
    <w:p>
      <w:pPr>
        <w:pStyle w:val="ListParagraph"/>
        <w:numPr>
          <w:ilvl w:val="0"/>
          <w:numId w:val="2"/>
        </w:numPr>
        <w:spacing w:before="60" w:after="60"/>
      </w:pPr>
      <w:r>
        <w:rPr>
          <w:rFonts w:ascii="Arial" w:cs="Arial" w:eastAsia="Arial" w:hAnsi="Arial"/>
          <w:sz w:val="22"/>
          <w:szCs w:val="22"/>
        </w:rPr>
        <w:t xml:space="preserve">Costs orders — requiring the non-disclosing party to pay your legal costs</w:t>
      </w:r>
    </w:p>
    <w:p>
      <w:pPr>
        <w:spacing w:before="80" w:after="80"/>
      </w:pPr>
      <w:r>
        <w:rPr>
          <w:rFonts w:ascii="Arial" w:cs="Arial" w:eastAsia="Arial" w:hAnsi="Arial"/>
          <w:sz w:val="22"/>
          <w:szCs w:val="22"/>
        </w:rPr>
        <w:t xml:space="preserve">If your spouse is refusing disclosure outside of court, your options include issuing court proceedings (which compels formal disclosure) or seeking a without-notice injunction if you believe assets are being dissipated or hidden urgently.</w:t>
      </w:r>
    </w:p>
    <w:p>
      <w:pPr>
        <w:pStyle w:val="Heading2"/>
        <w:spacing w:before="280" w:after="140"/>
      </w:pPr>
      <w:r>
        <w:rPr>
          <w:rFonts w:ascii="Arial" w:cs="Arial" w:eastAsia="Arial" w:hAnsi="Arial"/>
          <w:b/>
          <w:bCs/>
          <w:color w:val="2563a8"/>
          <w:sz w:val="28"/>
          <w:szCs w:val="28"/>
        </w:rPr>
        <w:t xml:space="preserve">Can I Divorce Without a Financial Settlement UK?</w:t>
      </w:r>
    </w:p>
    <w:p>
      <w:pPr>
        <w:spacing w:before="80" w:after="80"/>
      </w:pPr>
      <w:r>
        <w:rPr>
          <w:rFonts w:ascii="Arial" w:cs="Arial" w:eastAsia="Arial" w:hAnsi="Arial"/>
          <w:sz w:val="22"/>
          <w:szCs w:val="22"/>
        </w:rPr>
        <w:t xml:space="preserve">Technically, yes — you can obtain a Final Order (formerly Decree Absolute) without any financial settlement in place. But this is strongly inadvisable. Without a consent order:</w:t>
      </w:r>
    </w:p>
    <w:p>
      <w:pPr>
        <w:pStyle w:val="ListParagraph"/>
        <w:numPr>
          <w:ilvl w:val="0"/>
          <w:numId w:val="2"/>
        </w:numPr>
        <w:spacing w:before="60" w:after="60"/>
      </w:pPr>
      <w:r>
        <w:rPr>
          <w:rFonts w:ascii="Arial" w:cs="Arial" w:eastAsia="Arial" w:hAnsi="Arial"/>
          <w:sz w:val="22"/>
          <w:szCs w:val="22"/>
        </w:rPr>
        <w:t xml:space="preserve">All financial claims between you remain open indefinitely</w:t>
      </w:r>
    </w:p>
    <w:p>
      <w:pPr>
        <w:pStyle w:val="ListParagraph"/>
        <w:numPr>
          <w:ilvl w:val="0"/>
          <w:numId w:val="2"/>
        </w:numPr>
        <w:spacing w:before="60" w:after="60"/>
      </w:pPr>
      <w:r>
        <w:rPr>
          <w:rFonts w:ascii="Arial" w:cs="Arial" w:eastAsia="Arial" w:hAnsi="Arial"/>
          <w:sz w:val="22"/>
          <w:szCs w:val="22"/>
        </w:rPr>
        <w:t xml:space="preserve">Your ex could make claims against your future assets, pension, or inheritance</w:t>
      </w:r>
    </w:p>
    <w:p>
      <w:pPr>
        <w:pStyle w:val="ListParagraph"/>
        <w:numPr>
          <w:ilvl w:val="0"/>
          <w:numId w:val="2"/>
        </w:numPr>
        <w:spacing w:before="60" w:after="60"/>
      </w:pPr>
      <w:r>
        <w:rPr>
          <w:rFonts w:ascii="Arial" w:cs="Arial" w:eastAsia="Arial" w:hAnsi="Arial"/>
          <w:sz w:val="22"/>
          <w:szCs w:val="22"/>
        </w:rPr>
        <w:t xml:space="preserve">Any change in either party's financial circumstances could trigger a claim</w:t>
      </w:r>
    </w:p>
    <w:p>
      <w:pPr>
        <w:spacing w:before="80" w:after="80"/>
      </w:pPr>
      <w:r>
        <w:rPr>
          <w:rFonts w:ascii="Arial" w:cs="Arial" w:eastAsia="Arial" w:hAnsi="Arial"/>
          <w:sz w:val="22"/>
          <w:szCs w:val="22"/>
        </w:rPr>
        <w:t xml:space="preserve">The case of Wyatt v Vince [2015] — in which financial claims were made 20 years after divorce — illustrates the risks vividly. Always obtain a consent order, even if there are currently no assets to divide.</w:t>
      </w:r>
    </w:p>
    <w:p>
      <w:pPr>
        <w:pStyle w:val="Heading2"/>
        <w:spacing w:before="280" w:after="140"/>
      </w:pPr>
      <w:r>
        <w:rPr>
          <w:rFonts w:ascii="Arial" w:cs="Arial" w:eastAsia="Arial" w:hAnsi="Arial"/>
          <w:b/>
          <w:bCs/>
          <w:color w:val="2563a8"/>
          <w:sz w:val="28"/>
          <w:szCs w:val="28"/>
        </w:rPr>
        <w:t xml:space="preserve">What Happens if My Ex Doesn't Agree to a Settlement UK?</w:t>
      </w:r>
    </w:p>
    <w:p>
      <w:pPr>
        <w:spacing w:before="80" w:after="80"/>
      </w:pPr>
      <w:r>
        <w:rPr>
          <w:rFonts w:ascii="Arial" w:cs="Arial" w:eastAsia="Arial" w:hAnsi="Arial"/>
          <w:sz w:val="22"/>
          <w:szCs w:val="22"/>
        </w:rPr>
        <w:t xml:space="preserve">If your ex refuses to engage with financial negotiations, you can issue court proceedings by filing Form A. The court process then requires both parties to comply with disclosure and attend hearings. A judge will make a binding order if no agreement is reached. The non-engaging party cannot simply veto a resolution — the court will intervene.</w:t>
      </w:r>
    </w:p>
    <w:p>
      <w:pPr>
        <w:pStyle w:val="Heading2"/>
        <w:spacing w:before="280" w:after="140"/>
      </w:pPr>
      <w:r>
        <w:rPr>
          <w:rFonts w:ascii="Arial" w:cs="Arial" w:eastAsia="Arial" w:hAnsi="Arial"/>
          <w:b/>
          <w:bCs/>
          <w:color w:val="2563a8"/>
          <w:sz w:val="28"/>
          <w:szCs w:val="28"/>
        </w:rPr>
        <w:t xml:space="preserve">Can I Reopen a Divorce Settlement UK?</w:t>
      </w:r>
    </w:p>
    <w:p>
      <w:pPr>
        <w:spacing w:before="80" w:after="80"/>
      </w:pPr>
      <w:r>
        <w:rPr>
          <w:rFonts w:ascii="Arial" w:cs="Arial" w:eastAsia="Arial" w:hAnsi="Arial"/>
          <w:sz w:val="22"/>
          <w:szCs w:val="22"/>
        </w:rPr>
        <w:t xml:space="preserve">Once a consent order is approved by a court, it is very difficult to reopen. The grounds for setting aside a consent order are limited:</w:t>
      </w:r>
    </w:p>
    <w:p>
      <w:pPr>
        <w:pStyle w:val="ListParagraph"/>
        <w:numPr>
          <w:ilvl w:val="0"/>
          <w:numId w:val="2"/>
        </w:numPr>
        <w:spacing w:before="60" w:after="60"/>
      </w:pPr>
      <w:r>
        <w:rPr>
          <w:rFonts w:ascii="Arial" w:cs="Arial" w:eastAsia="Arial" w:hAnsi="Arial"/>
          <w:sz w:val="22"/>
          <w:szCs w:val="22"/>
        </w:rPr>
        <w:t xml:space="preserve">Fraudulent non-disclosure of a material asset at the time of the order</w:t>
      </w:r>
    </w:p>
    <w:p>
      <w:pPr>
        <w:pStyle w:val="ListParagraph"/>
        <w:numPr>
          <w:ilvl w:val="0"/>
          <w:numId w:val="2"/>
        </w:numPr>
        <w:spacing w:before="60" w:after="60"/>
      </w:pPr>
      <w:r>
        <w:rPr>
          <w:rFonts w:ascii="Arial" w:cs="Arial" w:eastAsia="Arial" w:hAnsi="Arial"/>
          <w:sz w:val="22"/>
          <w:szCs w:val="22"/>
        </w:rPr>
        <w:t xml:space="preserve">Duress — the order was made under coercion</w:t>
      </w:r>
    </w:p>
    <w:p>
      <w:pPr>
        <w:pStyle w:val="ListParagraph"/>
        <w:numPr>
          <w:ilvl w:val="0"/>
          <w:numId w:val="2"/>
        </w:numPr>
        <w:spacing w:before="60" w:after="60"/>
      </w:pPr>
      <w:r>
        <w:rPr>
          <w:rFonts w:ascii="Arial" w:cs="Arial" w:eastAsia="Arial" w:hAnsi="Arial"/>
          <w:sz w:val="22"/>
          <w:szCs w:val="22"/>
        </w:rPr>
        <w:t xml:space="preserve">A fundamental mistake that was not foreseeable at the time</w:t>
      </w:r>
    </w:p>
    <w:p>
      <w:pPr>
        <w:pStyle w:val="ListParagraph"/>
        <w:numPr>
          <w:ilvl w:val="0"/>
          <w:numId w:val="2"/>
        </w:numPr>
        <w:spacing w:before="60" w:after="60"/>
      </w:pPr>
      <w:r>
        <w:rPr>
          <w:rFonts w:ascii="Arial" w:cs="Arial" w:eastAsia="Arial" w:hAnsi="Arial"/>
          <w:sz w:val="22"/>
          <w:szCs w:val="22"/>
        </w:rPr>
        <w:t xml:space="preserve">A 'Barder event' — an unforeseen supervening event that undermines the basis of the order (extremely rare)</w:t>
      </w:r>
    </w:p>
    <w:p>
      <w:pPr>
        <w:spacing w:before="80" w:after="80"/>
      </w:pPr>
      <w:r>
        <w:rPr>
          <w:rFonts w:ascii="Arial" w:cs="Arial" w:eastAsia="Arial" w:hAnsi="Arial"/>
          <w:sz w:val="22"/>
          <w:szCs w:val="22"/>
        </w:rPr>
        <w:t xml:space="preserve">Simply changing your mind, or finding out the other party has done better financially since the order, is not sufficient grounds to reopen a settlement. The courts place a high value on finality in litigation.</w:t>
      </w:r>
    </w:p>
    <w:p>
      <w:pPr>
        <w:pStyle w:val="Heading2"/>
        <w:spacing w:before="280" w:after="140"/>
      </w:pPr>
      <w:r>
        <w:rPr>
          <w:rFonts w:ascii="Arial" w:cs="Arial" w:eastAsia="Arial" w:hAnsi="Arial"/>
          <w:b/>
          <w:bCs/>
          <w:color w:val="2563a8"/>
          <w:sz w:val="28"/>
          <w:szCs w:val="28"/>
        </w:rPr>
        <w:t xml:space="preserve">How Far Back Can Financial Claims Be Made UK?</w:t>
      </w:r>
    </w:p>
    <w:p>
      <w:pPr>
        <w:spacing w:before="80" w:after="80"/>
      </w:pPr>
      <w:r>
        <w:rPr>
          <w:rFonts w:ascii="Arial" w:cs="Arial" w:eastAsia="Arial" w:hAnsi="Arial"/>
          <w:sz w:val="22"/>
          <w:szCs w:val="22"/>
        </w:rPr>
        <w:t xml:space="preserve">There is no statutory time limit on financial claims after divorce in England and Wales — they can theoretically be made at any point. However, delay in bringing a claim is a factor the court considers. The longer the delay and the more both parties have moved on financially, the harder it is to bring a successful late claim. This is all the more reason to obtain a consent order and clean break as soon as possible after divorce.</w:t>
      </w:r>
    </w:p>
    <w:p>
      <w:pPr>
        <w:pStyle w:val="Heading2"/>
        <w:spacing w:before="280" w:after="140"/>
      </w:pPr>
      <w:r>
        <w:rPr>
          <w:rFonts w:ascii="Arial" w:cs="Arial" w:eastAsia="Arial" w:hAnsi="Arial"/>
          <w:b/>
          <w:bCs/>
          <w:color w:val="2563a8"/>
          <w:sz w:val="28"/>
          <w:szCs w:val="28"/>
        </w:rPr>
        <w:t xml:space="preserve">When is a Divorce Financial Settlement Legally Binding UK?</w:t>
      </w:r>
    </w:p>
    <w:p>
      <w:pPr>
        <w:spacing w:before="80" w:after="80"/>
      </w:pPr>
      <w:r>
        <w:rPr>
          <w:rFonts w:ascii="Arial" w:cs="Arial" w:eastAsia="Arial" w:hAnsi="Arial"/>
          <w:sz w:val="22"/>
          <w:szCs w:val="22"/>
        </w:rPr>
        <w:t xml:space="preserve">A divorce financial settlement only becomes legally binding when a court-approved consent order is made. An agreement between solicitors, a signed document, or a verbal agreement — none of these are legally binding on their own in English and Welsh divorce law. Only court approval creates the legal certainty you need.</w:t>
      </w:r>
    </w:p>
    <w:p>
      <w:pPr>
        <w:pStyle w:val="Heading2"/>
        <w:spacing w:before="280" w:after="140"/>
      </w:pPr>
      <w:r>
        <w:rPr>
          <w:rFonts w:ascii="Arial" w:cs="Arial" w:eastAsia="Arial" w:hAnsi="Arial"/>
          <w:b/>
          <w:bCs/>
          <w:color w:val="2563a8"/>
          <w:sz w:val="28"/>
          <w:szCs w:val="28"/>
        </w:rPr>
        <w:t xml:space="preserve">Understanding Your Real Position</w:t>
      </w:r>
    </w:p>
    <w:p>
      <w:pPr>
        <w:spacing w:before="80" w:after="80"/>
      </w:pPr>
      <w:r>
        <w:rPr>
          <w:rFonts w:ascii="Arial" w:cs="Arial" w:eastAsia="Arial" w:hAnsi="Arial"/>
          <w:sz w:val="22"/>
          <w:szCs w:val="22"/>
        </w:rPr>
        <w:t xml:space="preserve">Whether you are concerned about your spouse hiding assets, wondering whether to push for a settlement or accept a delay, or trying to understand the realistic range of outcomes, a divorce financial settlement calculator can help you model your position before making critical decisions.</w:t>
      </w:r>
    </w:p>
    <w:p>
      <w:pPr>
        <w:pStyle w:val="Heading2"/>
        <w:spacing w:before="28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Hiding assets in divorce is illegal — courts have wide powers to investigate and draw adverse inferences</w:t>
      </w:r>
    </w:p>
    <w:p>
      <w:pPr>
        <w:pStyle w:val="ListParagraph"/>
        <w:numPr>
          <w:ilvl w:val="0"/>
          <w:numId w:val="2"/>
        </w:numPr>
        <w:spacing w:before="60" w:after="60"/>
      </w:pPr>
      <w:r>
        <w:rPr>
          <w:rFonts w:ascii="Arial" w:cs="Arial" w:eastAsia="Arial" w:hAnsi="Arial"/>
          <w:sz w:val="22"/>
          <w:szCs w:val="22"/>
        </w:rPr>
        <w:t xml:space="preserve">A spouse who refuses disclosure can face contempt of court proceedings</w:t>
      </w:r>
    </w:p>
    <w:p>
      <w:pPr>
        <w:pStyle w:val="ListParagraph"/>
        <w:numPr>
          <w:ilvl w:val="0"/>
          <w:numId w:val="2"/>
        </w:numPr>
        <w:spacing w:before="60" w:after="60"/>
      </w:pPr>
      <w:r>
        <w:rPr>
          <w:rFonts w:ascii="Arial" w:cs="Arial" w:eastAsia="Arial" w:hAnsi="Arial"/>
          <w:sz w:val="22"/>
          <w:szCs w:val="22"/>
        </w:rPr>
        <w:t xml:space="preserve">You can divorce without a financial settlement but it is strongly inadvisable</w:t>
      </w:r>
    </w:p>
    <w:p>
      <w:pPr>
        <w:pStyle w:val="ListParagraph"/>
        <w:numPr>
          <w:ilvl w:val="0"/>
          <w:numId w:val="2"/>
        </w:numPr>
        <w:spacing w:before="60" w:after="60"/>
      </w:pPr>
      <w:r>
        <w:rPr>
          <w:rFonts w:ascii="Arial" w:cs="Arial" w:eastAsia="Arial" w:hAnsi="Arial"/>
          <w:sz w:val="22"/>
          <w:szCs w:val="22"/>
        </w:rPr>
        <w:t xml:space="preserve">A consent order is the only way to make a financial settlement legally binding</w:t>
      </w:r>
    </w:p>
    <w:p>
      <w:pPr>
        <w:pStyle w:val="ListParagraph"/>
        <w:numPr>
          <w:ilvl w:val="0"/>
          <w:numId w:val="2"/>
        </w:numPr>
        <w:spacing w:before="60" w:after="60"/>
      </w:pPr>
      <w:r>
        <w:rPr>
          <w:rFonts w:ascii="Arial" w:cs="Arial" w:eastAsia="Arial" w:hAnsi="Arial"/>
          <w:sz w:val="22"/>
          <w:szCs w:val="22"/>
        </w:rPr>
        <w:t xml:space="preserve">Reopening a consent order is extremely difficult — grounds are very limited</w:t>
      </w:r>
    </w:p>
    <w:p>
      <w:pPr>
        <w:pStyle w:val="ListParagraph"/>
        <w:numPr>
          <w:ilvl w:val="0"/>
          <w:numId w:val="2"/>
        </w:numPr>
        <w:spacing w:before="60" w:after="60"/>
      </w:pPr>
      <w:r>
        <w:rPr>
          <w:rFonts w:ascii="Arial" w:cs="Arial" w:eastAsia="Arial" w:hAnsi="Arial"/>
          <w:sz w:val="22"/>
          <w:szCs w:val="22"/>
        </w:rPr>
        <w:t xml:space="preserve">Financial claims can be made years after divorce without a clean break order</w:t>
      </w:r>
    </w:p>
    <w:p>
      <w:pPr>
        <w:pStyle w:val="Heading2"/>
        <w:spacing w:before="280" w:after="140"/>
      </w:pPr>
      <w:r>
        <w:rPr>
          <w:rFonts w:ascii="Arial" w:cs="Arial" w:eastAsia="Arial" w:hAnsi="Arial"/>
          <w:b/>
          <w:bCs/>
          <w:color w:val="2563a8"/>
          <w:sz w:val="28"/>
          <w:szCs w:val="28"/>
        </w:rPr>
        <w:t xml:space="preserve">Frequently Asked Questions</w:t>
      </w:r>
    </w:p>
    <w:p>
      <w:pPr>
        <w:spacing w:before="200" w:after="100"/>
      </w:pPr>
      <w:r>
        <w:rPr>
          <w:rFonts w:ascii="Arial" w:cs="Arial" w:eastAsia="Arial" w:hAnsi="Arial"/>
          <w:b/>
          <w:bCs/>
          <w:color w:val="1a3c5e"/>
          <w:sz w:val="24"/>
          <w:szCs w:val="24"/>
        </w:rPr>
        <w:t xml:space="preserve">How do I find hidden assets in divorce?</w:t>
      </w:r>
    </w:p>
    <w:p>
      <w:pPr>
        <w:spacing w:before="80" w:after="80"/>
      </w:pPr>
      <w:r>
        <w:rPr>
          <w:rFonts w:ascii="Arial" w:cs="Arial" w:eastAsia="Arial" w:hAnsi="Arial"/>
          <w:sz w:val="22"/>
          <w:szCs w:val="22"/>
        </w:rPr>
        <w:t xml:space="preserve">Request full documentation as part of the disclosure process. Use Form E questionnaires in court proceedings. Instruct a forensic accountant where business assets are involved. Courts can also order third parties — banks, HMRC, companies — to produce documents.</w:t>
      </w:r>
    </w:p>
    <w:p>
      <w:pPr>
        <w:spacing w:before="200" w:after="100"/>
      </w:pPr>
      <w:r>
        <w:rPr>
          <w:rFonts w:ascii="Arial" w:cs="Arial" w:eastAsia="Arial" w:hAnsi="Arial"/>
          <w:b/>
          <w:bCs/>
          <w:color w:val="1a3c5e"/>
          <w:sz w:val="24"/>
          <w:szCs w:val="24"/>
        </w:rPr>
        <w:t xml:space="preserve">What if my ex transfers assets to their parents before divorce?</w:t>
      </w:r>
    </w:p>
    <w:p>
      <w:pPr>
        <w:spacing w:before="80" w:after="80"/>
      </w:pPr>
      <w:r>
        <w:rPr>
          <w:rFonts w:ascii="Arial" w:cs="Arial" w:eastAsia="Arial" w:hAnsi="Arial"/>
          <w:sz w:val="22"/>
          <w:szCs w:val="22"/>
        </w:rPr>
        <w:t xml:space="preserve">Courts can 'set aside' transactions designed to defeat financial claims. This is known as a disposition to defeat a financial settlement. The court can unwind the transfer and treat the assets as if they still exist. Legal advice is essential if you suspect this has happened.</w:t>
      </w:r>
    </w:p>
    <w:p>
      <w:pPr>
        <w:spacing w:before="200" w:after="100"/>
      </w:pPr>
      <w:r>
        <w:rPr>
          <w:rFonts w:ascii="Arial" w:cs="Arial" w:eastAsia="Arial" w:hAnsi="Arial"/>
          <w:b/>
          <w:bCs/>
          <w:color w:val="1a3c5e"/>
          <w:sz w:val="24"/>
          <w:szCs w:val="24"/>
        </w:rPr>
        <w:t xml:space="preserve">Can I use my ex's social media to prove hidden assets?</w:t>
      </w:r>
    </w:p>
    <w:p>
      <w:pPr>
        <w:spacing w:before="80" w:after="80"/>
      </w:pPr>
      <w:r>
        <w:rPr>
          <w:rFonts w:ascii="Arial" w:cs="Arial" w:eastAsia="Arial" w:hAnsi="Arial"/>
          <w:sz w:val="22"/>
          <w:szCs w:val="22"/>
        </w:rPr>
        <w:t xml:space="preserve">Evidence of lifestyle — expensive holidays, new vehicles, luxury purchases — can be relevant to a hidden assets argument. It may be used in court proceedings to support a request for further disclosure. However, evidence obtained unlawfully may be inadmissible.</w:t>
      </w:r>
    </w:p>
    <w:p>
      <w:pPr>
        <w:spacing w:before="200" w:after="100"/>
      </w:pPr>
      <w:r>
        <w:rPr>
          <w:rFonts w:ascii="Arial" w:cs="Arial" w:eastAsia="Arial" w:hAnsi="Arial"/>
          <w:b/>
          <w:bCs/>
          <w:color w:val="1a3c5e"/>
          <w:sz w:val="24"/>
          <w:szCs w:val="24"/>
        </w:rPr>
        <w:t xml:space="preserve">Is there a time limit to reopen a divorce settlement?</w:t>
      </w:r>
    </w:p>
    <w:p>
      <w:pPr>
        <w:spacing w:before="80" w:after="80"/>
      </w:pPr>
      <w:r>
        <w:rPr>
          <w:rFonts w:ascii="Arial" w:cs="Arial" w:eastAsia="Arial" w:hAnsi="Arial"/>
          <w:sz w:val="22"/>
          <w:szCs w:val="22"/>
        </w:rPr>
        <w:t xml:space="preserve">There is no absolute time limit, but applications to set aside orders must be brought promptly once the grounds become apparent. Courts are increasingly reluctant to reopen old cases, and delay can defeat your application.</w:t>
      </w:r>
    </w:p>
    <w:p>
      <w:pPr>
        <w:spacing w:before="200" w:after="100"/>
      </w:pPr>
      <w:r>
        <w:rPr>
          <w:rFonts w:ascii="Arial" w:cs="Arial" w:eastAsia="Arial" w:hAnsi="Arial"/>
          <w:b/>
          <w:bCs/>
          <w:color w:val="1a3c5e"/>
          <w:sz w:val="24"/>
          <w:szCs w:val="24"/>
        </w:rPr>
        <w:t xml:space="preserve">What happens if financial remedy proceedings are issued and my ex does not attend?</w:t>
      </w:r>
    </w:p>
    <w:p>
      <w:pPr>
        <w:spacing w:before="80" w:after="80"/>
      </w:pPr>
      <w:r>
        <w:rPr>
          <w:rFonts w:ascii="Arial" w:cs="Arial" w:eastAsia="Arial" w:hAnsi="Arial"/>
          <w:sz w:val="22"/>
          <w:szCs w:val="22"/>
        </w:rPr>
        <w:t xml:space="preserve">The court can proceed in your absence and make a binding order based on available evidence. Non-attendance does not prevent or delay the court making an order.</w:t>
      </w:r>
    </w:p>
    <w:p>
      <w:pPr>
        <w:pBdr>
          <w:top w:val="single" w:color="cccccc" w:sz="2"/>
        </w:pBdr>
        <w:spacing w:before="200" w:after="100"/>
      </w:pPr>
      <w:r>
        <w:rPr>
          <w:rFonts w:ascii="Arial" w:cs="Arial" w:eastAsia="Arial" w:hAnsi="Arial"/>
          <w:i/>
          <w:iCs/>
          <w:color w:val="666666"/>
          <w:sz w:val="18"/>
          <w:szCs w:val="18"/>
        </w:rPr>
        <w:t xml:space="preserve">This content is for general informational purposes only and does not constitute legal advice.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563a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2026-03-18T23:05:52.508Z</dcterms:created>
  <dcterms:modified xsi:type="dcterms:W3CDTF">2026-03-18T23:05:52.509Z</dcterms:modified>
</cp:coreProperties>
</file>

<file path=docProps/custom.xml><?xml version="1.0" encoding="utf-8"?>
<Properties xmlns="http://schemas.openxmlformats.org/officeDocument/2006/custom-properties" xmlns:vt="http://schemas.openxmlformats.org/officeDocument/2006/docPropsVTypes"/>
</file>