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thick" w:color="1A5276" w:sz="18" w:space="1"/>
        </w:pBdr>
        <w:spacing w:before="800" w:after="0"/>
      </w:pPr>
      <w:r>
        <w:t xml:space="preserve"/>
      </w:r>
    </w:p>
    <w:p>
      <w:pPr>
        <w:spacing w:before="320" w:after="120"/>
        <w:jc w:val="center"/>
      </w:pPr>
      <w:r>
        <w:rPr>
          <w:rFonts w:ascii="Arial" w:cs="Arial" w:eastAsia="Arial" w:hAnsi="Arial"/>
          <w:b/>
          <w:bCs/>
          <w:caps/>
          <w:color w:val="5D6D7E"/>
          <w:sz w:val="22"/>
          <w:szCs w:val="22"/>
        </w:rPr>
        <w:t xml:space="preserve">YOUR FREE GUIDE TO</w:t>
      </w:r>
    </w:p>
    <w:p>
      <w:pPr>
        <w:spacing w:before="60" w:after="80"/>
        <w:jc w:val="center"/>
      </w:pPr>
      <w:r>
        <w:rPr>
          <w:rFonts w:ascii="Arial" w:cs="Arial" w:eastAsia="Arial" w:hAnsi="Arial"/>
          <w:b/>
          <w:bCs/>
          <w:color w:val="1A5276"/>
          <w:sz w:val="72"/>
          <w:szCs w:val="72"/>
        </w:rPr>
        <w:t xml:space="preserve">Divorce Finances</w:t>
      </w:r>
    </w:p>
    <w:p>
      <w:pPr>
        <w:spacing w:before="40" w:after="60"/>
        <w:jc w:val="center"/>
      </w:pPr>
      <w:r>
        <w:rPr>
          <w:rFonts w:ascii="Arial" w:cs="Arial" w:eastAsia="Arial" w:hAnsi="Arial"/>
          <w:b/>
          <w:bCs/>
          <w:color w:val="2471A3"/>
          <w:sz w:val="52"/>
          <w:szCs w:val="52"/>
        </w:rPr>
        <w:t xml:space="preserve">in the UK</w:t>
      </w:r>
    </w:p>
    <w:p>
      <w:pPr>
        <w:pBdr>
          <w:bottom w:val="thick" w:color="1A5276" w:sz="18" w:space="1"/>
        </w:pBdr>
        <w:spacing w:before="120" w:after="0"/>
      </w:pPr>
      <w:r>
        <w:t xml:space="preserve"/>
      </w:r>
    </w:p>
    <w:p>
      <w:pPr>
        <w:spacing w:before="200" w:after="200"/>
        <w:jc w:val="center"/>
      </w:pPr>
      <w:r>
        <w:rPr>
          <w:rFonts w:ascii="Arial" w:cs="Arial" w:eastAsia="Arial" w:hAnsi="Arial"/>
          <w:i/>
          <w:iCs/>
          <w:color w:val="5D6D7E"/>
          <w:sz w:val="24"/>
          <w:szCs w:val="24"/>
        </w:rPr>
        <w:t xml:space="preserve">Costs  ·  Settlements  ·  Property  ·  Pensions  ·  Real Scenarios</w:t>
      </w:r>
    </w:p>
    <w:p>
      <w:pPr>
        <w:spacing w:before="80" w:after="80"/>
      </w:pPr>
      <w:r>
        <w:t xml:space="preserve"/>
      </w:r>
    </w:p>
    <w:p>
      <w:pPr>
        <w:shd w:fill="D6EAF8" w:val="clear"/>
        <w:spacing w:before="240" w:after="80"/>
        <w:jc w:val="center"/>
      </w:pPr>
      <w:r>
        <w:rPr>
          <w:rFonts w:ascii="Arial" w:cs="Arial" w:eastAsia="Arial" w:hAnsi="Arial"/>
          <w:b/>
          <w:bCs/>
          <w:color w:val="1A5276"/>
          <w:sz w:val="24"/>
          <w:szCs w:val="24"/>
        </w:rPr>
        <w:t xml:space="preserve">What's inside this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AED6F1" w:sz="1"/>
              <w:left w:val="single" w:color="AED6F1" w:sz="1"/>
              <w:bottom w:val="single" w:color="AED6F1" w:sz="1"/>
              <w:right w:val="single" w:color="AED6F1" w:sz="1"/>
            </w:tcBorders>
            <w:shd w:fill="D6EAF8" w:val="clear"/>
            <w:tcMar>
              <w:top w:type="dxa" w:w="100"/>
              <w:left w:type="dxa" w:w="120"/>
              <w:bottom w:type="dxa" w:w="100"/>
              <w:right w:type="dxa" w:w="120"/>
            </w:tcMar>
          </w:tcPr>
          <w:p>
            <w:r>
              <w:rPr>
                <w:rFonts w:ascii="Arial" w:cs="Arial" w:eastAsia="Arial" w:hAnsi="Arial"/>
                <w:b/>
                <w:bCs/>
                <w:color w:val="1B2631"/>
                <w:sz w:val="20"/>
                <w:szCs w:val="20"/>
              </w:rPr>
              <w:t xml:space="preserve">Chapter</w:t>
            </w:r>
          </w:p>
        </w:tc>
        <w:tc>
          <w:tcPr>
            <w:tcW w:type="dxa" w:w="8160"/>
            <w:tcBorders>
              <w:top w:val="single" w:color="AED6F1" w:sz="1"/>
              <w:left w:val="single" w:color="AED6F1" w:sz="1"/>
              <w:bottom w:val="single" w:color="AED6F1" w:sz="1"/>
              <w:right w:val="single" w:color="AED6F1" w:sz="1"/>
            </w:tcBorders>
            <w:shd w:fill="D6EAF8" w:val="clear"/>
            <w:tcMar>
              <w:top w:type="dxa" w:w="100"/>
              <w:left w:type="dxa" w:w="120"/>
              <w:bottom w:type="dxa" w:w="100"/>
              <w:right w:type="dxa" w:w="120"/>
            </w:tcMar>
          </w:tcPr>
          <w:p>
            <w:r>
              <w:rPr>
                <w:rFonts w:ascii="Arial" w:cs="Arial" w:eastAsia="Arial" w:hAnsi="Arial"/>
                <w:b/>
                <w:bCs/>
                <w:color w:val="1B2631"/>
                <w:sz w:val="20"/>
                <w:szCs w:val="20"/>
              </w:rPr>
              <w:t xml:space="preserve">Topic</w:t>
            </w:r>
          </w:p>
        </w:tc>
      </w:tr>
      <w:tr>
        <w:tc>
          <w:tcPr>
            <w:tcW w:type="dxa" w:w="120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1</w:t>
            </w:r>
          </w:p>
        </w:tc>
        <w:tc>
          <w:tcPr>
            <w:tcW w:type="dxa" w:w="816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How Much Does Divorce Cost in the UK?</w:t>
            </w:r>
          </w:p>
        </w:tc>
      </w:tr>
      <w:tr>
        <w:tc>
          <w:tcPr>
            <w:tcW w:type="dxa" w:w="120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2</w:t>
            </w:r>
          </w:p>
        </w:tc>
        <w:tc>
          <w:tcPr>
            <w:tcW w:type="dxa" w:w="816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Understanding Asset Division &amp; Financial Settlements</w:t>
            </w:r>
          </w:p>
        </w:tc>
      </w:tr>
      <w:tr>
        <w:tc>
          <w:tcPr>
            <w:tcW w:type="dxa" w:w="120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3</w:t>
            </w:r>
          </w:p>
        </w:tc>
        <w:tc>
          <w:tcPr>
            <w:tcW w:type="dxa" w:w="816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Who Gets the House – Property &amp; Equity Explained</w:t>
            </w:r>
          </w:p>
        </w:tc>
      </w:tr>
      <w:tr>
        <w:tc>
          <w:tcPr>
            <w:tcW w:type="dxa" w:w="120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4</w:t>
            </w:r>
          </w:p>
        </w:tc>
        <w:tc>
          <w:tcPr>
            <w:tcW w:type="dxa" w:w="816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How Pensions Are Split in a Divorce</w:t>
            </w:r>
          </w:p>
        </w:tc>
      </w:tr>
      <w:tr>
        <w:tc>
          <w:tcPr>
            <w:tcW w:type="dxa" w:w="120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5</w:t>
            </w:r>
          </w:p>
        </w:tc>
        <w:tc>
          <w:tcPr>
            <w:tcW w:type="dxa" w:w="816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Real Illustrative Settlement Scenarios</w:t>
            </w:r>
          </w:p>
        </w:tc>
      </w:tr>
    </w:tbl>
    <w:p>
      <w:pPr>
        <w:spacing w:before="80" w:after="80"/>
      </w:pPr>
      <w:r>
        <w:t xml:space="preserve"/>
      </w:r>
    </w:p>
    <w:p>
      <w:pPr>
        <w:spacing w:before="320" w:after="120"/>
        <w:jc w:val="center"/>
      </w:pPr>
      <w:r>
        <w:rPr>
          <w:rFonts w:ascii="Arial" w:cs="Arial" w:eastAsia="Arial" w:hAnsi="Arial"/>
          <w:i/>
          <w:iCs/>
          <w:color w:val="5D6D7E"/>
          <w:sz w:val="20"/>
          <w:szCs w:val="20"/>
        </w:rPr>
        <w:t xml:space="preserve">Provided free by the Divorce Financial Scenario Modelling Tool</w:t>
      </w:r>
    </w:p>
    <w:p>
      <w:pPr>
        <w:spacing w:before="60" w:after="400"/>
        <w:jc w:val="center"/>
      </w:pPr>
      <w:r>
        <w:rPr>
          <w:rFonts w:ascii="Arial" w:cs="Arial" w:eastAsia="Arial" w:hAnsi="Arial"/>
          <w:b/>
          <w:bCs/>
          <w:color w:val="1A5276"/>
          <w:sz w:val="20"/>
          <w:szCs w:val="20"/>
        </w:rPr>
        <w:t xml:space="preserve">divorcemodelling.co.uk</w:t>
      </w:r>
    </w:p>
    <w:p>
      <w:pPr>
        <w:spacing w:before="0" w:after="120"/>
        <w:jc w:val="center"/>
      </w:pPr>
      <w:r>
        <w:rPr>
          <w:rFonts w:ascii="Arial" w:cs="Arial" w:eastAsia="Arial" w:hAnsi="Arial"/>
          <w:i/>
          <w:iCs/>
          <w:color w:val="5D6D7E"/>
          <w:sz w:val="17"/>
          <w:szCs w:val="17"/>
        </w:rPr>
        <w:t xml:space="preserve">This guide is for general informational purposes only and does not constitute legal or financial advice.</w:t>
      </w:r>
    </w:p>
    <w:p>
      <w:r>
        <w:br w:type="page"/>
      </w:r>
    </w:p>
    <w:p>
      <w:pPr>
        <w:spacing w:before="400" w:after="200"/>
      </w:pPr>
      <w:r>
        <w:rPr>
          <w:rFonts w:ascii="Arial" w:cs="Arial" w:eastAsia="Arial" w:hAnsi="Arial"/>
          <w:b/>
          <w:bCs/>
          <w:color w:val="1A5276"/>
          <w:sz w:val="36"/>
          <w:szCs w:val="36"/>
        </w:rPr>
        <w:t xml:space="preserve">A Note to You</w:t>
      </w:r>
    </w:p>
    <w:p>
      <w:pPr>
        <w:pBdr>
          <w:bottom w:val="single" w:color="AED6F1" w:sz="3" w:space="1"/>
        </w:pBdr>
        <w:spacing w:before="80" w:after="0"/>
      </w:pPr>
      <w:r>
        <w:t xml:space="preserve"/>
      </w:r>
    </w:p>
    <w:p>
      <w:pPr>
        <w:spacing w:before="80" w:after="80"/>
      </w:pPr>
      <w:r>
        <w:t xml:space="preserve"/>
      </w:r>
    </w:p>
    <w:p>
      <w:pPr>
        <w:spacing w:before="80" w:after="140"/>
      </w:pPr>
      <w:r>
        <w:rPr>
          <w:rFonts w:ascii="Arial" w:cs="Arial" w:eastAsia="Arial" w:hAnsi="Arial"/>
          <w:color w:val="1B2631"/>
          <w:sz w:val="22"/>
          <w:szCs w:val="22"/>
        </w:rPr>
        <w:t xml:space="preserve">Dealing with the financial side of a divorce is, for most people, one of the most stressful and confusing things they will ever face. You may be confronting questions you have never had to think about before – about property equity, pensions, savings, legal costs, and what a fair settlement might actually look like for your situation.</w:t>
      </w:r>
    </w:p>
    <w:p>
      <w:pPr>
        <w:spacing w:before="80" w:after="140"/>
      </w:pPr>
      <w:r>
        <w:rPr>
          <w:rFonts w:ascii="Arial" w:cs="Arial" w:eastAsia="Arial" w:hAnsi="Arial"/>
          <w:color w:val="1B2631"/>
          <w:sz w:val="22"/>
          <w:szCs w:val="22"/>
        </w:rPr>
        <w:t xml:space="preserve">This guide was created to help. It is free, straightforward, and written for people who are not lawyers or financial experts – just people trying to make sense of a difficult and often overwhelming process.</w:t>
      </w:r>
    </w:p>
    <w:p>
      <w:pPr>
        <w:spacing w:before="80" w:after="140"/>
      </w:pPr>
      <w:r>
        <w:rPr>
          <w:rFonts w:ascii="Arial" w:cs="Arial" w:eastAsia="Arial" w:hAnsi="Arial"/>
          <w:color w:val="1B2631"/>
          <w:sz w:val="22"/>
          <w:szCs w:val="22"/>
        </w:rPr>
        <w:t xml:space="preserve">Inside, you will find plain-English explanations of the main financial topics that come up in UK divorces: what things cost, how assets are typically divided, what happens to the family home, how pensions are treated, and what real settlement scenarios can look like in practice.</w:t>
      </w:r>
    </w:p>
    <w:p>
      <w:pPr>
        <w:spacing w:before="80" w:after="140"/>
      </w:pPr>
      <w:r>
        <w:rPr>
          <w:rFonts w:ascii="Arial" w:cs="Arial" w:eastAsia="Arial" w:hAnsi="Arial"/>
          <w:color w:val="1B2631"/>
          <w:sz w:val="22"/>
          <w:szCs w:val="22"/>
        </w:rPr>
        <w:t xml:space="preserve">None of this is legal advice. Every situation is different, and we always encourage you to speak to a qualified family law solicitor and, where appropriate, an independent financial adviser. But we believe that the more clearly you understand the landscape, the better placed you will be to ask the right questions and make informed decisions.</w:t>
      </w:r>
    </w:p>
    <w:p>
      <w:pPr>
        <w:spacing w:before="80" w:after="140"/>
      </w:pPr>
      <w:r>
        <w:rPr>
          <w:rFonts w:ascii="Arial" w:cs="Arial" w:eastAsia="Arial" w:hAnsi="Arial"/>
          <w:color w:val="1B2631"/>
          <w:sz w:val="22"/>
          <w:szCs w:val="22"/>
        </w:rPr>
        <w:t xml:space="preserve">Alongside this guide, our free Divorce Financial Scenario Modelling Tool allows you to enter your own figures – property values, pension amounts, savings, and other assets – and explore how different settlement structures might affect your financial position. It is illustrative, not predictive, but many users find it a valuable starting point for understanding their options.</w:t>
      </w:r>
    </w:p>
    <w:p>
      <w:pPr>
        <w:spacing w:before="80" w:after="140"/>
      </w:pPr>
      <w:r>
        <w:rPr>
          <w:rFonts w:ascii="Arial" w:cs="Arial" w:eastAsia="Arial" w:hAnsi="Arial"/>
          <w:b/>
          <w:bCs/>
          <w:color w:val="1B2631"/>
          <w:sz w:val="22"/>
          <w:szCs w:val="22"/>
        </w:rPr>
        <w:t xml:space="preserve">We hope this guide helps.</w:t>
      </w:r>
    </w:p>
    <w:p>
      <w:pPr>
        <w:spacing w:before="80" w:after="80"/>
      </w:pPr>
      <w:r>
        <w:t xml:space="preserve"/>
      </w:r>
    </w:p>
    <w:p>
      <w:pPr>
        <w:spacing w:before="80" w:after="60"/>
      </w:pPr>
      <w:r>
        <w:rPr>
          <w:rFonts w:ascii="Arial" w:cs="Arial" w:eastAsia="Arial" w:hAnsi="Arial"/>
          <w:b/>
          <w:bCs/>
          <w:color w:val="1A5276"/>
          <w:sz w:val="22"/>
          <w:szCs w:val="22"/>
        </w:rPr>
        <w:t xml:space="preserve">The Divorce Financial Scenario Modelling Team</w:t>
      </w:r>
    </w:p>
    <w:p>
      <w:pPr>
        <w:spacing w:before="40" w:after="400"/>
      </w:pPr>
      <w:r>
        <w:rPr>
          <w:rFonts w:ascii="Arial" w:cs="Arial" w:eastAsia="Arial" w:hAnsi="Arial"/>
          <w:i/>
          <w:iCs/>
          <w:color w:val="5D6D7E"/>
          <w:sz w:val="20"/>
          <w:szCs w:val="20"/>
        </w:rPr>
        <w:t xml:space="preserve">divorcemodelling.co.uk</w:t>
      </w:r>
    </w:p>
    <w:p>
      <w:pPr>
        <w:pBdr>
          <w:top w:val="single" w:color="F39C12" w:sz="4"/>
          <w:bottom w:val="single" w:color="F39C12" w:sz="4"/>
        </w:pBdr>
        <w:shd w:fill="FEF9E7" w:val="clear"/>
        <w:spacing w:before="60" w:after="120"/>
      </w:pPr>
      <w:r>
        <w:rPr>
          <w:rFonts w:ascii="Arial" w:cs="Arial" w:eastAsia="Arial" w:hAnsi="Arial"/>
          <w:b/>
          <w:bCs/>
          <w:color w:val="784212"/>
          <w:sz w:val="20"/>
          <w:szCs w:val="20"/>
        </w:rPr>
        <w:t xml:space="preserve">Important: </w:t>
      </w:r>
      <w:r>
        <w:rPr>
          <w:rFonts w:ascii="Arial" w:cs="Arial" w:eastAsia="Arial" w:hAnsi="Arial"/>
          <w:color w:val="784212"/>
          <w:sz w:val="20"/>
          <w:szCs w:val="20"/>
        </w:rPr>
        <w:t xml:space="preserve">This guide is provided for general informational purposes only. It does not constitute legal, financial, or investment advice. All scenarios and figures are illustrative only. Please seek qualified professional advice before making any decisions related to your divorce or financial settlement.</w:t>
      </w:r>
    </w:p>
    <w:p>
      <w:r>
        <w:br w:type="page"/>
      </w:r>
    </w:p>
    <w:p>
      <w:pPr>
        <w:spacing w:before="360" w:after="180"/>
      </w:pPr>
      <w:r>
        <w:rPr>
          <w:rFonts w:ascii="Arial" w:cs="Arial" w:eastAsia="Arial" w:hAnsi="Arial"/>
          <w:b/>
          <w:bCs/>
          <w:color w:val="1A5276"/>
          <w:sz w:val="40"/>
          <w:szCs w:val="40"/>
        </w:rPr>
        <w:t xml:space="preserve">How to Use This Guide</w:t>
      </w:r>
    </w:p>
    <w:p>
      <w:pPr>
        <w:pBdr>
          <w:bottom w:val="single" w:color="AED6F1" w:sz="3" w:space="1"/>
        </w:pBdr>
        <w:spacing w:before="180" w:after="180"/>
      </w:pPr>
      <w:r>
        <w:t xml:space="preserve"/>
      </w:r>
    </w:p>
    <w:p>
      <w:pPr>
        <w:spacing w:before="80" w:after="140"/>
      </w:pPr>
      <w:r>
        <w:rPr>
          <w:rFonts w:ascii="Arial" w:cs="Arial" w:eastAsia="Arial" w:hAnsi="Arial"/>
          <w:color w:val="1B2631"/>
          <w:sz w:val="22"/>
          <w:szCs w:val="22"/>
        </w:rPr>
        <w:t xml:space="preserve">This guide is designed to be read in any order. You can work through it from the beginning, or jump straight to the chapter that is most relevant to where you are right now. Each chapter stands on its own.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600"/>
        <w:gridCol w:w="4200"/>
      </w:tblGrid>
      <w:tr>
        <w:trPr>
          <w:tblHeader/>
        </w:trPr>
        <w:tc>
          <w:tcPr>
            <w:tcW w:type="dxa" w:w="1560"/>
            <w:tcBorders>
              <w:top w:val="single" w:color="AED6F1" w:sz="1"/>
              <w:left w:val="single" w:color="AED6F1" w:sz="1"/>
              <w:bottom w:val="single" w:color="AED6F1" w:sz="1"/>
              <w:right w:val="single" w:color="AED6F1" w:sz="1"/>
            </w:tcBorders>
            <w:shd w:fill="D6EAF8" w:val="clear"/>
            <w:tcMar>
              <w:top w:type="dxa" w:w="100"/>
              <w:left w:type="dxa" w:w="120"/>
              <w:bottom w:type="dxa" w:w="100"/>
              <w:right w:type="dxa" w:w="120"/>
            </w:tcMar>
          </w:tcPr>
          <w:p>
            <w:r>
              <w:rPr>
                <w:rFonts w:ascii="Arial" w:cs="Arial" w:eastAsia="Arial" w:hAnsi="Arial"/>
                <w:b/>
                <w:bCs/>
                <w:color w:val="1B2631"/>
                <w:sz w:val="20"/>
                <w:szCs w:val="20"/>
              </w:rPr>
              <w:t xml:space="preserve">Chapter</w:t>
            </w:r>
          </w:p>
        </w:tc>
        <w:tc>
          <w:tcPr>
            <w:tcW w:type="dxa" w:w="3600"/>
            <w:tcBorders>
              <w:top w:val="single" w:color="AED6F1" w:sz="1"/>
              <w:left w:val="single" w:color="AED6F1" w:sz="1"/>
              <w:bottom w:val="single" w:color="AED6F1" w:sz="1"/>
              <w:right w:val="single" w:color="AED6F1" w:sz="1"/>
            </w:tcBorders>
            <w:shd w:fill="D6EAF8" w:val="clear"/>
            <w:tcMar>
              <w:top w:type="dxa" w:w="100"/>
              <w:left w:type="dxa" w:w="120"/>
              <w:bottom w:type="dxa" w:w="100"/>
              <w:right w:type="dxa" w:w="120"/>
            </w:tcMar>
          </w:tcPr>
          <w:p>
            <w:r>
              <w:rPr>
                <w:rFonts w:ascii="Arial" w:cs="Arial" w:eastAsia="Arial" w:hAnsi="Arial"/>
                <w:b/>
                <w:bCs/>
                <w:color w:val="1B2631"/>
                <w:sz w:val="20"/>
                <w:szCs w:val="20"/>
              </w:rPr>
              <w:t xml:space="preserve">Best for you if…</w:t>
            </w:r>
          </w:p>
        </w:tc>
        <w:tc>
          <w:tcPr>
            <w:tcW w:type="dxa" w:w="4200"/>
            <w:tcBorders>
              <w:top w:val="single" w:color="AED6F1" w:sz="1"/>
              <w:left w:val="single" w:color="AED6F1" w:sz="1"/>
              <w:bottom w:val="single" w:color="AED6F1" w:sz="1"/>
              <w:right w:val="single" w:color="AED6F1" w:sz="1"/>
            </w:tcBorders>
            <w:shd w:fill="D6EAF8" w:val="clear"/>
            <w:tcMar>
              <w:top w:type="dxa" w:w="100"/>
              <w:left w:type="dxa" w:w="120"/>
              <w:bottom w:type="dxa" w:w="100"/>
              <w:right w:type="dxa" w:w="120"/>
            </w:tcMar>
          </w:tcPr>
          <w:p>
            <w:r>
              <w:rPr>
                <w:rFonts w:ascii="Arial" w:cs="Arial" w:eastAsia="Arial" w:hAnsi="Arial"/>
                <w:b/>
                <w:bCs/>
                <w:color w:val="1B2631"/>
                <w:sz w:val="20"/>
                <w:szCs w:val="20"/>
              </w:rPr>
              <w:t xml:space="preserve">Key topics covered</w:t>
            </w:r>
          </w:p>
        </w:tc>
      </w:tr>
      <w:tr>
        <w:tc>
          <w:tcPr>
            <w:tcW w:type="dxa" w:w="156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1 – Divorce Costs</w:t>
            </w:r>
          </w:p>
        </w:tc>
        <w:tc>
          <w:tcPr>
            <w:tcW w:type="dxa" w:w="360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You want to understand what you might spend before committing to a path</w:t>
            </w:r>
          </w:p>
        </w:tc>
        <w:tc>
          <w:tcPr>
            <w:tcW w:type="dxa" w:w="420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Court fees, solicitor costs, mediation, Consent Orders</w:t>
            </w:r>
          </w:p>
        </w:tc>
      </w:tr>
      <w:tr>
        <w:tc>
          <w:tcPr>
            <w:tcW w:type="dxa" w:w="156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2 – Asset Division</w:t>
            </w:r>
          </w:p>
        </w:tc>
        <w:tc>
          <w:tcPr>
            <w:tcW w:type="dxa" w:w="360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You want to understand how the overall settlement process works</w:t>
            </w:r>
          </w:p>
        </w:tc>
        <w:tc>
          <w:tcPr>
            <w:tcW w:type="dxa" w:w="420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What assets count, disclosure, the court process, scenario types</w:t>
            </w:r>
          </w:p>
        </w:tc>
      </w:tr>
      <w:tr>
        <w:tc>
          <w:tcPr>
            <w:tcW w:type="dxa" w:w="156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3 – The Family Home</w:t>
            </w:r>
          </w:p>
        </w:tc>
        <w:tc>
          <w:tcPr>
            <w:tcW w:type="dxa" w:w="360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The house is the biggest thing on your mind</w:t>
            </w:r>
          </w:p>
        </w:tc>
        <w:tc>
          <w:tcPr>
            <w:tcW w:type="dxa" w:w="420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Sale, buyout, Mesher Orders, equity calculation, affordability</w:t>
            </w:r>
          </w:p>
        </w:tc>
      </w:tr>
      <w:tr>
        <w:tc>
          <w:tcPr>
            <w:tcW w:type="dxa" w:w="156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4 – Pensions</w:t>
            </w:r>
          </w:p>
        </w:tc>
        <w:tc>
          <w:tcPr>
            <w:tcW w:type="dxa" w:w="360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You or your spouse have significant pension savings</w:t>
            </w:r>
          </w:p>
        </w:tc>
        <w:tc>
          <w:tcPr>
            <w:tcW w:type="dxa" w:w="420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Pension sharing, offsetting, CETVs, PODE experts, State Pension</w:t>
            </w:r>
          </w:p>
        </w:tc>
      </w:tr>
      <w:tr>
        <w:tc>
          <w:tcPr>
            <w:tcW w:type="dxa" w:w="156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5 – Worked Examples</w:t>
            </w:r>
          </w:p>
        </w:tc>
        <w:tc>
          <w:tcPr>
            <w:tcW w:type="dxa" w:w="360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You want to see how settlements actually look with real figures</w:t>
            </w:r>
          </w:p>
        </w:tc>
        <w:tc>
          <w:tcPr>
            <w:tcW w:type="dxa" w:w="420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Three full illustrated scenarios with breakdowns and tables</w:t>
            </w:r>
          </w:p>
        </w:tc>
      </w:tr>
    </w:tbl>
    <w:p>
      <w:pPr>
        <w:spacing w:before="80" w:after="80"/>
      </w:pPr>
      <w:r>
        <w:t xml:space="preserve"/>
      </w:r>
    </w:p>
    <w:p>
      <w:pPr>
        <w:pStyle w:val="Heading2"/>
        <w:spacing w:before="280" w:after="140"/>
      </w:pPr>
      <w:r>
        <w:rPr>
          <w:rFonts w:ascii="Arial" w:cs="Arial" w:eastAsia="Arial" w:hAnsi="Arial"/>
          <w:b/>
          <w:bCs/>
          <w:color w:val="1B2631"/>
          <w:sz w:val="28"/>
          <w:szCs w:val="28"/>
        </w:rPr>
        <w:t xml:space="preserve">About the Modelling Tool</w:t>
      </w:r>
    </w:p>
    <w:p>
      <w:pPr>
        <w:spacing w:before="80" w:after="140"/>
      </w:pPr>
      <w:r>
        <w:rPr>
          <w:rFonts w:ascii="Arial" w:cs="Arial" w:eastAsia="Arial" w:hAnsi="Arial"/>
          <w:color w:val="1B2631"/>
          <w:sz w:val="22"/>
          <w:szCs w:val="22"/>
        </w:rPr>
        <w:t xml:space="preserve">Throughout this guide you will see references to the free Divorce Financial Scenario Modelling Tool. This is an online calculator that lets you enter your own figures – property value, mortgage balance, pension amounts, savings, and other assets – and explore how different settlement structures affect the financial outcome for both parties.</w:t>
      </w:r>
    </w:p>
    <w:p>
      <w:pPr>
        <w:spacing w:before="80" w:after="140"/>
      </w:pPr>
      <w:r>
        <w:rPr>
          <w:rFonts w:ascii="Arial" w:cs="Arial" w:eastAsia="Arial" w:hAnsi="Arial"/>
          <w:color w:val="1B2631"/>
          <w:sz w:val="22"/>
          <w:szCs w:val="22"/>
        </w:rPr>
        <w:t xml:space="preserve">The tool is free to use and does not require registration. Results are illustrative only: they are based entirely on the figures you enter and simplified assumptions, and they should not be treated as a prediction of what any court would decide or what your settlement will be. Think of it as a way to ask 'what if?' before the formal conversations begin.</w:t>
      </w:r>
    </w:p>
    <w:p>
      <w:pPr>
        <w:pBdr>
          <w:top w:val="thick" w:color="1E8449" w:sz="10"/>
          <w:bottom w:val="thick" w:color="1E8449" w:sz="10"/>
        </w:pBdr>
        <w:shd w:fill="EAFAF1" w:val="clear"/>
        <w:spacing w:before="280" w:after="280"/>
      </w:pPr>
      <w:r>
        <w:rPr>
          <w:rFonts w:ascii="Arial" w:cs="Arial" w:eastAsia="Arial" w:hAnsi="Arial"/>
          <w:b/>
          <w:bCs/>
          <w:color w:val="1E8449"/>
          <w:sz w:val="22"/>
          <w:szCs w:val="22"/>
        </w:rPr>
        <w:t xml:space="preserve">Try the Tool:  </w:t>
      </w:r>
      <w:r>
        <w:rPr>
          <w:rFonts w:ascii="Arial" w:cs="Arial" w:eastAsia="Arial" w:hAnsi="Arial"/>
          <w:i/>
          <w:iCs/>
          <w:color w:val="1E8449"/>
          <w:sz w:val="22"/>
          <w:szCs w:val="22"/>
        </w:rPr>
        <w:t xml:space="preserve">Access the free Divorce Financial Scenario Modelling Tool at divorcemodelling.co.uk</w:t>
      </w:r>
    </w:p>
    <w:p>
      <w:pPr>
        <w:pStyle w:val="Heading2"/>
        <w:spacing w:before="280" w:after="140"/>
      </w:pPr>
      <w:r>
        <w:rPr>
          <w:rFonts w:ascii="Arial" w:cs="Arial" w:eastAsia="Arial" w:hAnsi="Arial"/>
          <w:b/>
          <w:bCs/>
          <w:color w:val="1B2631"/>
          <w:sz w:val="28"/>
          <w:szCs w:val="28"/>
        </w:rPr>
        <w:t xml:space="preserve">A Word on Legal and Financial Advice</w:t>
      </w:r>
    </w:p>
    <w:p>
      <w:pPr>
        <w:spacing w:before="80" w:after="140"/>
      </w:pPr>
      <w:r>
        <w:rPr>
          <w:rFonts w:ascii="Arial" w:cs="Arial" w:eastAsia="Arial" w:hAnsi="Arial"/>
          <w:color w:val="1B2631"/>
          <w:sz w:val="22"/>
          <w:szCs w:val="22"/>
        </w:rPr>
        <w:t xml:space="preserve">This guide explains concepts and illustrates how things work. It is not legal advice, and it is not financial advice. UK divorce law gives courts wide discretion, and individual outcomes vary enormously depending on specific circumstances. The information here is intended to help you understand the landscape and ask better questions – not to replace the advice of a qualified family law solicitor or independent financial adviser.</w:t>
      </w:r>
    </w:p>
    <w:p>
      <w:pPr>
        <w:spacing w:before="80" w:after="140"/>
      </w:pPr>
      <w:r>
        <w:rPr>
          <w:rFonts w:ascii="Arial" w:cs="Arial" w:eastAsia="Arial" w:hAnsi="Arial"/>
          <w:color w:val="1B2631"/>
          <w:sz w:val="22"/>
          <w:szCs w:val="22"/>
        </w:rPr>
        <w:t xml:space="preserve">If you are unsure where to start with legal advice, Resolution (the family law professionals' body) maintains a directory of trained collaborative and mediation-specialist solicitors across the UK. The Family Mediation Council has a similar directory for mediators.</w:t>
      </w:r>
    </w:p>
    <w:p>
      <w:pPr>
        <w:pBdr>
          <w:top w:val="single" w:color="F39C12" w:sz="6"/>
          <w:bottom w:val="single" w:color="F39C12" w:sz="6"/>
        </w:pBdr>
        <w:shd w:fill="FEF9E7" w:val="clear"/>
        <w:spacing w:before="360" w:after="200"/>
      </w:pPr>
      <w:r>
        <w:rPr>
          <w:rFonts w:ascii="Arial" w:cs="Arial" w:eastAsia="Arial" w:hAnsi="Arial"/>
          <w:b/>
          <w:bCs/>
          <w:color w:val="784212"/>
          <w:sz w:val="20"/>
          <w:szCs w:val="20"/>
        </w:rPr>
        <w:t xml:space="preserve">Disclaimer: </w:t>
      </w:r>
      <w:r>
        <w:rPr>
          <w:rFonts w:ascii="Arial" w:cs="Arial" w:eastAsia="Arial" w:hAnsi="Arial"/>
          <w:color w:val="784212"/>
          <w:sz w:val="20"/>
          <w:szCs w:val="20"/>
        </w:rPr>
        <w:t xml:space="preserve">This content is provided for general informational purposes only and does not constitute legal, financial, or investment advice. All figures, scenarios, and examples used throughout this page are illustrative only and are based on simplified general assumptions. Individual circumstances vary significantly. Always seek advice from a qualified family law solicitor and an independent financial adviser before making decisions related to divorce or financial settlements.</w:t>
      </w:r>
    </w:p>
    <w:p>
      <w:r>
        <w:br w:type="page"/>
      </w:r>
    </w:p>
    <w:p>
      <w:pPr>
        <w:pStyle w:val="Heading1"/>
        <w:spacing w:before="360" w:after="180"/>
      </w:pPr>
      <w:r>
        <w:rPr>
          <w:rFonts w:ascii="Arial" w:cs="Arial" w:eastAsia="Arial" w:hAnsi="Arial"/>
          <w:b/>
          <w:bCs/>
          <w:color w:val="1A5276"/>
          <w:sz w:val="40"/>
          <w:szCs w:val="40"/>
        </w:rPr>
        <w:t xml:space="preserve">How Much Does Divorce Cost in the UK?</w:t>
      </w:r>
    </w:p>
    <w:p>
      <w:pPr>
        <w:spacing w:before="80" w:after="200"/>
      </w:pPr>
      <w:r>
        <w:rPr>
          <w:rFonts w:ascii="Arial" w:cs="Arial" w:eastAsia="Arial" w:hAnsi="Arial"/>
          <w:b/>
          <w:bCs/>
          <w:color w:val="5D6D7E"/>
          <w:sz w:val="20"/>
          <w:szCs w:val="20"/>
        </w:rPr>
        <w:t xml:space="preserve">Chapter 1  </w:t>
      </w:r>
      <w:r>
        <w:rPr>
          <w:rFonts w:ascii="Arial" w:cs="Arial" w:eastAsia="Arial" w:hAnsi="Arial"/>
          <w:i/>
          <w:iCs/>
          <w:color w:val="5D6D7E"/>
          <w:sz w:val="20"/>
          <w:szCs w:val="20"/>
        </w:rPr>
        <w:t xml:space="preserve">·  Understanding what divorce actually costs – from court fees to solicitor charges, mediation, and the financial settlement process.</w:t>
      </w:r>
    </w:p>
    <w:p>
      <w:pPr>
        <w:pBdr>
          <w:bottom w:val="single" w:color="AED6F1" w:sz="3" w:space="1"/>
        </w:pBdr>
        <w:spacing w:before="180" w:after="180"/>
      </w:pPr>
      <w:r>
        <w:t xml:space="preserve"/>
      </w:r>
    </w:p>
    <w:p>
      <w:pPr>
        <w:spacing w:before="80" w:after="140"/>
      </w:pPr>
      <w:r>
        <w:rPr>
          <w:rFonts w:ascii="Arial" w:cs="Arial" w:eastAsia="Arial" w:hAnsi="Arial"/>
          <w:color w:val="1B2631"/>
          <w:sz w:val="22"/>
          <w:szCs w:val="22"/>
        </w:rPr>
        <w:t xml:space="preserve">If you are considering divorce, one of the first questions most people ask is: how much will this actually cost? The honest answer is that it depends – and the range can be surprisingly wide. A straightforward, uncontested divorce where both parties agree on everything may involve relatively modest costs, while a contested divorce with disputes over finances, property, pensions, and children can result in significantly higher expenditure.</w:t>
      </w:r>
    </w:p>
    <w:p>
      <w:pPr>
        <w:spacing w:before="80" w:after="140"/>
      </w:pPr>
      <w:r>
        <w:rPr>
          <w:rFonts w:ascii="Arial" w:cs="Arial" w:eastAsia="Arial" w:hAnsi="Arial"/>
          <w:color w:val="1B2631"/>
          <w:sz w:val="22"/>
          <w:szCs w:val="22"/>
        </w:rPr>
        <w:t xml:space="preserve">This guide breaks down the main cost categories associated with divorce in England and Wales, explains what drives costs higher or lower, and sets out what the financial settlement process itself may involve. Scotland and Northern Ireland operate under different legal frameworks, and those considering divorce in those jurisdictions should consult resources specific to Scots law or Northern Irish family law.</w:t>
      </w:r>
    </w:p>
    <w:p>
      <w:pPr>
        <w:pBdr>
          <w:top w:val="single" w:color="2471A3" w:sz="3"/>
          <w:bottom w:val="single" w:color="2471A3" w:sz="3"/>
        </w:pBdr>
        <w:shd w:fill="D6EAF8" w:val="clear"/>
        <w:spacing w:before="160" w:after="160"/>
      </w:pPr>
      <w:r>
        <w:rPr>
          <w:rFonts w:ascii="Arial" w:cs="Arial" w:eastAsia="Arial" w:hAnsi="Arial"/>
          <w:b/>
          <w:bCs/>
          <w:color w:val="2471A3"/>
          <w:sz w:val="22"/>
          <w:szCs w:val="22"/>
        </w:rPr>
        <w:t xml:space="preserve">ℹ  </w:t>
      </w:r>
      <w:r>
        <w:rPr>
          <w:rFonts w:ascii="Arial" w:cs="Arial" w:eastAsia="Arial" w:hAnsi="Arial"/>
          <w:i/>
          <w:iCs/>
          <w:color w:val="2471A3"/>
          <w:sz w:val="21"/>
          <w:szCs w:val="21"/>
        </w:rPr>
        <w:t xml:space="preserve">All figures referenced in this guide are illustrative. Court fees and solicitor rates change over time. Always verify current fees from official sources such as GOV.UK.</w:t>
      </w:r>
    </w:p>
    <w:p>
      <w:pPr>
        <w:pStyle w:val="Heading2"/>
        <w:spacing w:before="280" w:after="140"/>
      </w:pPr>
      <w:r>
        <w:rPr>
          <w:rFonts w:ascii="Arial" w:cs="Arial" w:eastAsia="Arial" w:hAnsi="Arial"/>
          <w:b/>
          <w:bCs/>
          <w:color w:val="1B2631"/>
          <w:sz w:val="28"/>
          <w:szCs w:val="28"/>
        </w:rPr>
        <w:t xml:space="preserve">Court Application Fees in England and Wales</w:t>
      </w:r>
    </w:p>
    <w:p>
      <w:pPr>
        <w:spacing w:before="80" w:after="140"/>
      </w:pPr>
      <w:r>
        <w:rPr>
          <w:rFonts w:ascii="Arial" w:cs="Arial" w:eastAsia="Arial" w:hAnsi="Arial"/>
          <w:color w:val="1B2631"/>
          <w:sz w:val="22"/>
          <w:szCs w:val="22"/>
        </w:rPr>
        <w:t xml:space="preserve">Every divorce in England and Wales begins with an application to the court. Since the introduction of no-fault divorce under the Divorce, Dissolution and Separation Act 2020, either one or both spouses can apply jointly. There is a fee payable at the point of application, set by HM Courts &amp; Tribunals Service.</w:t>
      </w:r>
    </w:p>
    <w:p>
      <w:pPr>
        <w:spacing w:before="80" w:after="140"/>
      </w:pPr>
      <w:r>
        <w:rPr>
          <w:rFonts w:ascii="Arial" w:cs="Arial" w:eastAsia="Arial" w:hAnsi="Arial"/>
          <w:color w:val="1B2631"/>
          <w:sz w:val="22"/>
          <w:szCs w:val="22"/>
        </w:rPr>
        <w:t xml:space="preserve">This fee covers the administrative cost of processing the divorce application. It does not cover any financial remedy proceedings, which are handled separately. To find the current fee, check GOV.UK, as amounts are subject to review.</w:t>
      </w:r>
    </w:p>
    <w:p>
      <w:pPr>
        <w:spacing w:before="80" w:after="140"/>
      </w:pPr>
      <w:r>
        <w:rPr>
          <w:rFonts w:ascii="Arial" w:cs="Arial" w:eastAsia="Arial" w:hAnsi="Arial"/>
          <w:color w:val="1B2631"/>
          <w:sz w:val="22"/>
          <w:szCs w:val="22"/>
        </w:rPr>
        <w:t xml:space="preserve">Some applicants may be entitled to fee remission (a reduction or waiver) if they receive certain benefits or have a low income. The government's Help with Fees scheme sets out the eligibility criteria. Applying for a remission does not affect the divorce application itself.</w:t>
      </w:r>
    </w:p>
    <w:p>
      <w:pPr>
        <w:pBdr>
          <w:top w:val="single" w:color="2471A3" w:sz="3"/>
          <w:bottom w:val="single" w:color="2471A3" w:sz="3"/>
        </w:pBdr>
        <w:shd w:fill="D6EAF8" w:val="clear"/>
        <w:spacing w:before="160" w:after="160"/>
      </w:pPr>
      <w:r>
        <w:rPr>
          <w:rFonts w:ascii="Arial" w:cs="Arial" w:eastAsia="Arial" w:hAnsi="Arial"/>
          <w:b/>
          <w:bCs/>
          <w:color w:val="2471A3"/>
          <w:sz w:val="22"/>
          <w:szCs w:val="22"/>
        </w:rPr>
        <w:t xml:space="preserve">ℹ  </w:t>
      </w:r>
      <w:r>
        <w:rPr>
          <w:rFonts w:ascii="Arial" w:cs="Arial" w:eastAsia="Arial" w:hAnsi="Arial"/>
          <w:i/>
          <w:iCs/>
          <w:color w:val="2471A3"/>
          <w:sz w:val="21"/>
          <w:szCs w:val="21"/>
        </w:rPr>
        <w:t xml:space="preserve">No-fault divorce was introduced in April 2022, removing the requirement to assign blame. This change has made uncontested divorce more straightforward for many couples.</w:t>
      </w:r>
    </w:p>
    <w:p>
      <w:pPr>
        <w:pStyle w:val="Heading2"/>
        <w:spacing w:before="280" w:after="140"/>
      </w:pPr>
      <w:r>
        <w:rPr>
          <w:rFonts w:ascii="Arial" w:cs="Arial" w:eastAsia="Arial" w:hAnsi="Arial"/>
          <w:b/>
          <w:bCs/>
          <w:color w:val="1B2631"/>
          <w:sz w:val="28"/>
          <w:szCs w:val="28"/>
        </w:rPr>
        <w:t xml:space="preserve">Solicitor Fees – What Drives the Cost Up or Down?</w:t>
      </w:r>
    </w:p>
    <w:p>
      <w:pPr>
        <w:spacing w:before="80" w:after="140"/>
      </w:pPr>
      <w:r>
        <w:rPr>
          <w:rFonts w:ascii="Arial" w:cs="Arial" w:eastAsia="Arial" w:hAnsi="Arial"/>
          <w:color w:val="1B2631"/>
          <w:sz w:val="22"/>
          <w:szCs w:val="22"/>
        </w:rPr>
        <w:t xml:space="preserve">Legal representation is not compulsory for every divorce. For straightforward cases where both parties have already agreed on all financial matters, some couples proceed without solicitors or use fixed-fee online divorce services. However, for most divorces involving property, pensions, or any significant financial complexity, legal advice is strongly recommended.</w:t>
      </w:r>
    </w:p>
    <w:p>
      <w:pPr>
        <w:spacing w:before="80" w:after="140"/>
      </w:pPr>
      <w:r>
        <w:rPr>
          <w:rFonts w:ascii="Arial" w:cs="Arial" w:eastAsia="Arial" w:hAnsi="Arial"/>
          <w:color w:val="1B2631"/>
          <w:sz w:val="22"/>
          <w:szCs w:val="22"/>
        </w:rPr>
        <w:t xml:space="preserve">Solicitor fees in the UK are not fixed by law and vary considerably. Key factors that influence overall solicitor costs include:</w:t>
      </w:r>
    </w:p>
    <w:p>
      <w:pPr>
        <w:pStyle w:val="ListParagraph"/>
        <w:numPr>
          <w:ilvl w:val="0"/>
          <w:numId w:val="2"/>
        </w:numPr>
        <w:spacing w:before="60" w:after="60"/>
      </w:pPr>
      <w:r>
        <w:rPr>
          <w:rFonts w:ascii="Arial" w:cs="Arial" w:eastAsia="Arial" w:hAnsi="Arial"/>
          <w:b/>
          <w:bCs/>
          <w:color w:val="1B2631"/>
          <w:sz w:val="22"/>
          <w:szCs w:val="22"/>
        </w:rPr>
        <w:t xml:space="preserve">Hourly rate vs fixed fee: </w:t>
      </w:r>
      <w:r>
        <w:rPr>
          <w:rFonts w:ascii="Arial" w:cs="Arial" w:eastAsia="Arial" w:hAnsi="Arial"/>
          <w:color w:val="1B2631"/>
          <w:sz w:val="22"/>
          <w:szCs w:val="22"/>
        </w:rPr>
        <w:t xml:space="preserve">Some solicitors charge hourly rates; others offer fixed-fee packages for defined services. Hourly rates vary by firm seniority, specialism, and location – London-based firms typically charge more than regional practices.</w:t>
      </w:r>
    </w:p>
    <w:p>
      <w:pPr>
        <w:pStyle w:val="ListParagraph"/>
        <w:numPr>
          <w:ilvl w:val="0"/>
          <w:numId w:val="2"/>
        </w:numPr>
        <w:spacing w:before="60" w:after="60"/>
      </w:pPr>
      <w:r>
        <w:rPr>
          <w:rFonts w:ascii="Arial" w:cs="Arial" w:eastAsia="Arial" w:hAnsi="Arial"/>
          <w:b/>
          <w:bCs/>
          <w:color w:val="1B2631"/>
          <w:sz w:val="22"/>
          <w:szCs w:val="22"/>
        </w:rPr>
        <w:t xml:space="preserve">Whether the divorce is contested: </w:t>
      </w:r>
      <w:r>
        <w:rPr>
          <w:rFonts w:ascii="Arial" w:cs="Arial" w:eastAsia="Arial" w:hAnsi="Arial"/>
          <w:color w:val="1B2631"/>
          <w:sz w:val="22"/>
          <w:szCs w:val="22"/>
        </w:rPr>
        <w:t xml:space="preserve">An uncontested divorce where both parties agree on all matters is considerably less expensive than one where either party disputes financial arrangements or other issues.</w:t>
      </w:r>
    </w:p>
    <w:p>
      <w:pPr>
        <w:pStyle w:val="ListParagraph"/>
        <w:numPr>
          <w:ilvl w:val="0"/>
          <w:numId w:val="2"/>
        </w:numPr>
        <w:spacing w:before="60" w:after="60"/>
      </w:pPr>
      <w:r>
        <w:rPr>
          <w:rFonts w:ascii="Arial" w:cs="Arial" w:eastAsia="Arial" w:hAnsi="Arial"/>
          <w:b/>
          <w:bCs/>
          <w:color w:val="1B2631"/>
          <w:sz w:val="22"/>
          <w:szCs w:val="22"/>
        </w:rPr>
        <w:t xml:space="preserve">Financial settlement complexity: </w:t>
      </w:r>
      <w:r>
        <w:rPr>
          <w:rFonts w:ascii="Arial" w:cs="Arial" w:eastAsia="Arial" w:hAnsi="Arial"/>
          <w:color w:val="1B2631"/>
          <w:sz w:val="22"/>
          <w:szCs w:val="22"/>
        </w:rPr>
        <w:t xml:space="preserve">Cases involving high-value assets, business interests, overseas property, complex pension arrangements, or disputes about contributions require more legal work and typically cost more.</w:t>
      </w:r>
    </w:p>
    <w:p>
      <w:pPr>
        <w:pStyle w:val="ListParagraph"/>
        <w:numPr>
          <w:ilvl w:val="0"/>
          <w:numId w:val="2"/>
        </w:numPr>
        <w:spacing w:before="60" w:after="60"/>
      </w:pPr>
      <w:r>
        <w:rPr>
          <w:rFonts w:ascii="Arial" w:cs="Arial" w:eastAsia="Arial" w:hAnsi="Arial"/>
          <w:b/>
          <w:bCs/>
          <w:color w:val="1B2631"/>
          <w:sz w:val="22"/>
          <w:szCs w:val="22"/>
        </w:rPr>
        <w:t xml:space="preserve">Court attendance: </w:t>
      </w:r>
      <w:r>
        <w:rPr>
          <w:rFonts w:ascii="Arial" w:cs="Arial" w:eastAsia="Arial" w:hAnsi="Arial"/>
          <w:color w:val="1B2631"/>
          <w:sz w:val="22"/>
          <w:szCs w:val="22"/>
        </w:rPr>
        <w:t xml:space="preserve">If financial remedy hearings are required, solicitor costs increase to account for preparation and court time.</w:t>
      </w:r>
    </w:p>
    <w:p>
      <w:pPr>
        <w:pStyle w:val="ListParagraph"/>
        <w:numPr>
          <w:ilvl w:val="0"/>
          <w:numId w:val="2"/>
        </w:numPr>
        <w:spacing w:before="60" w:after="60"/>
      </w:pPr>
      <w:r>
        <w:rPr>
          <w:rFonts w:ascii="Arial" w:cs="Arial" w:eastAsia="Arial" w:hAnsi="Arial"/>
          <w:b/>
          <w:bCs/>
          <w:color w:val="1B2631"/>
          <w:sz w:val="22"/>
          <w:szCs w:val="22"/>
        </w:rPr>
        <w:t xml:space="preserve">Level of cooperation: </w:t>
      </w:r>
      <w:r>
        <w:rPr>
          <w:rFonts w:ascii="Arial" w:cs="Arial" w:eastAsia="Arial" w:hAnsi="Arial"/>
          <w:color w:val="1B2631"/>
          <w:sz w:val="22"/>
          <w:szCs w:val="22"/>
        </w:rPr>
        <w:t xml:space="preserve">Cases where both parties communicate and cooperate constructively tend to cost less than those marked by conflict and repeated correspondence.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ED6F1" w:sz="1"/>
              <w:left w:val="single" w:color="AED6F1" w:sz="1"/>
              <w:bottom w:val="single" w:color="AED6F1" w:sz="1"/>
              <w:right w:val="single" w:color="AED6F1" w:sz="1"/>
            </w:tcBorders>
            <w:shd w:fill="D6EAF8" w:val="clear"/>
            <w:tcMar>
              <w:top w:type="dxa" w:w="100"/>
              <w:left w:type="dxa" w:w="120"/>
              <w:bottom w:type="dxa" w:w="100"/>
              <w:right w:type="dxa" w:w="120"/>
            </w:tcMar>
          </w:tcPr>
          <w:p>
            <w:r>
              <w:rPr>
                <w:rFonts w:ascii="Arial" w:cs="Arial" w:eastAsia="Arial" w:hAnsi="Arial"/>
                <w:b/>
                <w:bCs/>
                <w:color w:val="1B2631"/>
                <w:sz w:val="20"/>
                <w:szCs w:val="20"/>
              </w:rPr>
              <w:t xml:space="preserve">Scenario Type</w:t>
            </w:r>
          </w:p>
        </w:tc>
        <w:tc>
          <w:tcPr>
            <w:tcW w:type="dxa" w:w="4680"/>
            <w:tcBorders>
              <w:top w:val="single" w:color="AED6F1" w:sz="1"/>
              <w:left w:val="single" w:color="AED6F1" w:sz="1"/>
              <w:bottom w:val="single" w:color="AED6F1" w:sz="1"/>
              <w:right w:val="single" w:color="AED6F1" w:sz="1"/>
            </w:tcBorders>
            <w:shd w:fill="D6EAF8" w:val="clear"/>
            <w:tcMar>
              <w:top w:type="dxa" w:w="100"/>
              <w:left w:type="dxa" w:w="120"/>
              <w:bottom w:type="dxa" w:w="100"/>
              <w:right w:type="dxa" w:w="120"/>
            </w:tcMar>
          </w:tcPr>
          <w:p>
            <w:r>
              <w:rPr>
                <w:rFonts w:ascii="Arial" w:cs="Arial" w:eastAsia="Arial" w:hAnsi="Arial"/>
                <w:b/>
                <w:bCs/>
                <w:color w:val="1B2631"/>
                <w:sz w:val="20"/>
                <w:szCs w:val="20"/>
              </w:rPr>
              <w:t xml:space="preserve">Indicative Cost Range (Illustrative Only)</w:t>
            </w:r>
          </w:p>
        </w:tc>
      </w:tr>
      <w:tr>
        <w:tc>
          <w:tcPr>
            <w:tcW w:type="dxa" w:w="468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Uncontested divorce, no financial complexity</w:t>
            </w:r>
          </w:p>
        </w:tc>
        <w:tc>
          <w:tcPr>
            <w:tcW w:type="dxa" w:w="468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Lower end of cost range</w:t>
            </w:r>
          </w:p>
        </w:tc>
      </w:tr>
      <w:tr>
        <w:tc>
          <w:tcPr>
            <w:tcW w:type="dxa" w:w="468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Uncontested with straightforward financial order</w:t>
            </w:r>
          </w:p>
        </w:tc>
        <w:tc>
          <w:tcPr>
            <w:tcW w:type="dxa" w:w="468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Mid range</w:t>
            </w:r>
          </w:p>
        </w:tc>
      </w:tr>
      <w:tr>
        <w:tc>
          <w:tcPr>
            <w:tcW w:type="dxa" w:w="468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Contested financial settlement, some disputes</w:t>
            </w:r>
          </w:p>
        </w:tc>
        <w:tc>
          <w:tcPr>
            <w:tcW w:type="dxa" w:w="468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Mid to upper range</w:t>
            </w:r>
          </w:p>
        </w:tc>
      </w:tr>
      <w:tr>
        <w:tc>
          <w:tcPr>
            <w:tcW w:type="dxa" w:w="468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Highly contested, court hearings required</w:t>
            </w:r>
          </w:p>
        </w:tc>
        <w:tc>
          <w:tcPr>
            <w:tcW w:type="dxa" w:w="468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Upper range and above</w:t>
            </w:r>
          </w:p>
        </w:tc>
      </w:tr>
    </w:tbl>
    <w:p>
      <w:pPr>
        <w:spacing w:before="80" w:after="80"/>
      </w:pPr>
      <w:r>
        <w:t xml:space="preserve"/>
      </w:r>
    </w:p>
    <w:p>
      <w:pPr>
        <w:pBdr>
          <w:top w:val="single" w:color="2471A3" w:sz="3"/>
          <w:bottom w:val="single" w:color="2471A3" w:sz="3"/>
        </w:pBdr>
        <w:shd w:fill="D6EAF8" w:val="clear"/>
        <w:spacing w:before="160" w:after="160"/>
      </w:pPr>
      <w:r>
        <w:rPr>
          <w:rFonts w:ascii="Arial" w:cs="Arial" w:eastAsia="Arial" w:hAnsi="Arial"/>
          <w:b/>
          <w:bCs/>
          <w:color w:val="2471A3"/>
          <w:sz w:val="22"/>
          <w:szCs w:val="22"/>
        </w:rPr>
        <w:t xml:space="preserve">ℹ  </w:t>
      </w:r>
      <w:r>
        <w:rPr>
          <w:rFonts w:ascii="Arial" w:cs="Arial" w:eastAsia="Arial" w:hAnsi="Arial"/>
          <w:i/>
          <w:iCs/>
          <w:color w:val="2471A3"/>
          <w:sz w:val="21"/>
          <w:szCs w:val="21"/>
        </w:rPr>
        <w:t xml:space="preserve">These ranges are illustrative only and not quotes. Actual costs depend heavily on individual circumstances and the solicitors involved. Always request a written costs estimate before engaging a solicitor.</w:t>
      </w:r>
    </w:p>
    <w:p>
      <w:pPr>
        <w:pStyle w:val="Heading2"/>
        <w:spacing w:before="280" w:after="140"/>
      </w:pPr>
      <w:r>
        <w:rPr>
          <w:rFonts w:ascii="Arial" w:cs="Arial" w:eastAsia="Arial" w:hAnsi="Arial"/>
          <w:b/>
          <w:bCs/>
          <w:color w:val="1B2631"/>
          <w:sz w:val="28"/>
          <w:szCs w:val="28"/>
        </w:rPr>
        <w:t xml:space="preserve">Mediation and Alternative Dispute Resolution</w:t>
      </w:r>
    </w:p>
    <w:p>
      <w:pPr>
        <w:spacing w:before="80" w:after="140"/>
      </w:pPr>
      <w:r>
        <w:rPr>
          <w:rFonts w:ascii="Arial" w:cs="Arial" w:eastAsia="Arial" w:hAnsi="Arial"/>
          <w:color w:val="1B2631"/>
          <w:sz w:val="22"/>
          <w:szCs w:val="22"/>
        </w:rPr>
        <w:t xml:space="preserve">Mediation is a process where a trained, neutral mediator helps both parties work through disagreements about financial matters or arrangements for children. It is generally less expensive than going to court and can be effective where both parties are willing to engage constructively.</w:t>
      </w:r>
    </w:p>
    <w:p>
      <w:pPr>
        <w:spacing w:before="80" w:after="140"/>
      </w:pPr>
      <w:r>
        <w:rPr>
          <w:rFonts w:ascii="Arial" w:cs="Arial" w:eastAsia="Arial" w:hAnsi="Arial"/>
          <w:color w:val="1B2631"/>
          <w:sz w:val="22"/>
          <w:szCs w:val="22"/>
        </w:rPr>
        <w:t xml:space="preserve">In England and Wales, most people are required to attend a Mediation Information and Assessment Meeting (MIAM) before making a court application about financial matters, unless an exemption applies (for example, in cases involving domestic abuse). The MIAM is an introductory session to assess whether mediation is suitable.</w:t>
      </w:r>
    </w:p>
    <w:p>
      <w:pPr>
        <w:spacing w:before="80" w:after="140"/>
      </w:pPr>
      <w:r>
        <w:rPr>
          <w:rFonts w:ascii="Arial" w:cs="Arial" w:eastAsia="Arial" w:hAnsi="Arial"/>
          <w:color w:val="1B2631"/>
          <w:sz w:val="22"/>
          <w:szCs w:val="22"/>
        </w:rPr>
        <w:t xml:space="preserve">Mediation costs vary depending on the mediator's fees and the number of sessions required to reach agreement. Some mediators offer sliding scale fees based on income. The Family Mediation Council website provides guidance and a directory of accredited mediators.</w:t>
      </w:r>
    </w:p>
    <w:p>
      <w:pPr>
        <w:spacing w:before="80" w:after="140"/>
      </w:pPr>
      <w:r>
        <w:rPr>
          <w:rFonts w:ascii="Arial" w:cs="Arial" w:eastAsia="Arial" w:hAnsi="Arial"/>
          <w:color w:val="1B2631"/>
          <w:sz w:val="22"/>
          <w:szCs w:val="22"/>
        </w:rPr>
        <w:t xml:space="preserve">Collaborative law is another alternative, where both parties and their respective solicitors commit to resolving matters without going to court. This approach can be cost-effective where it works well, though if the process breaks down and court proceedings become necessary, costs can increase.</w:t>
      </w:r>
    </w:p>
    <w:p>
      <w:pPr>
        <w:pStyle w:val="Heading2"/>
        <w:spacing w:before="280" w:after="140"/>
      </w:pPr>
      <w:r>
        <w:rPr>
          <w:rFonts w:ascii="Arial" w:cs="Arial" w:eastAsia="Arial" w:hAnsi="Arial"/>
          <w:b/>
          <w:bCs/>
          <w:color w:val="1B2631"/>
          <w:sz w:val="28"/>
          <w:szCs w:val="28"/>
        </w:rPr>
        <w:t xml:space="preserve">The Financial Settlement – Separate from the Divorce Itself</w:t>
      </w:r>
    </w:p>
    <w:p>
      <w:pPr>
        <w:spacing w:before="80" w:after="140"/>
      </w:pPr>
      <w:r>
        <w:rPr>
          <w:rFonts w:ascii="Arial" w:cs="Arial" w:eastAsia="Arial" w:hAnsi="Arial"/>
          <w:color w:val="1B2631"/>
          <w:sz w:val="22"/>
          <w:szCs w:val="22"/>
        </w:rPr>
        <w:t xml:space="preserve">It is important to understand that the divorce procedure (ending the marriage) and the financial settlement (dividing assets and income) are two separate legal processes. Many people are surprised to discover that obtaining the divorce itself does not automatically resolve or legally determine how assets are divided.</w:t>
      </w:r>
    </w:p>
    <w:p>
      <w:pPr>
        <w:spacing w:before="80" w:after="140"/>
      </w:pPr>
      <w:r>
        <w:rPr>
          <w:rFonts w:ascii="Arial" w:cs="Arial" w:eastAsia="Arial" w:hAnsi="Arial"/>
          <w:color w:val="1B2631"/>
          <w:sz w:val="22"/>
          <w:szCs w:val="22"/>
        </w:rPr>
        <w:t xml:space="preserve">A financial settlement can cover a wide range of matters including:</w:t>
      </w:r>
    </w:p>
    <w:p>
      <w:pPr>
        <w:pStyle w:val="ListParagraph"/>
        <w:numPr>
          <w:ilvl w:val="0"/>
          <w:numId w:val="2"/>
        </w:numPr>
        <w:spacing w:before="60" w:after="60"/>
      </w:pPr>
      <w:r>
        <w:rPr>
          <w:rFonts w:ascii="Arial" w:cs="Arial" w:eastAsia="Arial" w:hAnsi="Arial"/>
          <w:color w:val="1B2631"/>
          <w:sz w:val="22"/>
          <w:szCs w:val="22"/>
        </w:rPr>
        <w:t xml:space="preserve">Division of equity in the family home and any other property</w:t>
      </w:r>
    </w:p>
    <w:p>
      <w:pPr>
        <w:pStyle w:val="ListParagraph"/>
        <w:numPr>
          <w:ilvl w:val="0"/>
          <w:numId w:val="2"/>
        </w:numPr>
        <w:spacing w:before="60" w:after="60"/>
      </w:pPr>
      <w:r>
        <w:rPr>
          <w:rFonts w:ascii="Arial" w:cs="Arial" w:eastAsia="Arial" w:hAnsi="Arial"/>
          <w:color w:val="1B2631"/>
          <w:sz w:val="22"/>
          <w:szCs w:val="22"/>
        </w:rPr>
        <w:t xml:space="preserve">Pension sharing or pension offsetting arrangements</w:t>
      </w:r>
    </w:p>
    <w:p>
      <w:pPr>
        <w:pStyle w:val="ListParagraph"/>
        <w:numPr>
          <w:ilvl w:val="0"/>
          <w:numId w:val="2"/>
        </w:numPr>
        <w:spacing w:before="60" w:after="60"/>
      </w:pPr>
      <w:r>
        <w:rPr>
          <w:rFonts w:ascii="Arial" w:cs="Arial" w:eastAsia="Arial" w:hAnsi="Arial"/>
          <w:color w:val="1B2631"/>
          <w:sz w:val="22"/>
          <w:szCs w:val="22"/>
        </w:rPr>
        <w:t xml:space="preserve">Division of savings, ISAs, investments, and other financial assets</w:t>
      </w:r>
    </w:p>
    <w:p>
      <w:pPr>
        <w:pStyle w:val="ListParagraph"/>
        <w:numPr>
          <w:ilvl w:val="0"/>
          <w:numId w:val="2"/>
        </w:numPr>
        <w:spacing w:before="60" w:after="60"/>
      </w:pPr>
      <w:r>
        <w:rPr>
          <w:rFonts w:ascii="Arial" w:cs="Arial" w:eastAsia="Arial" w:hAnsi="Arial"/>
          <w:color w:val="1B2631"/>
          <w:sz w:val="22"/>
          <w:szCs w:val="22"/>
        </w:rPr>
        <w:t xml:space="preserve">Business valuations and ownership interests</w:t>
      </w:r>
    </w:p>
    <w:p>
      <w:pPr>
        <w:pStyle w:val="ListParagraph"/>
        <w:numPr>
          <w:ilvl w:val="0"/>
          <w:numId w:val="2"/>
        </w:numPr>
        <w:spacing w:before="60" w:after="60"/>
      </w:pPr>
      <w:r>
        <w:rPr>
          <w:rFonts w:ascii="Arial" w:cs="Arial" w:eastAsia="Arial" w:hAnsi="Arial"/>
          <w:color w:val="1B2631"/>
          <w:sz w:val="22"/>
          <w:szCs w:val="22"/>
        </w:rPr>
        <w:t xml:space="preserve">Spousal maintenance (sometimes called periodical payments)</w:t>
      </w:r>
    </w:p>
    <w:p>
      <w:pPr>
        <w:pStyle w:val="ListParagraph"/>
        <w:numPr>
          <w:ilvl w:val="0"/>
          <w:numId w:val="2"/>
        </w:numPr>
        <w:spacing w:before="60" w:after="60"/>
      </w:pPr>
      <w:r>
        <w:rPr>
          <w:rFonts w:ascii="Arial" w:cs="Arial" w:eastAsia="Arial" w:hAnsi="Arial"/>
          <w:color w:val="1B2631"/>
          <w:sz w:val="22"/>
          <w:szCs w:val="22"/>
        </w:rPr>
        <w:t xml:space="preserve">Child maintenance arrangements (though these are typically handled separately via the Child Maintenance Service)</w:t>
      </w:r>
    </w:p>
    <w:p>
      <w:pPr>
        <w:pStyle w:val="ListParagraph"/>
        <w:numPr>
          <w:ilvl w:val="0"/>
          <w:numId w:val="2"/>
        </w:numPr>
        <w:spacing w:before="60" w:after="60"/>
      </w:pPr>
      <w:r>
        <w:rPr>
          <w:rFonts w:ascii="Arial" w:cs="Arial" w:eastAsia="Arial" w:hAnsi="Arial"/>
          <w:color w:val="1B2631"/>
          <w:sz w:val="22"/>
          <w:szCs w:val="22"/>
        </w:rPr>
        <w:t xml:space="preserve">Lump sum payments from one party to another</w:t>
      </w:r>
    </w:p>
    <w:p>
      <w:pPr>
        <w:spacing w:before="80" w:after="140"/>
      </w:pPr>
      <w:r>
        <w:rPr>
          <w:rFonts w:ascii="Arial" w:cs="Arial" w:eastAsia="Arial" w:hAnsi="Arial"/>
          <w:color w:val="1B2631"/>
          <w:sz w:val="22"/>
          <w:szCs w:val="22"/>
        </w:rPr>
        <w:t xml:space="preserve">Financial settlements are usually formalised in a legally binding document called a Consent Order (if both parties agree) or imposed by the court through a Financial Remedy Order if agreement cannot be reached. Without a Consent Order, former spouses can in theory make financial claims against each other in the future, even after the divorce is finalised.</w:t>
      </w:r>
    </w:p>
    <w:p>
      <w:pPr>
        <w:pStyle w:val="Heading2"/>
        <w:spacing w:before="280" w:after="140"/>
      </w:pPr>
      <w:r>
        <w:rPr>
          <w:rFonts w:ascii="Arial" w:cs="Arial" w:eastAsia="Arial" w:hAnsi="Arial"/>
          <w:b/>
          <w:bCs/>
          <w:color w:val="1B2631"/>
          <w:sz w:val="28"/>
          <w:szCs w:val="28"/>
        </w:rPr>
        <w:t xml:space="preserve">What Is a Clean Break Order?</w:t>
      </w:r>
    </w:p>
    <w:p>
      <w:pPr>
        <w:spacing w:before="80" w:after="140"/>
      </w:pPr>
      <w:r>
        <w:rPr>
          <w:rFonts w:ascii="Arial" w:cs="Arial" w:eastAsia="Arial" w:hAnsi="Arial"/>
          <w:color w:val="1B2631"/>
          <w:sz w:val="22"/>
          <w:szCs w:val="22"/>
        </w:rPr>
        <w:t xml:space="preserve">A clean break order is a specific type of financial remedy order that severs all financial ties between former spouses. Once a clean break order is in place, neither party can make future financial claims against the other. Not every case is suitable for a clean break arrangement – for example, where one party will need ongoing financial support – but where circumstances allow, many couples aim for a clean break to achieve financial certainty going forward.</w:t>
      </w:r>
    </w:p>
    <w:p>
      <w:pPr>
        <w:pStyle w:val="Heading2"/>
        <w:spacing w:before="280" w:after="140"/>
      </w:pPr>
      <w:r>
        <w:rPr>
          <w:rFonts w:ascii="Arial" w:cs="Arial" w:eastAsia="Arial" w:hAnsi="Arial"/>
          <w:b/>
          <w:bCs/>
          <w:color w:val="1B2631"/>
          <w:sz w:val="28"/>
          <w:szCs w:val="28"/>
        </w:rPr>
        <w:t xml:space="preserve">How Understanding Financial Outcomes Can Help Before Costs Escalate</w:t>
      </w:r>
    </w:p>
    <w:p>
      <w:pPr>
        <w:spacing w:before="80" w:after="140"/>
      </w:pPr>
      <w:r>
        <w:rPr>
          <w:rFonts w:ascii="Arial" w:cs="Arial" w:eastAsia="Arial" w:hAnsi="Arial"/>
          <w:color w:val="1B2631"/>
          <w:sz w:val="22"/>
          <w:szCs w:val="22"/>
        </w:rPr>
        <w:t xml:space="preserve">One of the most useful steps anyone can take early in the divorce process is to develop a clear picture of their own financial position and how different settlement structures might affect it. This can help inform discussions with solicitors, reduce the time spent in negotiations, and ensure that legal advice is sought on matters that genuinely require it rather than on questions that could be clarified beforehand.</w:t>
      </w:r>
    </w:p>
    <w:p>
      <w:pPr>
        <w:pBdr>
          <w:top w:val="thick" w:color="1E8449" w:sz="10"/>
          <w:bottom w:val="thick" w:color="1E8449" w:sz="10"/>
        </w:pBdr>
        <w:shd w:fill="EAFAF1" w:val="clear"/>
        <w:spacing w:before="280" w:after="280"/>
      </w:pPr>
      <w:r>
        <w:rPr>
          <w:rFonts w:ascii="Arial" w:cs="Arial" w:eastAsia="Arial" w:hAnsi="Arial"/>
          <w:b/>
          <w:bCs/>
          <w:color w:val="1E8449"/>
          <w:sz w:val="22"/>
          <w:szCs w:val="22"/>
        </w:rPr>
        <w:t xml:space="preserve">Try the Tool:  </w:t>
      </w:r>
      <w:r>
        <w:rPr>
          <w:rFonts w:ascii="Arial" w:cs="Arial" w:eastAsia="Arial" w:hAnsi="Arial"/>
          <w:i/>
          <w:iCs/>
          <w:color w:val="1E8449"/>
          <w:sz w:val="22"/>
          <w:szCs w:val="22"/>
        </w:rPr>
        <w:t xml:space="preserve">You can use the free Divorce Financial Scenario Modelling Tool to enter your own figures – property values, mortgage balances, pension amounts, savings, and other assets – and explore how different split assumptions affect your illustrative financial position. All outputs are based on your inputs and are for illustrative purposes only.</w:t>
      </w:r>
    </w:p>
    <w:p>
      <w:pPr>
        <w:pStyle w:val="Heading2"/>
        <w:spacing w:before="280" w:after="140"/>
      </w:pPr>
      <w:r>
        <w:rPr>
          <w:rFonts w:ascii="Arial" w:cs="Arial" w:eastAsia="Arial" w:hAnsi="Arial"/>
          <w:b/>
          <w:bCs/>
          <w:color w:val="1B2631"/>
          <w:sz w:val="28"/>
          <w:szCs w:val="28"/>
        </w:rPr>
        <w:t xml:space="preserve">Frequently Asked Questions</w:t>
      </w:r>
    </w:p>
    <w:p>
      <w:pPr>
        <w:spacing w:before="220" w:after="80"/>
      </w:pPr>
      <w:r>
        <w:rPr>
          <w:rFonts w:ascii="Arial" w:cs="Arial" w:eastAsia="Arial" w:hAnsi="Arial"/>
          <w:b/>
          <w:bCs/>
          <w:color w:val="1A5276"/>
          <w:sz w:val="23"/>
          <w:szCs w:val="23"/>
        </w:rPr>
        <w:t xml:space="preserve">Q: What is the court fee for divorce in England and Wales?</w:t>
      </w:r>
    </w:p>
    <w:p>
      <w:pPr>
        <w:spacing w:before="60" w:after="160"/>
      </w:pPr>
      <w:r>
        <w:rPr>
          <w:rFonts w:ascii="Arial" w:cs="Arial" w:eastAsia="Arial" w:hAnsi="Arial"/>
          <w:color w:val="1B2631"/>
          <w:sz w:val="22"/>
          <w:szCs w:val="22"/>
        </w:rPr>
        <w:t xml:space="preserve">A fee is payable when submitting a divorce application to the court in England and Wales. The amount is set by HM Courts &amp; Tribunals Service and is subject to change. Applicants on low incomes may be eligible to apply for fee remission under the Help with Fees scheme. The current fee should always be confirmed on GOV.UK before applying.</w:t>
      </w:r>
    </w:p>
    <w:p>
      <w:pPr>
        <w:spacing w:before="220" w:after="80"/>
      </w:pPr>
      <w:r>
        <w:rPr>
          <w:rFonts w:ascii="Arial" w:cs="Arial" w:eastAsia="Arial" w:hAnsi="Arial"/>
          <w:b/>
          <w:bCs/>
          <w:color w:val="1A5276"/>
          <w:sz w:val="23"/>
          <w:szCs w:val="23"/>
        </w:rPr>
        <w:t xml:space="preserve">Q: Do both spouses have to pay divorce costs?</w:t>
      </w:r>
    </w:p>
    <w:p>
      <w:pPr>
        <w:spacing w:before="60" w:after="160"/>
      </w:pPr>
      <w:r>
        <w:rPr>
          <w:rFonts w:ascii="Arial" w:cs="Arial" w:eastAsia="Arial" w:hAnsi="Arial"/>
          <w:color w:val="1B2631"/>
          <w:sz w:val="22"/>
          <w:szCs w:val="22"/>
        </w:rPr>
        <w:t xml:space="preserve">Since no-fault divorce was introduced in 2022, couples can apply jointly and may choose to share the court fee. In contested proceedings, a court can make a costs order requiring one party to contribute to the other's legal costs, though this is not automatic. In many cases, each party bears their own legal costs unless otherwise agreed or ordered.</w:t>
      </w:r>
    </w:p>
    <w:p>
      <w:pPr>
        <w:spacing w:before="220" w:after="80"/>
      </w:pPr>
      <w:r>
        <w:rPr>
          <w:rFonts w:ascii="Arial" w:cs="Arial" w:eastAsia="Arial" w:hAnsi="Arial"/>
          <w:b/>
          <w:bCs/>
          <w:color w:val="1A5276"/>
          <w:sz w:val="23"/>
          <w:szCs w:val="23"/>
        </w:rPr>
        <w:t xml:space="preserve">Q: How much do divorce solicitors charge in the UK?</w:t>
      </w:r>
    </w:p>
    <w:p>
      <w:pPr>
        <w:spacing w:before="60" w:after="160"/>
      </w:pPr>
      <w:r>
        <w:rPr>
          <w:rFonts w:ascii="Arial" w:cs="Arial" w:eastAsia="Arial" w:hAnsi="Arial"/>
          <w:color w:val="1B2631"/>
          <w:sz w:val="22"/>
          <w:szCs w:val="22"/>
        </w:rPr>
        <w:t xml:space="preserve">Solicitor fees vary widely and are not fixed by regulation. Costs depend on the complexity of the case, whether the divorce is contested, the level of assets involved, and the individual firm and solicitor. Fixed-fee services are available for straightforward cases. Always request a written estimate of costs at the outset and ask for regular updates if circumstances change.</w:t>
      </w:r>
    </w:p>
    <w:p>
      <w:pPr>
        <w:spacing w:before="220" w:after="80"/>
      </w:pPr>
      <w:r>
        <w:rPr>
          <w:rFonts w:ascii="Arial" w:cs="Arial" w:eastAsia="Arial" w:hAnsi="Arial"/>
          <w:b/>
          <w:bCs/>
          <w:color w:val="1A5276"/>
          <w:sz w:val="23"/>
          <w:szCs w:val="23"/>
        </w:rPr>
        <w:t xml:space="preserve">Q: Can divorce costs be reduced?</w:t>
      </w:r>
    </w:p>
    <w:p>
      <w:pPr>
        <w:spacing w:before="60" w:after="160"/>
      </w:pPr>
      <w:r>
        <w:rPr>
          <w:rFonts w:ascii="Arial" w:cs="Arial" w:eastAsia="Arial" w:hAnsi="Arial"/>
          <w:color w:val="1B2631"/>
          <w:sz w:val="22"/>
          <w:szCs w:val="22"/>
        </w:rPr>
        <w:t xml:space="preserve">Yes. Costs can often be reduced where both parties cooperate and reach agreement without the need for court hearings. Mediation, collaborative law, and online divorce services may all help manage costs for suitable cases. Arriving at legal appointments well prepared – with a clear understanding of assets and financial positions – can also reduce the time and therefore cost of professional advice.</w:t>
      </w:r>
    </w:p>
    <w:p>
      <w:pPr>
        <w:spacing w:before="220" w:after="80"/>
      </w:pPr>
      <w:r>
        <w:rPr>
          <w:rFonts w:ascii="Arial" w:cs="Arial" w:eastAsia="Arial" w:hAnsi="Arial"/>
          <w:b/>
          <w:bCs/>
          <w:color w:val="1A5276"/>
          <w:sz w:val="23"/>
          <w:szCs w:val="23"/>
        </w:rPr>
        <w:t xml:space="preserve">Q: Is divorce law the same across the whole of the UK?</w:t>
      </w:r>
    </w:p>
    <w:p>
      <w:pPr>
        <w:spacing w:before="60" w:after="160"/>
      </w:pPr>
      <w:r>
        <w:rPr>
          <w:rFonts w:ascii="Arial" w:cs="Arial" w:eastAsia="Arial" w:hAnsi="Arial"/>
          <w:color w:val="1B2631"/>
          <w:sz w:val="22"/>
          <w:szCs w:val="22"/>
        </w:rPr>
        <w:t xml:space="preserve">No. England and Wales, Scotland, and Northern Ireland each have separate legal systems. The no-fault divorce reforms introduced in 2022 apply to England and Wales. Scotland has its own divorce law under the Family Law (Scotland) Act 1985, and different financial rules apply. Northern Ireland operates under separate legislation. This guide relates to England and Wales only.</w:t>
      </w:r>
    </w:p>
    <w:p>
      <w:pPr>
        <w:spacing w:before="220" w:after="80"/>
      </w:pPr>
      <w:r>
        <w:rPr>
          <w:rFonts w:ascii="Arial" w:cs="Arial" w:eastAsia="Arial" w:hAnsi="Arial"/>
          <w:b/>
          <w:bCs/>
          <w:color w:val="1A5276"/>
          <w:sz w:val="23"/>
          <w:szCs w:val="23"/>
        </w:rPr>
        <w:t xml:space="preserve">Q: What is a Consent Order and why does it matter?</w:t>
      </w:r>
    </w:p>
    <w:p>
      <w:pPr>
        <w:spacing w:before="60" w:after="160"/>
      </w:pPr>
      <w:r>
        <w:rPr>
          <w:rFonts w:ascii="Arial" w:cs="Arial" w:eastAsia="Arial" w:hAnsi="Arial"/>
          <w:color w:val="1B2631"/>
          <w:sz w:val="22"/>
          <w:szCs w:val="22"/>
        </w:rPr>
        <w:t xml:space="preserve">A Consent Order is a legally binding document approved by a court that records the agreed financial settlement between divorcing spouses. Without a Consent Order, financial claims can in theory be made in the future even after the divorce is finalised. A Consent Order provides legal certainty and a clean break from future claims. Solicitors strongly recommend obtaining one even where both parties are in full agreement.</w:t>
      </w:r>
    </w:p>
    <w:p>
      <w:pPr>
        <w:pBdr>
          <w:top w:val="single" w:color="F39C12" w:sz="6"/>
          <w:bottom w:val="single" w:color="F39C12" w:sz="6"/>
        </w:pBdr>
        <w:shd w:fill="FEF9E7" w:val="clear"/>
        <w:spacing w:before="360" w:after="200"/>
      </w:pPr>
      <w:r>
        <w:rPr>
          <w:rFonts w:ascii="Arial" w:cs="Arial" w:eastAsia="Arial" w:hAnsi="Arial"/>
          <w:b/>
          <w:bCs/>
          <w:color w:val="784212"/>
          <w:sz w:val="20"/>
          <w:szCs w:val="20"/>
        </w:rPr>
        <w:t xml:space="preserve">Disclaimer: </w:t>
      </w:r>
      <w:r>
        <w:rPr>
          <w:rFonts w:ascii="Arial" w:cs="Arial" w:eastAsia="Arial" w:hAnsi="Arial"/>
          <w:color w:val="784212"/>
          <w:sz w:val="20"/>
          <w:szCs w:val="20"/>
        </w:rPr>
        <w:t xml:space="preserve">This content is provided for general informational purposes only and does not constitute legal, financial, or investment advice. All figures, scenarios, and examples used throughout this page are illustrative only and are based on simplified general assumptions. Individual circumstances vary significantly. Always seek advice from a qualified family law solicitor and an independent financial adviser before making decisions related to divorce or financial settlements.</w:t>
      </w:r>
    </w:p>
    <w:p>
      <w:pPr>
        <w:pBdr>
          <w:bottom w:val="single" w:color="AED6F1" w:sz="3" w:space="1"/>
        </w:pBdr>
        <w:spacing w:before="180" w:after="180"/>
      </w:pPr>
      <w:r>
        <w:t xml:space="preserve"/>
      </w:r>
    </w:p>
    <w:p>
      <w:r>
        <w:br w:type="page"/>
      </w:r>
    </w:p>
    <w:p>
      <w:pPr>
        <w:pStyle w:val="Heading1"/>
        <w:spacing w:before="360" w:after="180"/>
      </w:pPr>
      <w:r>
        <w:rPr>
          <w:rFonts w:ascii="Arial" w:cs="Arial" w:eastAsia="Arial" w:hAnsi="Arial"/>
          <w:b/>
          <w:bCs/>
          <w:color w:val="1A5276"/>
          <w:sz w:val="40"/>
          <w:szCs w:val="40"/>
        </w:rPr>
        <w:t xml:space="preserve">How Are Divorce Financial Settlements Worked Out in the UK?</w:t>
      </w:r>
    </w:p>
    <w:p>
      <w:pPr>
        <w:spacing w:before="80" w:after="200"/>
      </w:pPr>
      <w:r>
        <w:rPr>
          <w:rFonts w:ascii="Arial" w:cs="Arial" w:eastAsia="Arial" w:hAnsi="Arial"/>
          <w:b/>
          <w:bCs/>
          <w:color w:val="5D6D7E"/>
          <w:sz w:val="20"/>
          <w:szCs w:val="20"/>
        </w:rPr>
        <w:t xml:space="preserve">Chapter 2  </w:t>
      </w:r>
      <w:r>
        <w:rPr>
          <w:rFonts w:ascii="Arial" w:cs="Arial" w:eastAsia="Arial" w:hAnsi="Arial"/>
          <w:i/>
          <w:iCs/>
          <w:color w:val="5D6D7E"/>
          <w:sz w:val="20"/>
          <w:szCs w:val="20"/>
        </w:rPr>
        <w:t xml:space="preserve">·  A plain-English guide to how assets are divided in a UK divorce – and how to explore what different settlements might mean for you.</w:t>
      </w:r>
    </w:p>
    <w:p>
      <w:pPr>
        <w:pBdr>
          <w:bottom w:val="single" w:color="AED6F1" w:sz="3" w:space="1"/>
        </w:pBdr>
        <w:spacing w:before="180" w:after="180"/>
      </w:pPr>
      <w:r>
        <w:t xml:space="preserve"/>
      </w:r>
    </w:p>
    <w:p>
      <w:pPr>
        <w:spacing w:before="80" w:after="140"/>
      </w:pPr>
      <w:r>
        <w:rPr>
          <w:rFonts w:ascii="Arial" w:cs="Arial" w:eastAsia="Arial" w:hAnsi="Arial"/>
          <w:color w:val="1B2631"/>
          <w:sz w:val="22"/>
          <w:szCs w:val="22"/>
        </w:rPr>
        <w:t xml:space="preserve">When a marriage ends, one of the most significant challenges facing both parties is reaching agreement on how to divide the assets and financial resources built up during the relationship. In England and Wales, this process – known as financial settlement or financial remedy – can involve a wide range of asset types and can be considerably more complex than many people anticipate.</w:t>
      </w:r>
    </w:p>
    <w:p>
      <w:pPr>
        <w:spacing w:before="80" w:after="140"/>
      </w:pPr>
      <w:r>
        <w:rPr>
          <w:rFonts w:ascii="Arial" w:cs="Arial" w:eastAsia="Arial" w:hAnsi="Arial"/>
          <w:color w:val="1B2631"/>
          <w:sz w:val="22"/>
          <w:szCs w:val="22"/>
        </w:rPr>
        <w:t xml:space="preserve">There is no single formula applied to every divorce. Courts in England and Wales have wide discretion under the Matrimonial Causes Act 1973, and the outcome in any given case depends on the full facts and circumstances. What this means in practice is that two couples with broadly similar assets may reach very different settlements, depending on their respective needs, contributions, and the structure of their agreement.</w:t>
      </w:r>
    </w:p>
    <w:p>
      <w:pPr>
        <w:spacing w:before="80" w:after="140"/>
      </w:pPr>
      <w:r>
        <w:rPr>
          <w:rFonts w:ascii="Arial" w:cs="Arial" w:eastAsia="Arial" w:hAnsi="Arial"/>
          <w:color w:val="1B2631"/>
          <w:sz w:val="22"/>
          <w:szCs w:val="22"/>
        </w:rPr>
        <w:t xml:space="preserve">This guide explains which assets are typically considered, how the division process generally works, and how using a modelling tool can help individuals understand how different assumptions and percentage splits affect the overall financial picture.</w:t>
      </w:r>
    </w:p>
    <w:p>
      <w:pPr>
        <w:pStyle w:val="Heading2"/>
        <w:spacing w:before="280" w:after="140"/>
      </w:pPr>
      <w:r>
        <w:rPr>
          <w:rFonts w:ascii="Arial" w:cs="Arial" w:eastAsia="Arial" w:hAnsi="Arial"/>
          <w:b/>
          <w:bCs/>
          <w:color w:val="1B2631"/>
          <w:sz w:val="28"/>
          <w:szCs w:val="28"/>
        </w:rPr>
        <w:t xml:space="preserve">What Assets Are Typically Considered in a UK Divorce Settlement?</w:t>
      </w:r>
    </w:p>
    <w:p>
      <w:pPr>
        <w:spacing w:before="80" w:after="140"/>
      </w:pPr>
      <w:r>
        <w:rPr>
          <w:rFonts w:ascii="Arial" w:cs="Arial" w:eastAsia="Arial" w:hAnsi="Arial"/>
          <w:color w:val="1B2631"/>
          <w:sz w:val="22"/>
          <w:szCs w:val="22"/>
        </w:rPr>
        <w:t xml:space="preserve">Divorce financial settlements in England and Wales are not limited to jointly held assets. Both matrimonial and, in some circumstances, non-matrimonial assets may come into consideration. The following are the main categories typically addressed: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AED6F1" w:sz="1"/>
              <w:left w:val="single" w:color="AED6F1" w:sz="1"/>
              <w:bottom w:val="single" w:color="AED6F1" w:sz="1"/>
              <w:right w:val="single" w:color="AED6F1" w:sz="1"/>
            </w:tcBorders>
            <w:shd w:fill="D6EAF8" w:val="clear"/>
            <w:tcMar>
              <w:top w:type="dxa" w:w="100"/>
              <w:left w:type="dxa" w:w="120"/>
              <w:bottom w:type="dxa" w:w="100"/>
              <w:right w:type="dxa" w:w="120"/>
            </w:tcMar>
          </w:tcPr>
          <w:p>
            <w:r>
              <w:rPr>
                <w:rFonts w:ascii="Arial" w:cs="Arial" w:eastAsia="Arial" w:hAnsi="Arial"/>
                <w:b/>
                <w:bCs/>
                <w:color w:val="1B2631"/>
                <w:sz w:val="20"/>
                <w:szCs w:val="20"/>
              </w:rPr>
              <w:t xml:space="preserve">Asset Category</w:t>
            </w:r>
          </w:p>
        </w:tc>
        <w:tc>
          <w:tcPr>
            <w:tcW w:type="dxa" w:w="5760"/>
            <w:tcBorders>
              <w:top w:val="single" w:color="AED6F1" w:sz="1"/>
              <w:left w:val="single" w:color="AED6F1" w:sz="1"/>
              <w:bottom w:val="single" w:color="AED6F1" w:sz="1"/>
              <w:right w:val="single" w:color="AED6F1" w:sz="1"/>
            </w:tcBorders>
            <w:shd w:fill="D6EAF8" w:val="clear"/>
            <w:tcMar>
              <w:top w:type="dxa" w:w="100"/>
              <w:left w:type="dxa" w:w="120"/>
              <w:bottom w:type="dxa" w:w="100"/>
              <w:right w:type="dxa" w:w="120"/>
            </w:tcMar>
          </w:tcPr>
          <w:p>
            <w:r>
              <w:rPr>
                <w:rFonts w:ascii="Arial" w:cs="Arial" w:eastAsia="Arial" w:hAnsi="Arial"/>
                <w:b/>
                <w:bCs/>
                <w:color w:val="1B2631"/>
                <w:sz w:val="20"/>
                <w:szCs w:val="20"/>
              </w:rPr>
              <w:t xml:space="preserve">Notes</w:t>
            </w:r>
          </w:p>
        </w:tc>
      </w:tr>
      <w:tr>
        <w:tc>
          <w:tcPr>
            <w:tcW w:type="dxa" w:w="360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Family home and other property</w:t>
            </w:r>
          </w:p>
        </w:tc>
        <w:tc>
          <w:tcPr>
            <w:tcW w:type="dxa" w:w="576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Usually the largest single asset. Equity (value minus mortgage) is subject to division.</w:t>
            </w:r>
          </w:p>
        </w:tc>
      </w:tr>
      <w:tr>
        <w:tc>
          <w:tcPr>
            <w:tcW w:type="dxa" w:w="360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Pensions</w:t>
            </w:r>
          </w:p>
        </w:tc>
        <w:tc>
          <w:tcPr>
            <w:tcW w:type="dxa" w:w="576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Often one of the most significant assets, particularly for older couples. CETV used for comparison purposes.</w:t>
            </w:r>
          </w:p>
        </w:tc>
      </w:tr>
      <w:tr>
        <w:tc>
          <w:tcPr>
            <w:tcW w:type="dxa" w:w="360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Savings and bank accounts</w:t>
            </w:r>
          </w:p>
        </w:tc>
        <w:tc>
          <w:tcPr>
            <w:tcW w:type="dxa" w:w="576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Includes individual and joint accounts, cash ISAs, and other deposit-based savings.</w:t>
            </w:r>
          </w:p>
        </w:tc>
      </w:tr>
      <w:tr>
        <w:tc>
          <w:tcPr>
            <w:tcW w:type="dxa" w:w="360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Investments and shares</w:t>
            </w:r>
          </w:p>
        </w:tc>
        <w:tc>
          <w:tcPr>
            <w:tcW w:type="dxa" w:w="576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Stocks, shares ISAs, investment portfolios, and other market-based holdings.</w:t>
            </w:r>
          </w:p>
        </w:tc>
      </w:tr>
      <w:tr>
        <w:tc>
          <w:tcPr>
            <w:tcW w:type="dxa" w:w="360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Business interests</w:t>
            </w:r>
          </w:p>
        </w:tc>
        <w:tc>
          <w:tcPr>
            <w:tcW w:type="dxa" w:w="576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Where one or both parties own or co-own a business, professional valuation is typically required.</w:t>
            </w:r>
          </w:p>
        </w:tc>
      </w:tr>
      <w:tr>
        <w:tc>
          <w:tcPr>
            <w:tcW w:type="dxa" w:w="360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Life insurance policies</w:t>
            </w:r>
          </w:p>
        </w:tc>
        <w:tc>
          <w:tcPr>
            <w:tcW w:type="dxa" w:w="576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Surrender values of whole-of-life policies may be considered.</w:t>
            </w:r>
          </w:p>
        </w:tc>
      </w:tr>
      <w:tr>
        <w:tc>
          <w:tcPr>
            <w:tcW w:type="dxa" w:w="360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Inheritance and gifts</w:t>
            </w:r>
          </w:p>
        </w:tc>
        <w:tc>
          <w:tcPr>
            <w:tcW w:type="dxa" w:w="576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Treatment of pre-marital or inherited assets can vary and is often contested.</w:t>
            </w:r>
          </w:p>
        </w:tc>
      </w:tr>
      <w:tr>
        <w:tc>
          <w:tcPr>
            <w:tcW w:type="dxa" w:w="360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Debts and liabilities</w:t>
            </w:r>
          </w:p>
        </w:tc>
        <w:tc>
          <w:tcPr>
            <w:tcW w:type="dxa" w:w="576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Outstanding mortgages, loans, and credit card balances reduce the net asset pool.</w:t>
            </w:r>
          </w:p>
        </w:tc>
      </w:tr>
    </w:tbl>
    <w:p>
      <w:pPr>
        <w:spacing w:before="80" w:after="80"/>
      </w:pPr>
      <w:r>
        <w:t xml:space="preserve"/>
      </w:r>
    </w:p>
    <w:p>
      <w:pPr>
        <w:pBdr>
          <w:top w:val="single" w:color="2471A3" w:sz="3"/>
          <w:bottom w:val="single" w:color="2471A3" w:sz="3"/>
        </w:pBdr>
        <w:shd w:fill="D6EAF8" w:val="clear"/>
        <w:spacing w:before="160" w:after="160"/>
      </w:pPr>
      <w:r>
        <w:rPr>
          <w:rFonts w:ascii="Arial" w:cs="Arial" w:eastAsia="Arial" w:hAnsi="Arial"/>
          <w:b/>
          <w:bCs/>
          <w:color w:val="2471A3"/>
          <w:sz w:val="22"/>
          <w:szCs w:val="22"/>
        </w:rPr>
        <w:t xml:space="preserve">ℹ  </w:t>
      </w:r>
      <w:r>
        <w:rPr>
          <w:rFonts w:ascii="Arial" w:cs="Arial" w:eastAsia="Arial" w:hAnsi="Arial"/>
          <w:i/>
          <w:iCs/>
          <w:color w:val="2471A3"/>
          <w:sz w:val="21"/>
          <w:szCs w:val="21"/>
        </w:rPr>
        <w:t xml:space="preserve">In England and Wales, courts consider the 'section 25 factors' when deciding how assets should be divided. These include the financial needs of each party, the welfare of any children, contributions made to the marriage, and the standard of living enjoyed during the marriage, among others.</w:t>
      </w:r>
    </w:p>
    <w:p>
      <w:pPr>
        <w:pStyle w:val="Heading2"/>
        <w:spacing w:before="280" w:after="140"/>
      </w:pPr>
      <w:r>
        <w:rPr>
          <w:rFonts w:ascii="Arial" w:cs="Arial" w:eastAsia="Arial" w:hAnsi="Arial"/>
          <w:b/>
          <w:bCs/>
          <w:color w:val="1B2631"/>
          <w:sz w:val="28"/>
          <w:szCs w:val="28"/>
        </w:rPr>
        <w:t xml:space="preserve">Matrimonial vs Non-Matrimonial Assets – Does the Distinction Matter?</w:t>
      </w:r>
    </w:p>
    <w:p>
      <w:pPr>
        <w:spacing w:before="80" w:after="140"/>
      </w:pPr>
      <w:r>
        <w:rPr>
          <w:rFonts w:ascii="Arial" w:cs="Arial" w:eastAsia="Arial" w:hAnsi="Arial"/>
          <w:color w:val="1B2631"/>
          <w:sz w:val="22"/>
          <w:szCs w:val="22"/>
        </w:rPr>
        <w:t xml:space="preserve">Courts in England and Wales make a distinction between matrimonial assets (those accumulated during the marriage) and non-matrimonial assets (those owned before the marriage or received as inheritance or gift). In practice, this distinction may influence how assets are treated, particularly in shorter marriages or cases involving substantial pre-marital wealth.</w:t>
      </w:r>
    </w:p>
    <w:p>
      <w:pPr>
        <w:spacing w:before="80" w:after="140"/>
      </w:pPr>
      <w:r>
        <w:rPr>
          <w:rFonts w:ascii="Arial" w:cs="Arial" w:eastAsia="Arial" w:hAnsi="Arial"/>
          <w:color w:val="1B2631"/>
          <w:sz w:val="22"/>
          <w:szCs w:val="22"/>
        </w:rPr>
        <w:t xml:space="preserve">However, non-matrimonial assets are not automatically excluded from a settlement. If one party's needs cannot be met from matrimonial assets alone, the court may take non-matrimonial property into account. This is a complex area of law and one where specialist legal advice is particularly valuable.</w:t>
      </w:r>
    </w:p>
    <w:p>
      <w:pPr>
        <w:pStyle w:val="Heading2"/>
        <w:spacing w:before="280" w:after="140"/>
      </w:pPr>
      <w:r>
        <w:rPr>
          <w:rFonts w:ascii="Arial" w:cs="Arial" w:eastAsia="Arial" w:hAnsi="Arial"/>
          <w:b/>
          <w:bCs/>
          <w:color w:val="1B2631"/>
          <w:sz w:val="28"/>
          <w:szCs w:val="28"/>
        </w:rPr>
        <w:t xml:space="preserve">How Does the Asset Division Process Work in Practice?</w:t>
      </w:r>
    </w:p>
    <w:p>
      <w:pPr>
        <w:spacing w:before="80" w:after="140"/>
      </w:pPr>
      <w:r>
        <w:rPr>
          <w:rFonts w:ascii="Arial" w:cs="Arial" w:eastAsia="Arial" w:hAnsi="Arial"/>
          <w:color w:val="1B2631"/>
          <w:sz w:val="22"/>
          <w:szCs w:val="22"/>
        </w:rPr>
        <w:t xml:space="preserve">Most financial settlements in England and Wales are reached by agreement between the parties rather than decided by a court. The process typically involves several stages:</w:t>
      </w:r>
    </w:p>
    <w:p>
      <w:pPr>
        <w:pStyle w:val="ListParagraph"/>
        <w:numPr>
          <w:ilvl w:val="0"/>
          <w:numId w:val="3"/>
        </w:numPr>
        <w:spacing w:before="80" w:after="60"/>
      </w:pPr>
      <w:r>
        <w:rPr>
          <w:rFonts w:ascii="Arial" w:cs="Arial" w:eastAsia="Arial" w:hAnsi="Arial"/>
          <w:sz w:val="22"/>
          <w:szCs w:val="22"/>
        </w:rPr>
        <w:t xml:space="preserve">Financial disclosure – Both parties provide full, transparent disclosure of their assets, income, and liabilities, usually through a Form E financial statement.</w:t>
      </w:r>
    </w:p>
    <w:p>
      <w:pPr>
        <w:pStyle w:val="ListParagraph"/>
        <w:numPr>
          <w:ilvl w:val="0"/>
          <w:numId w:val="3"/>
        </w:numPr>
        <w:spacing w:before="80" w:after="60"/>
      </w:pPr>
      <w:r>
        <w:rPr>
          <w:rFonts w:ascii="Arial" w:cs="Arial" w:eastAsia="Arial" w:hAnsi="Arial"/>
          <w:sz w:val="22"/>
          <w:szCs w:val="22"/>
        </w:rPr>
        <w:t xml:space="preserve">Negotiation – Parties (directly or through solicitors) negotiate the terms of a settlement, often assisted by a Financial Dispute Resolution (FDR) hearing or mediation.</w:t>
      </w:r>
    </w:p>
    <w:p>
      <w:pPr>
        <w:pStyle w:val="ListParagraph"/>
        <w:numPr>
          <w:ilvl w:val="0"/>
          <w:numId w:val="3"/>
        </w:numPr>
        <w:spacing w:before="80" w:after="60"/>
      </w:pPr>
      <w:r>
        <w:rPr>
          <w:rFonts w:ascii="Arial" w:cs="Arial" w:eastAsia="Arial" w:hAnsi="Arial"/>
          <w:sz w:val="22"/>
          <w:szCs w:val="22"/>
        </w:rPr>
        <w:t xml:space="preserve">Agreement – Once agreed, the settlement is formalised in a Consent Order, which is submitted to the court for approval.</w:t>
      </w:r>
    </w:p>
    <w:p>
      <w:pPr>
        <w:pStyle w:val="ListParagraph"/>
        <w:numPr>
          <w:ilvl w:val="0"/>
          <w:numId w:val="3"/>
        </w:numPr>
        <w:spacing w:before="80" w:after="60"/>
      </w:pPr>
      <w:r>
        <w:rPr>
          <w:rFonts w:ascii="Arial" w:cs="Arial" w:eastAsia="Arial" w:hAnsi="Arial"/>
          <w:sz w:val="22"/>
          <w:szCs w:val="22"/>
        </w:rPr>
        <w:t xml:space="preserve">Court determination – If no agreement is reached, a judge makes a final financial remedy order at a contested hearing (Final Hearing).</w:t>
      </w:r>
    </w:p>
    <w:p>
      <w:pPr>
        <w:spacing w:before="80" w:after="80"/>
      </w:pPr>
      <w:r>
        <w:t xml:space="preserve"/>
      </w:r>
    </w:p>
    <w:p>
      <w:pPr>
        <w:spacing w:before="80" w:after="140"/>
      </w:pPr>
      <w:r>
        <w:rPr>
          <w:rFonts w:ascii="Arial" w:cs="Arial" w:eastAsia="Arial" w:hAnsi="Arial"/>
          <w:color w:val="1B2631"/>
          <w:sz w:val="22"/>
          <w:szCs w:val="22"/>
        </w:rPr>
        <w:t xml:space="preserve">The emphasis at each stage is on reaching a fair outcome that meets both parties' needs, with the interests of any children given priority. Early, voluntary full disclosure is both a legal obligation and a practical way to reduce the time and cost of the settlement process.</w:t>
      </w:r>
    </w:p>
    <w:p>
      <w:pPr>
        <w:pStyle w:val="Heading2"/>
        <w:spacing w:before="280" w:after="140"/>
      </w:pPr>
      <w:r>
        <w:rPr>
          <w:rFonts w:ascii="Arial" w:cs="Arial" w:eastAsia="Arial" w:hAnsi="Arial"/>
          <w:b/>
          <w:bCs/>
          <w:color w:val="1B2631"/>
          <w:sz w:val="28"/>
          <w:szCs w:val="28"/>
        </w:rPr>
        <w:t xml:space="preserve">Illustrative Asset Division Scenarios</w:t>
      </w:r>
    </w:p>
    <w:p>
      <w:pPr>
        <w:spacing w:before="80" w:after="140"/>
      </w:pPr>
      <w:r>
        <w:rPr>
          <w:rFonts w:ascii="Arial" w:cs="Arial" w:eastAsia="Arial" w:hAnsi="Arial"/>
          <w:color w:val="1B2631"/>
          <w:sz w:val="22"/>
          <w:szCs w:val="22"/>
        </w:rPr>
        <w:t xml:space="preserve">The following scenarios are provided for illustrative purposes only. They are based on simplified assumptions and do not represent typical or expected outcomes in any particular case. Individual circumstances vary significantly.</w:t>
      </w:r>
    </w:p>
    <w:p>
      <w:pPr>
        <w:spacing w:before="200" w:after="100"/>
      </w:pPr>
      <w:r>
        <w:rPr>
          <w:rFonts w:ascii="Arial" w:cs="Arial" w:eastAsia="Arial" w:hAnsi="Arial"/>
          <w:b/>
          <w:bCs/>
          <w:color w:val="2471A3"/>
          <w:sz w:val="24"/>
          <w:szCs w:val="24"/>
        </w:rPr>
        <w:t xml:space="preserve">Scenario A – Property Sold, Equal Division of All Assets</w:t>
      </w:r>
    </w:p>
    <w:p>
      <w:pPr>
        <w:spacing w:before="80" w:after="140"/>
      </w:pPr>
      <w:r>
        <w:rPr>
          <w:rFonts w:ascii="Arial" w:cs="Arial" w:eastAsia="Arial" w:hAnsi="Arial"/>
          <w:color w:val="1B2631"/>
          <w:sz w:val="22"/>
          <w:szCs w:val="22"/>
        </w:rPr>
        <w:t xml:space="preserve">Both parties agree that the family home should be sold and all assets divided equally. This is sometimes described as a 'clean break' approach where both parties start afresh with equivalent financial resources.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ED6F1" w:sz="1"/>
              <w:left w:val="single" w:color="AED6F1" w:sz="1"/>
              <w:bottom w:val="single" w:color="AED6F1" w:sz="1"/>
              <w:right w:val="single" w:color="AED6F1" w:sz="1"/>
            </w:tcBorders>
            <w:shd w:fill="D6EAF8" w:val="clear"/>
            <w:tcMar>
              <w:top w:type="dxa" w:w="100"/>
              <w:left w:type="dxa" w:w="120"/>
              <w:bottom w:type="dxa" w:w="100"/>
              <w:right w:type="dxa" w:w="120"/>
            </w:tcMar>
          </w:tcPr>
          <w:p>
            <w:r>
              <w:rPr>
                <w:rFonts w:ascii="Arial" w:cs="Arial" w:eastAsia="Arial" w:hAnsi="Arial"/>
                <w:b/>
                <w:bCs/>
                <w:color w:val="1B2631"/>
                <w:sz w:val="20"/>
                <w:szCs w:val="20"/>
              </w:rPr>
              <w:t xml:space="preserve">Asset</w:t>
            </w:r>
          </w:p>
        </w:tc>
        <w:tc>
          <w:tcPr>
            <w:tcW w:type="dxa" w:w="3120"/>
            <w:tcBorders>
              <w:top w:val="single" w:color="AED6F1" w:sz="1"/>
              <w:left w:val="single" w:color="AED6F1" w:sz="1"/>
              <w:bottom w:val="single" w:color="AED6F1" w:sz="1"/>
              <w:right w:val="single" w:color="AED6F1" w:sz="1"/>
            </w:tcBorders>
            <w:shd w:fill="D6EAF8" w:val="clear"/>
            <w:tcMar>
              <w:top w:type="dxa" w:w="100"/>
              <w:left w:type="dxa" w:w="120"/>
              <w:bottom w:type="dxa" w:w="100"/>
              <w:right w:type="dxa" w:w="120"/>
            </w:tcMar>
          </w:tcPr>
          <w:p>
            <w:r>
              <w:rPr>
                <w:rFonts w:ascii="Arial" w:cs="Arial" w:eastAsia="Arial" w:hAnsi="Arial"/>
                <w:b/>
                <w:bCs/>
                <w:color w:val="1B2631"/>
                <w:sz w:val="20"/>
                <w:szCs w:val="20"/>
              </w:rPr>
              <w:t xml:space="preserve">Total Value</w:t>
            </w:r>
          </w:p>
        </w:tc>
        <w:tc>
          <w:tcPr>
            <w:tcW w:type="dxa" w:w="3120"/>
            <w:tcBorders>
              <w:top w:val="single" w:color="AED6F1" w:sz="1"/>
              <w:left w:val="single" w:color="AED6F1" w:sz="1"/>
              <w:bottom w:val="single" w:color="AED6F1" w:sz="1"/>
              <w:right w:val="single" w:color="AED6F1" w:sz="1"/>
            </w:tcBorders>
            <w:shd w:fill="D6EAF8" w:val="clear"/>
            <w:tcMar>
              <w:top w:type="dxa" w:w="100"/>
              <w:left w:type="dxa" w:w="120"/>
              <w:bottom w:type="dxa" w:w="100"/>
              <w:right w:type="dxa" w:w="120"/>
            </w:tcMar>
          </w:tcPr>
          <w:p>
            <w:r>
              <w:rPr>
                <w:rFonts w:ascii="Arial" w:cs="Arial" w:eastAsia="Arial" w:hAnsi="Arial"/>
                <w:b/>
                <w:bCs/>
                <w:color w:val="1B2631"/>
                <w:sz w:val="20"/>
                <w:szCs w:val="20"/>
              </w:rPr>
              <w:t xml:space="preserve">Illustrative 50/50 Split Each</w:t>
            </w:r>
          </w:p>
        </w:tc>
      </w:tr>
      <w:tr>
        <w:tc>
          <w:tcPr>
            <w:tcW w:type="dxa" w:w="31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Property equity</w:t>
            </w:r>
          </w:p>
        </w:tc>
        <w:tc>
          <w:tcPr>
            <w:tcW w:type="dxa" w:w="31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£180,000</w:t>
            </w:r>
          </w:p>
        </w:tc>
        <w:tc>
          <w:tcPr>
            <w:tcW w:type="dxa" w:w="31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£90,000</w:t>
            </w:r>
          </w:p>
        </w:tc>
      </w:tr>
      <w:tr>
        <w:tc>
          <w:tcPr>
            <w:tcW w:type="dxa" w:w="312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Pension (combined CETV)</w:t>
            </w:r>
          </w:p>
        </w:tc>
        <w:tc>
          <w:tcPr>
            <w:tcW w:type="dxa" w:w="312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£140,000</w:t>
            </w:r>
          </w:p>
        </w:tc>
        <w:tc>
          <w:tcPr>
            <w:tcW w:type="dxa" w:w="312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£70,000</w:t>
            </w:r>
          </w:p>
        </w:tc>
      </w:tr>
      <w:tr>
        <w:tc>
          <w:tcPr>
            <w:tcW w:type="dxa" w:w="31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Savings and ISAs</w:t>
            </w:r>
          </w:p>
        </w:tc>
        <w:tc>
          <w:tcPr>
            <w:tcW w:type="dxa" w:w="31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£40,000</w:t>
            </w:r>
          </w:p>
        </w:tc>
        <w:tc>
          <w:tcPr>
            <w:tcW w:type="dxa" w:w="31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£20,000</w:t>
            </w:r>
          </w:p>
        </w:tc>
      </w:tr>
      <w:tr>
        <w:tc>
          <w:tcPr>
            <w:tcW w:type="dxa" w:w="312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Total</w:t>
            </w:r>
          </w:p>
        </w:tc>
        <w:tc>
          <w:tcPr>
            <w:tcW w:type="dxa" w:w="312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£360,000</w:t>
            </w:r>
          </w:p>
        </w:tc>
        <w:tc>
          <w:tcPr>
            <w:tcW w:type="dxa" w:w="312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£180,000 each</w:t>
            </w:r>
          </w:p>
        </w:tc>
      </w:tr>
    </w:tbl>
    <w:p>
      <w:pPr>
        <w:spacing w:before="80" w:after="80"/>
      </w:pPr>
      <w:r>
        <w:t xml:space="preserve"/>
      </w:r>
    </w:p>
    <w:p>
      <w:pPr>
        <w:spacing w:before="200" w:after="100"/>
      </w:pPr>
      <w:r>
        <w:rPr>
          <w:rFonts w:ascii="Arial" w:cs="Arial" w:eastAsia="Arial" w:hAnsi="Arial"/>
          <w:b/>
          <w:bCs/>
          <w:color w:val="2471A3"/>
          <w:sz w:val="24"/>
          <w:szCs w:val="24"/>
        </w:rPr>
        <w:t xml:space="preserve">Scenario B – One Partner Retains Home, Other Receives Greater Pension Share</w:t>
      </w:r>
    </w:p>
    <w:p>
      <w:pPr>
        <w:spacing w:before="80" w:after="140"/>
      </w:pPr>
      <w:r>
        <w:rPr>
          <w:rFonts w:ascii="Arial" w:cs="Arial" w:eastAsia="Arial" w:hAnsi="Arial"/>
          <w:color w:val="1B2631"/>
          <w:sz w:val="22"/>
          <w:szCs w:val="22"/>
        </w:rPr>
        <w:t xml:space="preserve">One party wishes to remain in the family home and takes the property equity. The other party receives a larger pension share and retains savings, resulting in a broadly equivalent total value.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ED6F1" w:sz="1"/>
              <w:left w:val="single" w:color="AED6F1" w:sz="1"/>
              <w:bottom w:val="single" w:color="AED6F1" w:sz="1"/>
              <w:right w:val="single" w:color="AED6F1" w:sz="1"/>
            </w:tcBorders>
            <w:shd w:fill="D6EAF8" w:val="clear"/>
            <w:tcMar>
              <w:top w:type="dxa" w:w="100"/>
              <w:left w:type="dxa" w:w="120"/>
              <w:bottom w:type="dxa" w:w="100"/>
              <w:right w:type="dxa" w:w="120"/>
            </w:tcMar>
          </w:tcPr>
          <w:p>
            <w:r>
              <w:rPr>
                <w:rFonts w:ascii="Arial" w:cs="Arial" w:eastAsia="Arial" w:hAnsi="Arial"/>
                <w:b/>
                <w:bCs/>
                <w:color w:val="1B2631"/>
                <w:sz w:val="20"/>
                <w:szCs w:val="20"/>
              </w:rPr>
              <w:t xml:space="preserve">Asset</w:t>
            </w:r>
          </w:p>
        </w:tc>
        <w:tc>
          <w:tcPr>
            <w:tcW w:type="dxa" w:w="3120"/>
            <w:tcBorders>
              <w:top w:val="single" w:color="AED6F1" w:sz="1"/>
              <w:left w:val="single" w:color="AED6F1" w:sz="1"/>
              <w:bottom w:val="single" w:color="AED6F1" w:sz="1"/>
              <w:right w:val="single" w:color="AED6F1" w:sz="1"/>
            </w:tcBorders>
            <w:shd w:fill="D6EAF8" w:val="clear"/>
            <w:tcMar>
              <w:top w:type="dxa" w:w="100"/>
              <w:left w:type="dxa" w:w="120"/>
              <w:bottom w:type="dxa" w:w="100"/>
              <w:right w:type="dxa" w:w="120"/>
            </w:tcMar>
          </w:tcPr>
          <w:p>
            <w:r>
              <w:rPr>
                <w:rFonts w:ascii="Arial" w:cs="Arial" w:eastAsia="Arial" w:hAnsi="Arial"/>
                <w:b/>
                <w:bCs/>
                <w:color w:val="1B2631"/>
                <w:sz w:val="20"/>
                <w:szCs w:val="20"/>
              </w:rPr>
              <w:t xml:space="preserve">Party A Receives</w:t>
            </w:r>
          </w:p>
        </w:tc>
        <w:tc>
          <w:tcPr>
            <w:tcW w:type="dxa" w:w="3120"/>
            <w:tcBorders>
              <w:top w:val="single" w:color="AED6F1" w:sz="1"/>
              <w:left w:val="single" w:color="AED6F1" w:sz="1"/>
              <w:bottom w:val="single" w:color="AED6F1" w:sz="1"/>
              <w:right w:val="single" w:color="AED6F1" w:sz="1"/>
            </w:tcBorders>
            <w:shd w:fill="D6EAF8" w:val="clear"/>
            <w:tcMar>
              <w:top w:type="dxa" w:w="100"/>
              <w:left w:type="dxa" w:w="120"/>
              <w:bottom w:type="dxa" w:w="100"/>
              <w:right w:type="dxa" w:w="120"/>
            </w:tcMar>
          </w:tcPr>
          <w:p>
            <w:r>
              <w:rPr>
                <w:rFonts w:ascii="Arial" w:cs="Arial" w:eastAsia="Arial" w:hAnsi="Arial"/>
                <w:b/>
                <w:bCs/>
                <w:color w:val="1B2631"/>
                <w:sz w:val="20"/>
                <w:szCs w:val="20"/>
              </w:rPr>
              <w:t xml:space="preserve">Party B Receives</w:t>
            </w:r>
          </w:p>
        </w:tc>
      </w:tr>
      <w:tr>
        <w:tc>
          <w:tcPr>
            <w:tcW w:type="dxa" w:w="31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Property equity (£180,000)</w:t>
            </w:r>
          </w:p>
        </w:tc>
        <w:tc>
          <w:tcPr>
            <w:tcW w:type="dxa" w:w="31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£180,000</w:t>
            </w:r>
          </w:p>
        </w:tc>
        <w:tc>
          <w:tcPr>
            <w:tcW w:type="dxa" w:w="31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w:t>
            </w:r>
          </w:p>
        </w:tc>
      </w:tr>
      <w:tr>
        <w:tc>
          <w:tcPr>
            <w:tcW w:type="dxa" w:w="312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Pension (£140,000 CETV)</w:t>
            </w:r>
          </w:p>
        </w:tc>
        <w:tc>
          <w:tcPr>
            <w:tcW w:type="dxa" w:w="312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w:t>
            </w:r>
          </w:p>
        </w:tc>
        <w:tc>
          <w:tcPr>
            <w:tcW w:type="dxa" w:w="312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£140,000</w:t>
            </w:r>
          </w:p>
        </w:tc>
      </w:tr>
      <w:tr>
        <w:tc>
          <w:tcPr>
            <w:tcW w:type="dxa" w:w="31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Savings (£40,000)</w:t>
            </w:r>
          </w:p>
        </w:tc>
        <w:tc>
          <w:tcPr>
            <w:tcW w:type="dxa" w:w="31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w:t>
            </w:r>
          </w:p>
        </w:tc>
        <w:tc>
          <w:tcPr>
            <w:tcW w:type="dxa" w:w="31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£40,000</w:t>
            </w:r>
          </w:p>
        </w:tc>
      </w:tr>
      <w:tr>
        <w:tc>
          <w:tcPr>
            <w:tcW w:type="dxa" w:w="312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Total</w:t>
            </w:r>
          </w:p>
        </w:tc>
        <w:tc>
          <w:tcPr>
            <w:tcW w:type="dxa" w:w="312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£180,000</w:t>
            </w:r>
          </w:p>
        </w:tc>
        <w:tc>
          <w:tcPr>
            <w:tcW w:type="dxa" w:w="312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£180,000</w:t>
            </w:r>
          </w:p>
        </w:tc>
      </w:tr>
    </w:tbl>
    <w:p>
      <w:pPr>
        <w:spacing w:before="80" w:after="80"/>
      </w:pPr>
      <w:r>
        <w:t xml:space="preserve"/>
      </w:r>
    </w:p>
    <w:p>
      <w:pPr>
        <w:pBdr>
          <w:top w:val="single" w:color="2471A3" w:sz="3"/>
          <w:bottom w:val="single" w:color="2471A3" w:sz="3"/>
        </w:pBdr>
        <w:shd w:fill="D6EAF8" w:val="clear"/>
        <w:spacing w:before="160" w:after="160"/>
      </w:pPr>
      <w:r>
        <w:rPr>
          <w:rFonts w:ascii="Arial" w:cs="Arial" w:eastAsia="Arial" w:hAnsi="Arial"/>
          <w:b/>
          <w:bCs/>
          <w:color w:val="2471A3"/>
          <w:sz w:val="22"/>
          <w:szCs w:val="22"/>
        </w:rPr>
        <w:t xml:space="preserve">ℹ  </w:t>
      </w:r>
      <w:r>
        <w:rPr>
          <w:rFonts w:ascii="Arial" w:cs="Arial" w:eastAsia="Arial" w:hAnsi="Arial"/>
          <w:i/>
          <w:iCs/>
          <w:color w:val="2471A3"/>
          <w:sz w:val="21"/>
          <w:szCs w:val="21"/>
        </w:rPr>
        <w:t xml:space="preserve">In practice, comparing property equity with pension values involves important differences in liquidity, tax treatment, and long-term income. These scenarios are simplified illustrations only.</w:t>
      </w:r>
    </w:p>
    <w:p>
      <w:pPr>
        <w:pStyle w:val="Heading2"/>
        <w:spacing w:before="280" w:after="140"/>
      </w:pPr>
      <w:r>
        <w:rPr>
          <w:rFonts w:ascii="Arial" w:cs="Arial" w:eastAsia="Arial" w:hAnsi="Arial"/>
          <w:b/>
          <w:bCs/>
          <w:color w:val="1B2631"/>
          <w:sz w:val="28"/>
          <w:szCs w:val="28"/>
        </w:rPr>
        <w:t xml:space="preserve">Why Financial Modelling Can Help Before Formal Negotiations</w:t>
      </w:r>
    </w:p>
    <w:p>
      <w:pPr>
        <w:spacing w:before="80" w:after="140"/>
      </w:pPr>
      <w:r>
        <w:rPr>
          <w:rFonts w:ascii="Arial" w:cs="Arial" w:eastAsia="Arial" w:hAnsi="Arial"/>
          <w:color w:val="1B2631"/>
          <w:sz w:val="22"/>
          <w:szCs w:val="22"/>
        </w:rPr>
        <w:t xml:space="preserve">Many people find it helpful to explore different scenarios before entering formal negotiations or legal proceedings. Understanding how a change in the assumed percentage split, property value, or pension CETV affects the overall distribution can provide useful context for discussions.</w:t>
      </w:r>
    </w:p>
    <w:p>
      <w:pPr>
        <w:spacing w:before="80" w:after="140"/>
      </w:pPr>
      <w:r>
        <w:rPr>
          <w:rFonts w:ascii="Arial" w:cs="Arial" w:eastAsia="Arial" w:hAnsi="Arial"/>
          <w:color w:val="1B2631"/>
          <w:sz w:val="22"/>
          <w:szCs w:val="22"/>
        </w:rPr>
        <w:t xml:space="preserve">Modelling tools allow users to adjust variables and observe how changes flow through to the overall picture. This can help identify which assets carry the most financial weight, which arrangements merit closer examination, and where it may be worth seeking specialist valuation or advice.</w:t>
      </w:r>
    </w:p>
    <w:p>
      <w:pPr>
        <w:spacing w:before="80" w:after="140"/>
      </w:pPr>
      <w:r>
        <w:rPr>
          <w:rFonts w:ascii="Arial" w:cs="Arial" w:eastAsia="Arial" w:hAnsi="Arial"/>
          <w:color w:val="1B2631"/>
          <w:sz w:val="22"/>
          <w:szCs w:val="22"/>
        </w:rPr>
        <w:t xml:space="preserve">It is important to understand that modelling tools produce illustrative outputs based on user-provided figures and assumptions. They cannot replicate the full legal analysis that a solicitor would apply, account for tax implications, or predict what a court would order.</w:t>
      </w:r>
    </w:p>
    <w:p>
      <w:pPr>
        <w:pBdr>
          <w:top w:val="thick" w:color="1E8449" w:sz="10"/>
          <w:bottom w:val="thick" w:color="1E8449" w:sz="10"/>
        </w:pBdr>
        <w:shd w:fill="EAFAF1" w:val="clear"/>
        <w:spacing w:before="280" w:after="280"/>
      </w:pPr>
      <w:r>
        <w:rPr>
          <w:rFonts w:ascii="Arial" w:cs="Arial" w:eastAsia="Arial" w:hAnsi="Arial"/>
          <w:b/>
          <w:bCs/>
          <w:color w:val="1E8449"/>
          <w:sz w:val="22"/>
          <w:szCs w:val="22"/>
        </w:rPr>
        <w:t xml:space="preserve">Try the Tool:  </w:t>
      </w:r>
      <w:r>
        <w:rPr>
          <w:rFonts w:ascii="Arial" w:cs="Arial" w:eastAsia="Arial" w:hAnsi="Arial"/>
          <w:i/>
          <w:iCs/>
          <w:color w:val="1E8449"/>
          <w:sz w:val="22"/>
          <w:szCs w:val="22"/>
        </w:rPr>
        <w:t xml:space="preserve">Use the free modelling tool to enter your own figures and explore how different asset split assumptions affect the illustrative outcome for both of you. It takes just a few minutes and can help you go into discussions with a much clearer picture of what matters most.</w:t>
      </w:r>
    </w:p>
    <w:p>
      <w:pPr>
        <w:pStyle w:val="Heading2"/>
        <w:spacing w:before="280" w:after="140"/>
      </w:pPr>
      <w:r>
        <w:rPr>
          <w:rFonts w:ascii="Arial" w:cs="Arial" w:eastAsia="Arial" w:hAnsi="Arial"/>
          <w:b/>
          <w:bCs/>
          <w:color w:val="1B2631"/>
          <w:sz w:val="28"/>
          <w:szCs w:val="28"/>
        </w:rPr>
        <w:t xml:space="preserve">Frequently Asked Questions</w:t>
      </w:r>
    </w:p>
    <w:p>
      <w:pPr>
        <w:spacing w:before="220" w:after="80"/>
      </w:pPr>
      <w:r>
        <w:rPr>
          <w:rFonts w:ascii="Arial" w:cs="Arial" w:eastAsia="Arial" w:hAnsi="Arial"/>
          <w:b/>
          <w:bCs/>
          <w:color w:val="1A5276"/>
          <w:sz w:val="23"/>
          <w:szCs w:val="23"/>
        </w:rPr>
        <w:t xml:space="preserve">Q: How are assets divided in a divorce in the UK?</w:t>
      </w:r>
    </w:p>
    <w:p>
      <w:pPr>
        <w:spacing w:before="60" w:after="160"/>
      </w:pPr>
      <w:r>
        <w:rPr>
          <w:rFonts w:ascii="Arial" w:cs="Arial" w:eastAsia="Arial" w:hAnsi="Arial"/>
          <w:color w:val="1B2631"/>
          <w:sz w:val="22"/>
          <w:szCs w:val="22"/>
        </w:rPr>
        <w:t xml:space="preserve">In England and Wales, there is no automatic rule requiring assets to be divided equally. Courts consider a range of factors set out in the Matrimonial Causes Act 1973, including the financial needs of both parties, the duration of the marriage, contributions made by each spouse, and the welfare of any children. Most settlements are reached by agreement rather than imposed by a court, and outcomes vary widely depending on the specific circumstances.</w:t>
      </w:r>
    </w:p>
    <w:p>
      <w:pPr>
        <w:spacing w:before="220" w:after="80"/>
      </w:pPr>
      <w:r>
        <w:rPr>
          <w:rFonts w:ascii="Arial" w:cs="Arial" w:eastAsia="Arial" w:hAnsi="Arial"/>
          <w:b/>
          <w:bCs/>
          <w:color w:val="1A5276"/>
          <w:sz w:val="23"/>
          <w:szCs w:val="23"/>
        </w:rPr>
        <w:t xml:space="preserve">Q: Is property always split 50/50 in a divorce?</w:t>
      </w:r>
    </w:p>
    <w:p>
      <w:pPr>
        <w:spacing w:before="60" w:after="160"/>
      </w:pPr>
      <w:r>
        <w:rPr>
          <w:rFonts w:ascii="Arial" w:cs="Arial" w:eastAsia="Arial" w:hAnsi="Arial"/>
          <w:color w:val="1B2631"/>
          <w:sz w:val="22"/>
          <w:szCs w:val="22"/>
        </w:rPr>
        <w:t xml:space="preserve">No. Equal division is one possible approach but is not an automatic rule in England and Wales. The starting point may be equality, but courts have wide discretion to depart from it based on the circumstances, particularly where needs, contributions, or other relevant factors justify a different outcome. Many negotiated settlements involve unequal splits, particularly where one party has significantly different financial needs.</w:t>
      </w:r>
    </w:p>
    <w:p>
      <w:pPr>
        <w:spacing w:before="220" w:after="80"/>
      </w:pPr>
      <w:r>
        <w:rPr>
          <w:rFonts w:ascii="Arial" w:cs="Arial" w:eastAsia="Arial" w:hAnsi="Arial"/>
          <w:b/>
          <w:bCs/>
          <w:color w:val="1A5276"/>
          <w:sz w:val="23"/>
          <w:szCs w:val="23"/>
        </w:rPr>
        <w:t xml:space="preserve">Q: How are pensions treated in a divorce settlement?</w:t>
      </w:r>
    </w:p>
    <w:p>
      <w:pPr>
        <w:spacing w:before="60" w:after="160"/>
      </w:pPr>
      <w:r>
        <w:rPr>
          <w:rFonts w:ascii="Arial" w:cs="Arial" w:eastAsia="Arial" w:hAnsi="Arial"/>
          <w:color w:val="1B2631"/>
          <w:sz w:val="22"/>
          <w:szCs w:val="22"/>
        </w:rPr>
        <w:t xml:space="preserve">Pensions are treated as matrimonial assets and can be a significant part of the overall settlement, particularly for couples who have been married for a long time. They can be divided through pension sharing (a formal court order dividing pension rights) or pension offsetting (one party keeps their pension and the other receives more of another asset in exchange). See our dedicated pension page for a full explanation.</w:t>
      </w:r>
    </w:p>
    <w:p>
      <w:pPr>
        <w:spacing w:before="220" w:after="80"/>
      </w:pPr>
      <w:r>
        <w:rPr>
          <w:rFonts w:ascii="Arial" w:cs="Arial" w:eastAsia="Arial" w:hAnsi="Arial"/>
          <w:b/>
          <w:bCs/>
          <w:color w:val="1A5276"/>
          <w:sz w:val="23"/>
          <w:szCs w:val="23"/>
        </w:rPr>
        <w:t xml:space="preserve">Q: What happens to savings accounts in a divorce?</w:t>
      </w:r>
    </w:p>
    <w:p>
      <w:pPr>
        <w:spacing w:before="60" w:after="160"/>
      </w:pPr>
      <w:r>
        <w:rPr>
          <w:rFonts w:ascii="Arial" w:cs="Arial" w:eastAsia="Arial" w:hAnsi="Arial"/>
          <w:color w:val="1B2631"/>
          <w:sz w:val="22"/>
          <w:szCs w:val="22"/>
        </w:rPr>
        <w:t xml:space="preserve">Savings held by either party accumulated during the marriage are generally treated as matrimonial assets and form part of the overall financial settlement. Both joint accounts and individually held savings may be considered. The treatment of savings will be part of the wider discussion about the overall division of assets.</w:t>
      </w:r>
    </w:p>
    <w:p>
      <w:pPr>
        <w:spacing w:before="220" w:after="80"/>
      </w:pPr>
      <w:r>
        <w:rPr>
          <w:rFonts w:ascii="Arial" w:cs="Arial" w:eastAsia="Arial" w:hAnsi="Arial"/>
          <w:b/>
          <w:bCs/>
          <w:color w:val="1A5276"/>
          <w:sz w:val="23"/>
          <w:szCs w:val="23"/>
        </w:rPr>
        <w:t xml:space="preserve">Q: What is a Form E in divorce proceedings?</w:t>
      </w:r>
    </w:p>
    <w:p>
      <w:pPr>
        <w:spacing w:before="60" w:after="160"/>
      </w:pPr>
      <w:r>
        <w:rPr>
          <w:rFonts w:ascii="Arial" w:cs="Arial" w:eastAsia="Arial" w:hAnsi="Arial"/>
          <w:color w:val="1B2631"/>
          <w:sz w:val="22"/>
          <w:szCs w:val="22"/>
        </w:rPr>
        <w:t xml:space="preserve">A Form E is the financial disclosure document used in family court proceedings in England and Wales. Each party completes their own Form E, setting out full details of their assets, income, liabilities, pensions, and expenditure. Full and honest disclosure is a legal obligation in financial remedy proceedings, and failure to disclose assets can have serious consequences.</w:t>
      </w:r>
    </w:p>
    <w:p>
      <w:pPr>
        <w:spacing w:before="220" w:after="80"/>
      </w:pPr>
      <w:r>
        <w:rPr>
          <w:rFonts w:ascii="Arial" w:cs="Arial" w:eastAsia="Arial" w:hAnsi="Arial"/>
          <w:b/>
          <w:bCs/>
          <w:color w:val="1A5276"/>
          <w:sz w:val="23"/>
          <w:szCs w:val="23"/>
        </w:rPr>
        <w:t xml:space="preserve">Q: What does 'financial remedy' mean in divorce?</w:t>
      </w:r>
    </w:p>
    <w:p>
      <w:pPr>
        <w:spacing w:before="60" w:after="160"/>
      </w:pPr>
      <w:r>
        <w:rPr>
          <w:rFonts w:ascii="Arial" w:cs="Arial" w:eastAsia="Arial" w:hAnsi="Arial"/>
          <w:color w:val="1B2631"/>
          <w:sz w:val="22"/>
          <w:szCs w:val="22"/>
        </w:rPr>
        <w:t xml:space="preserve">Financial remedy is the legal term used in England and Wales for court proceedings that deal with the financial aspects of divorce. It covers orders relating to property, pensions, savings, lump sum payments, and maintenance. The term replaced the older phrase 'ancillary relief' and is used to describe the process of seeking a court order about financial matters in connection with a divorce.</w:t>
      </w:r>
    </w:p>
    <w:p>
      <w:pPr>
        <w:pBdr>
          <w:top w:val="single" w:color="F39C12" w:sz="6"/>
          <w:bottom w:val="single" w:color="F39C12" w:sz="6"/>
        </w:pBdr>
        <w:shd w:fill="FEF9E7" w:val="clear"/>
        <w:spacing w:before="360" w:after="200"/>
      </w:pPr>
      <w:r>
        <w:rPr>
          <w:rFonts w:ascii="Arial" w:cs="Arial" w:eastAsia="Arial" w:hAnsi="Arial"/>
          <w:b/>
          <w:bCs/>
          <w:color w:val="784212"/>
          <w:sz w:val="20"/>
          <w:szCs w:val="20"/>
        </w:rPr>
        <w:t xml:space="preserve">Disclaimer: </w:t>
      </w:r>
      <w:r>
        <w:rPr>
          <w:rFonts w:ascii="Arial" w:cs="Arial" w:eastAsia="Arial" w:hAnsi="Arial"/>
          <w:color w:val="784212"/>
          <w:sz w:val="20"/>
          <w:szCs w:val="20"/>
        </w:rPr>
        <w:t xml:space="preserve">This content is provided for general informational purposes only and does not constitute legal, financial, or investment advice. All figures, scenarios, and examples used throughout this page are illustrative only and are based on simplified general assumptions. Individual circumstances vary significantly. Always seek advice from a qualified family law solicitor and an independent financial adviser before making decisions related to divorce or financial settlements.</w:t>
      </w:r>
    </w:p>
    <w:p>
      <w:pPr>
        <w:pBdr>
          <w:bottom w:val="single" w:color="AED6F1" w:sz="3" w:space="1"/>
        </w:pBdr>
        <w:spacing w:before="180" w:after="180"/>
      </w:pPr>
      <w:r>
        <w:t xml:space="preserve"/>
      </w:r>
    </w:p>
    <w:p>
      <w:r>
        <w:br w:type="page"/>
      </w:r>
    </w:p>
    <w:p>
      <w:pPr>
        <w:pStyle w:val="Heading1"/>
        <w:spacing w:before="360" w:after="180"/>
      </w:pPr>
      <w:r>
        <w:rPr>
          <w:rFonts w:ascii="Arial" w:cs="Arial" w:eastAsia="Arial" w:hAnsi="Arial"/>
          <w:b/>
          <w:bCs/>
          <w:color w:val="1A5276"/>
          <w:sz w:val="40"/>
          <w:szCs w:val="40"/>
        </w:rPr>
        <w:t xml:space="preserve">Who Gets the House in a Divorce in the UK?</w:t>
      </w:r>
    </w:p>
    <w:p>
      <w:pPr>
        <w:spacing w:before="80" w:after="200"/>
      </w:pPr>
      <w:r>
        <w:rPr>
          <w:rFonts w:ascii="Arial" w:cs="Arial" w:eastAsia="Arial" w:hAnsi="Arial"/>
          <w:b/>
          <w:bCs/>
          <w:color w:val="5D6D7E"/>
          <w:sz w:val="20"/>
          <w:szCs w:val="20"/>
        </w:rPr>
        <w:t xml:space="preserve">Chapter 3  </w:t>
      </w:r>
      <w:r>
        <w:rPr>
          <w:rFonts w:ascii="Arial" w:cs="Arial" w:eastAsia="Arial" w:hAnsi="Arial"/>
          <w:i/>
          <w:iCs/>
          <w:color w:val="5D6D7E"/>
          <w:sz w:val="20"/>
          <w:szCs w:val="20"/>
        </w:rPr>
        <w:t xml:space="preserve">·  What really happens to the family home – the options available, how equity works, and the practical implications of each approach.</w:t>
      </w:r>
    </w:p>
    <w:p>
      <w:pPr>
        <w:pBdr>
          <w:bottom w:val="single" w:color="AED6F1" w:sz="3" w:space="1"/>
        </w:pBdr>
        <w:spacing w:before="180" w:after="180"/>
      </w:pPr>
      <w:r>
        <w:t xml:space="preserve"/>
      </w:r>
    </w:p>
    <w:p>
      <w:pPr>
        <w:spacing w:before="80" w:after="140"/>
      </w:pPr>
      <w:r>
        <w:rPr>
          <w:rFonts w:ascii="Arial" w:cs="Arial" w:eastAsia="Arial" w:hAnsi="Arial"/>
          <w:color w:val="1B2631"/>
          <w:sz w:val="22"/>
          <w:szCs w:val="22"/>
        </w:rPr>
        <w:t xml:space="preserve">For most divorcing couples in the UK, the family home is the most valuable asset at stake. Decisions about what happens to the property can have a profound and lasting effect on both parties' financial security. This guide explains the main options available, how property equity is calculated, and how different approaches to the family home affect the overall settlement picture.</w:t>
      </w:r>
    </w:p>
    <w:p>
      <w:pPr>
        <w:spacing w:before="80" w:after="140"/>
      </w:pPr>
      <w:r>
        <w:rPr>
          <w:rFonts w:ascii="Arial" w:cs="Arial" w:eastAsia="Arial" w:hAnsi="Arial"/>
          <w:color w:val="1B2631"/>
          <w:sz w:val="22"/>
          <w:szCs w:val="22"/>
        </w:rPr>
        <w:t xml:space="preserve">There is no single rule that automatically determines who keeps the house in a divorce. The outcome will depend on the full range of assets, the needs of both parties (particularly where children are involved), and whether a negotiated agreement can be reached. In cases where agreement proves impossible, a court has the power to make a property adjustment order.</w:t>
      </w:r>
    </w:p>
    <w:p>
      <w:pPr>
        <w:pStyle w:val="Heading2"/>
        <w:spacing w:before="280" w:after="140"/>
      </w:pPr>
      <w:r>
        <w:rPr>
          <w:rFonts w:ascii="Arial" w:cs="Arial" w:eastAsia="Arial" w:hAnsi="Arial"/>
          <w:b/>
          <w:bCs/>
          <w:color w:val="1B2631"/>
          <w:sz w:val="28"/>
          <w:szCs w:val="28"/>
        </w:rPr>
        <w:t xml:space="preserve">The Main Property Outcomes in a UK Divorce</w:t>
      </w:r>
    </w:p>
    <w:p>
      <w:pPr>
        <w:spacing w:before="200" w:after="100"/>
      </w:pPr>
      <w:r>
        <w:rPr>
          <w:rFonts w:ascii="Arial" w:cs="Arial" w:eastAsia="Arial" w:hAnsi="Arial"/>
          <w:b/>
          <w:bCs/>
          <w:color w:val="2471A3"/>
          <w:sz w:val="24"/>
          <w:szCs w:val="24"/>
        </w:rPr>
        <w:t xml:space="preserve">1. Sell the Property and Divide the Equity</w:t>
      </w:r>
    </w:p>
    <w:p>
      <w:pPr>
        <w:spacing w:before="80" w:after="140"/>
      </w:pPr>
      <w:r>
        <w:rPr>
          <w:rFonts w:ascii="Arial" w:cs="Arial" w:eastAsia="Arial" w:hAnsi="Arial"/>
          <w:color w:val="1B2631"/>
          <w:sz w:val="22"/>
          <w:szCs w:val="22"/>
        </w:rPr>
        <w:t xml:space="preserve">The most common outcome, particularly where neither party can afford to maintain the property independently, is for the family home to be sold on the open market. Once the mortgage is repaid, any selling costs (estate agent fees, legal fees) are deducted, and the remaining equity is divided between the two parties. The proportions are agreed as part of the overall financial settlement and may or may not be equal.</w:t>
      </w:r>
    </w:p>
    <w:p>
      <w:pPr>
        <w:spacing w:before="200" w:after="100"/>
      </w:pPr>
      <w:r>
        <w:rPr>
          <w:rFonts w:ascii="Arial" w:cs="Arial" w:eastAsia="Arial" w:hAnsi="Arial"/>
          <w:b/>
          <w:bCs/>
          <w:color w:val="2471A3"/>
          <w:sz w:val="24"/>
          <w:szCs w:val="24"/>
        </w:rPr>
        <w:t xml:space="preserve">2. Property Buyout – One Spouse Retains the Home</w:t>
      </w:r>
    </w:p>
    <w:p>
      <w:pPr>
        <w:spacing w:before="80" w:after="140"/>
      </w:pPr>
      <w:r>
        <w:rPr>
          <w:rFonts w:ascii="Arial" w:cs="Arial" w:eastAsia="Arial" w:hAnsi="Arial"/>
          <w:color w:val="1B2631"/>
          <w:sz w:val="22"/>
          <w:szCs w:val="22"/>
        </w:rPr>
        <w:t xml:space="preserve">Where one party wishes to remain in the family home, they may buy out the departing spouse's share of the equity. This typically involves:</w:t>
      </w:r>
    </w:p>
    <w:p>
      <w:pPr>
        <w:pStyle w:val="ListParagraph"/>
        <w:numPr>
          <w:ilvl w:val="0"/>
          <w:numId w:val="2"/>
        </w:numPr>
        <w:spacing w:before="60" w:after="60"/>
      </w:pPr>
      <w:r>
        <w:rPr>
          <w:rFonts w:ascii="Arial" w:cs="Arial" w:eastAsia="Arial" w:hAnsi="Arial"/>
          <w:color w:val="1B2631"/>
          <w:sz w:val="22"/>
          <w:szCs w:val="22"/>
        </w:rPr>
        <w:t xml:space="preserve">The property being transferred solely into the remaining party's name</w:t>
      </w:r>
    </w:p>
    <w:p>
      <w:pPr>
        <w:pStyle w:val="ListParagraph"/>
        <w:numPr>
          <w:ilvl w:val="0"/>
          <w:numId w:val="2"/>
        </w:numPr>
        <w:spacing w:before="60" w:after="60"/>
      </w:pPr>
      <w:r>
        <w:rPr>
          <w:rFonts w:ascii="Arial" w:cs="Arial" w:eastAsia="Arial" w:hAnsi="Arial"/>
          <w:color w:val="1B2631"/>
          <w:sz w:val="22"/>
          <w:szCs w:val="22"/>
        </w:rPr>
        <w:t xml:space="preserve">The departing party being removed from the mortgage (requiring lender approval)</w:t>
      </w:r>
    </w:p>
    <w:p>
      <w:pPr>
        <w:pStyle w:val="ListParagraph"/>
        <w:numPr>
          <w:ilvl w:val="0"/>
          <w:numId w:val="2"/>
        </w:numPr>
        <w:spacing w:before="60" w:after="60"/>
      </w:pPr>
      <w:r>
        <w:rPr>
          <w:rFonts w:ascii="Arial" w:cs="Arial" w:eastAsia="Arial" w:hAnsi="Arial"/>
          <w:color w:val="1B2631"/>
          <w:sz w:val="22"/>
          <w:szCs w:val="22"/>
        </w:rPr>
        <w:t xml:space="preserve">A payment to the departing party equivalent to their agreed share of the equity</w:t>
      </w:r>
    </w:p>
    <w:p>
      <w:pPr>
        <w:spacing w:before="80" w:after="140"/>
      </w:pPr>
      <w:r>
        <w:rPr>
          <w:rFonts w:ascii="Arial" w:cs="Arial" w:eastAsia="Arial" w:hAnsi="Arial"/>
          <w:color w:val="1B2631"/>
          <w:sz w:val="22"/>
          <w:szCs w:val="22"/>
        </w:rPr>
        <w:t xml:space="preserve">Whether this is financially viable will depend on whether the remaining party can obtain a mortgage in their sole name for a sufficient amount, taking into account their income and the property's current value.</w:t>
      </w:r>
    </w:p>
    <w:p>
      <w:pPr>
        <w:spacing w:before="200" w:after="100"/>
      </w:pPr>
      <w:r>
        <w:rPr>
          <w:rFonts w:ascii="Arial" w:cs="Arial" w:eastAsia="Arial" w:hAnsi="Arial"/>
          <w:b/>
          <w:bCs/>
          <w:color w:val="2471A3"/>
          <w:sz w:val="24"/>
          <w:szCs w:val="24"/>
        </w:rPr>
        <w:t xml:space="preserve">3. Deferred Sale – Remain in the Property Until a Future Trigger Point</w:t>
      </w:r>
    </w:p>
    <w:p>
      <w:pPr>
        <w:spacing w:before="80" w:after="140"/>
      </w:pPr>
      <w:r>
        <w:rPr>
          <w:rFonts w:ascii="Arial" w:cs="Arial" w:eastAsia="Arial" w:hAnsi="Arial"/>
          <w:color w:val="1B2631"/>
          <w:sz w:val="22"/>
          <w:szCs w:val="22"/>
        </w:rPr>
        <w:t xml:space="preserve">A deferred sale arrangement (formally known as a Mesher Order) allows one party to remain in the family home for a defined period before the property is sold and proceeds divided. This arrangement is most commonly used where there are dependent children, to provide stability and continuity.</w:t>
      </w:r>
    </w:p>
    <w:p>
      <w:pPr>
        <w:spacing w:before="80" w:after="140"/>
      </w:pPr>
      <w:r>
        <w:rPr>
          <w:rFonts w:ascii="Arial" w:cs="Arial" w:eastAsia="Arial" w:hAnsi="Arial"/>
          <w:color w:val="1B2631"/>
          <w:sz w:val="22"/>
          <w:szCs w:val="22"/>
        </w:rPr>
        <w:t xml:space="preserve">The deferred sale is typically triggered by one of several events, which are set out in the court order. Common trigger events include:</w:t>
      </w:r>
    </w:p>
    <w:p>
      <w:pPr>
        <w:pStyle w:val="ListParagraph"/>
        <w:numPr>
          <w:ilvl w:val="0"/>
          <w:numId w:val="2"/>
        </w:numPr>
        <w:spacing w:before="60" w:after="60"/>
      </w:pPr>
      <w:r>
        <w:rPr>
          <w:rFonts w:ascii="Arial" w:cs="Arial" w:eastAsia="Arial" w:hAnsi="Arial"/>
          <w:color w:val="1B2631"/>
          <w:sz w:val="22"/>
          <w:szCs w:val="22"/>
        </w:rPr>
        <w:t xml:space="preserve">The youngest child reaching a specified age (often 18 or the end of full-time education)</w:t>
      </w:r>
    </w:p>
    <w:p>
      <w:pPr>
        <w:pStyle w:val="ListParagraph"/>
        <w:numPr>
          <w:ilvl w:val="0"/>
          <w:numId w:val="2"/>
        </w:numPr>
        <w:spacing w:before="60" w:after="60"/>
      </w:pPr>
      <w:r>
        <w:rPr>
          <w:rFonts w:ascii="Arial" w:cs="Arial" w:eastAsia="Arial" w:hAnsi="Arial"/>
          <w:color w:val="1B2631"/>
          <w:sz w:val="22"/>
          <w:szCs w:val="22"/>
        </w:rPr>
        <w:t xml:space="preserve">The occupying party remarrying or entering a new civil partnership</w:t>
      </w:r>
    </w:p>
    <w:p>
      <w:pPr>
        <w:pStyle w:val="ListParagraph"/>
        <w:numPr>
          <w:ilvl w:val="0"/>
          <w:numId w:val="2"/>
        </w:numPr>
        <w:spacing w:before="60" w:after="60"/>
      </w:pPr>
      <w:r>
        <w:rPr>
          <w:rFonts w:ascii="Arial" w:cs="Arial" w:eastAsia="Arial" w:hAnsi="Arial"/>
          <w:color w:val="1B2631"/>
          <w:sz w:val="22"/>
          <w:szCs w:val="22"/>
        </w:rPr>
        <w:t xml:space="preserve">The occupying party choosing to sell voluntarily</w:t>
      </w:r>
    </w:p>
    <w:p>
      <w:pPr>
        <w:pStyle w:val="ListParagraph"/>
        <w:numPr>
          <w:ilvl w:val="0"/>
          <w:numId w:val="2"/>
        </w:numPr>
        <w:spacing w:before="60" w:after="60"/>
      </w:pPr>
      <w:r>
        <w:rPr>
          <w:rFonts w:ascii="Arial" w:cs="Arial" w:eastAsia="Arial" w:hAnsi="Arial"/>
          <w:color w:val="1B2631"/>
          <w:sz w:val="22"/>
          <w:szCs w:val="22"/>
        </w:rPr>
        <w:t xml:space="preserve">The death of the occupying party</w:t>
      </w:r>
    </w:p>
    <w:p>
      <w:pPr>
        <w:pBdr>
          <w:top w:val="single" w:color="2471A3" w:sz="3"/>
          <w:bottom w:val="single" w:color="2471A3" w:sz="3"/>
        </w:pBdr>
        <w:shd w:fill="D6EAF8" w:val="clear"/>
        <w:spacing w:before="160" w:after="160"/>
      </w:pPr>
      <w:r>
        <w:rPr>
          <w:rFonts w:ascii="Arial" w:cs="Arial" w:eastAsia="Arial" w:hAnsi="Arial"/>
          <w:b/>
          <w:bCs/>
          <w:color w:val="2471A3"/>
          <w:sz w:val="22"/>
          <w:szCs w:val="22"/>
        </w:rPr>
        <w:t xml:space="preserve">ℹ  </w:t>
      </w:r>
      <w:r>
        <w:rPr>
          <w:rFonts w:ascii="Arial" w:cs="Arial" w:eastAsia="Arial" w:hAnsi="Arial"/>
          <w:i/>
          <w:iCs/>
          <w:color w:val="2471A3"/>
          <w:sz w:val="21"/>
          <w:szCs w:val="21"/>
        </w:rPr>
        <w:t xml:space="preserve">Deferred sale arrangements can create uncertainty and complexity over the long term. Both parties' financial interests in the property remain legally tied together until the trigger event occurs, and issues can arise if the property market or either party's circumstances change significantly.</w:t>
      </w:r>
    </w:p>
    <w:p>
      <w:pPr>
        <w:spacing w:before="200" w:after="100"/>
      </w:pPr>
      <w:r>
        <w:rPr>
          <w:rFonts w:ascii="Arial" w:cs="Arial" w:eastAsia="Arial" w:hAnsi="Arial"/>
          <w:b/>
          <w:bCs/>
          <w:color w:val="2471A3"/>
          <w:sz w:val="24"/>
          <w:szCs w:val="24"/>
        </w:rPr>
        <w:t xml:space="preserve">4. Transfer of Property – One Party Receives Full Ownership</w:t>
      </w:r>
    </w:p>
    <w:p>
      <w:pPr>
        <w:spacing w:before="80" w:after="140"/>
      </w:pPr>
      <w:r>
        <w:rPr>
          <w:rFonts w:ascii="Arial" w:cs="Arial" w:eastAsia="Arial" w:hAnsi="Arial"/>
          <w:color w:val="1B2631"/>
          <w:sz w:val="22"/>
          <w:szCs w:val="22"/>
        </w:rPr>
        <w:t xml:space="preserve">In some cases, typically where there are significant child welfare considerations or significant inequality in other assets, a court may make an order transferring full ownership of the property to one party without a corresponding buyout payment. This is less common and generally occurs where other elements of the settlement compensate for the transfer.</w:t>
      </w:r>
    </w:p>
    <w:p>
      <w:pPr>
        <w:pStyle w:val="Heading2"/>
        <w:spacing w:before="280" w:after="140"/>
      </w:pPr>
      <w:r>
        <w:rPr>
          <w:rFonts w:ascii="Arial" w:cs="Arial" w:eastAsia="Arial" w:hAnsi="Arial"/>
          <w:b/>
          <w:bCs/>
          <w:color w:val="1B2631"/>
          <w:sz w:val="28"/>
          <w:szCs w:val="28"/>
        </w:rPr>
        <w:t xml:space="preserve">How Is Property Equity Calculated?</w:t>
      </w:r>
    </w:p>
    <w:p>
      <w:pPr>
        <w:spacing w:before="80" w:after="140"/>
      </w:pPr>
      <w:r>
        <w:rPr>
          <w:rFonts w:ascii="Arial" w:cs="Arial" w:eastAsia="Arial" w:hAnsi="Arial"/>
          <w:color w:val="1B2631"/>
          <w:sz w:val="22"/>
          <w:szCs w:val="22"/>
        </w:rPr>
        <w:t xml:space="preserve">Equity is the net financial value of a property after the outstanding mortgage debt has been subtracted. This is the figure that is subject to division in most settlement discussions – not the gross property value.</w:t>
      </w:r>
    </w:p>
    <w:p>
      <w:pPr>
        <w:spacing w:before="80" w:after="80"/>
      </w:pPr>
      <w:r>
        <w:t xml:space="preserve"/>
      </w:r>
    </w:p>
    <w:p>
      <w:pPr>
        <w:shd w:fill="D6EAF8" w:val="clear"/>
        <w:spacing w:before="140" w:after="140"/>
        <w:jc w:val="center"/>
      </w:pPr>
      <w:r>
        <w:rPr>
          <w:rFonts w:ascii="Arial" w:cs="Arial" w:eastAsia="Arial" w:hAnsi="Arial"/>
          <w:b/>
          <w:bCs/>
          <w:color w:val="1A5276"/>
          <w:sz w:val="26"/>
          <w:szCs w:val="26"/>
        </w:rPr>
        <w:t xml:space="preserve">Equity  =  Property Value  −  Outstanding Mortgage Balance</w:t>
      </w:r>
    </w:p>
    <w:p>
      <w:pPr>
        <w:spacing w:before="80" w:after="80"/>
      </w:pPr>
      <w:r>
        <w:t xml:space="preserve"/>
      </w:r>
    </w:p>
    <w:p>
      <w:pPr>
        <w:spacing w:before="80" w:after="140"/>
      </w:pPr>
      <w:r>
        <w:rPr>
          <w:rFonts w:ascii="Arial" w:cs="Arial" w:eastAsia="Arial" w:hAnsi="Arial"/>
          <w:color w:val="1B2631"/>
          <w:sz w:val="22"/>
          <w:szCs w:val="22"/>
        </w:rPr>
        <w:t xml:space="preserve">In practice, an accurate figure requires:</w:t>
      </w:r>
    </w:p>
    <w:p>
      <w:pPr>
        <w:pStyle w:val="ListParagraph"/>
        <w:numPr>
          <w:ilvl w:val="0"/>
          <w:numId w:val="2"/>
        </w:numPr>
        <w:spacing w:before="60" w:after="60"/>
      </w:pPr>
      <w:r>
        <w:rPr>
          <w:rFonts w:ascii="Arial" w:cs="Arial" w:eastAsia="Arial" w:hAnsi="Arial"/>
          <w:color w:val="1B2631"/>
          <w:sz w:val="22"/>
          <w:szCs w:val="22"/>
        </w:rPr>
        <w:t xml:space="preserve">A current market valuation from a qualified surveyor (or at minimum, recent comparable sales data)</w:t>
      </w:r>
    </w:p>
    <w:p>
      <w:pPr>
        <w:pStyle w:val="ListParagraph"/>
        <w:numPr>
          <w:ilvl w:val="0"/>
          <w:numId w:val="2"/>
        </w:numPr>
        <w:spacing w:before="60" w:after="60"/>
      </w:pPr>
      <w:r>
        <w:rPr>
          <w:rFonts w:ascii="Arial" w:cs="Arial" w:eastAsia="Arial" w:hAnsi="Arial"/>
          <w:color w:val="1B2631"/>
          <w:sz w:val="22"/>
          <w:szCs w:val="22"/>
        </w:rPr>
        <w:t xml:space="preserve">An up-to-date mortgage redemption figure from the lender (this may differ from the monthly statement balance due to early repayment charges)</w:t>
      </w:r>
    </w:p>
    <w:p>
      <w:pPr>
        <w:pStyle w:val="ListParagraph"/>
        <w:numPr>
          <w:ilvl w:val="0"/>
          <w:numId w:val="2"/>
        </w:numPr>
        <w:spacing w:before="60" w:after="60"/>
      </w:pPr>
      <w:r>
        <w:rPr>
          <w:rFonts w:ascii="Arial" w:cs="Arial" w:eastAsia="Arial" w:hAnsi="Arial"/>
          <w:color w:val="1B2631"/>
          <w:sz w:val="22"/>
          <w:szCs w:val="22"/>
        </w:rPr>
        <w:t xml:space="preserve">Deduction of any costs associated with the proposed transaction (selling costs, stamp duty on the retained party's remortgage, etc.)</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ED6F1" w:sz="1"/>
              <w:left w:val="single" w:color="AED6F1" w:sz="1"/>
              <w:bottom w:val="single" w:color="AED6F1" w:sz="1"/>
              <w:right w:val="single" w:color="AED6F1" w:sz="1"/>
            </w:tcBorders>
            <w:shd w:fill="D6EAF8" w:val="clear"/>
            <w:tcMar>
              <w:top w:type="dxa" w:w="100"/>
              <w:left w:type="dxa" w:w="120"/>
              <w:bottom w:type="dxa" w:w="100"/>
              <w:right w:type="dxa" w:w="120"/>
            </w:tcMar>
          </w:tcPr>
          <w:p>
            <w:r>
              <w:rPr>
                <w:rFonts w:ascii="Arial" w:cs="Arial" w:eastAsia="Arial" w:hAnsi="Arial"/>
                <w:b/>
                <w:bCs/>
                <w:color w:val="1B2631"/>
                <w:sz w:val="20"/>
                <w:szCs w:val="20"/>
              </w:rPr>
              <w:t xml:space="preserve">Property Value</w:t>
            </w:r>
          </w:p>
        </w:tc>
        <w:tc>
          <w:tcPr>
            <w:tcW w:type="dxa" w:w="3120"/>
            <w:tcBorders>
              <w:top w:val="single" w:color="AED6F1" w:sz="1"/>
              <w:left w:val="single" w:color="AED6F1" w:sz="1"/>
              <w:bottom w:val="single" w:color="AED6F1" w:sz="1"/>
              <w:right w:val="single" w:color="AED6F1" w:sz="1"/>
            </w:tcBorders>
            <w:shd w:fill="D6EAF8" w:val="clear"/>
            <w:tcMar>
              <w:top w:type="dxa" w:w="100"/>
              <w:left w:type="dxa" w:w="120"/>
              <w:bottom w:type="dxa" w:w="100"/>
              <w:right w:type="dxa" w:w="120"/>
            </w:tcMar>
          </w:tcPr>
          <w:p>
            <w:r>
              <w:rPr>
                <w:rFonts w:ascii="Arial" w:cs="Arial" w:eastAsia="Arial" w:hAnsi="Arial"/>
                <w:b/>
                <w:bCs/>
                <w:color w:val="1B2631"/>
                <w:sz w:val="20"/>
                <w:szCs w:val="20"/>
              </w:rPr>
              <w:t xml:space="preserve">Mortgage Balance</w:t>
            </w:r>
          </w:p>
        </w:tc>
        <w:tc>
          <w:tcPr>
            <w:tcW w:type="dxa" w:w="3120"/>
            <w:tcBorders>
              <w:top w:val="single" w:color="AED6F1" w:sz="1"/>
              <w:left w:val="single" w:color="AED6F1" w:sz="1"/>
              <w:bottom w:val="single" w:color="AED6F1" w:sz="1"/>
              <w:right w:val="single" w:color="AED6F1" w:sz="1"/>
            </w:tcBorders>
            <w:shd w:fill="D6EAF8" w:val="clear"/>
            <w:tcMar>
              <w:top w:type="dxa" w:w="100"/>
              <w:left w:type="dxa" w:w="120"/>
              <w:bottom w:type="dxa" w:w="100"/>
              <w:right w:type="dxa" w:w="120"/>
            </w:tcMar>
          </w:tcPr>
          <w:p>
            <w:r>
              <w:rPr>
                <w:rFonts w:ascii="Arial" w:cs="Arial" w:eastAsia="Arial" w:hAnsi="Arial"/>
                <w:b/>
                <w:bCs/>
                <w:color w:val="1B2631"/>
                <w:sz w:val="20"/>
                <w:szCs w:val="20"/>
              </w:rPr>
              <w:t xml:space="preserve">Net Equity Available</w:t>
            </w:r>
          </w:p>
        </w:tc>
      </w:tr>
      <w:tr>
        <w:tc>
          <w:tcPr>
            <w:tcW w:type="dxa" w:w="31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£250,000</w:t>
            </w:r>
          </w:p>
        </w:tc>
        <w:tc>
          <w:tcPr>
            <w:tcW w:type="dxa" w:w="31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£100,000</w:t>
            </w:r>
          </w:p>
        </w:tc>
        <w:tc>
          <w:tcPr>
            <w:tcW w:type="dxa" w:w="31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£150,000</w:t>
            </w:r>
          </w:p>
        </w:tc>
      </w:tr>
      <w:tr>
        <w:tc>
          <w:tcPr>
            <w:tcW w:type="dxa" w:w="312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£350,000</w:t>
            </w:r>
          </w:p>
        </w:tc>
        <w:tc>
          <w:tcPr>
            <w:tcW w:type="dxa" w:w="312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£180,000</w:t>
            </w:r>
          </w:p>
        </w:tc>
        <w:tc>
          <w:tcPr>
            <w:tcW w:type="dxa" w:w="312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£170,000</w:t>
            </w:r>
          </w:p>
        </w:tc>
      </w:tr>
      <w:tr>
        <w:tc>
          <w:tcPr>
            <w:tcW w:type="dxa" w:w="31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£450,000</w:t>
            </w:r>
          </w:p>
        </w:tc>
        <w:tc>
          <w:tcPr>
            <w:tcW w:type="dxa" w:w="31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£200,000</w:t>
            </w:r>
          </w:p>
        </w:tc>
        <w:tc>
          <w:tcPr>
            <w:tcW w:type="dxa" w:w="31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£250,000</w:t>
            </w:r>
          </w:p>
        </w:tc>
      </w:tr>
      <w:tr>
        <w:tc>
          <w:tcPr>
            <w:tcW w:type="dxa" w:w="312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£600,000</w:t>
            </w:r>
          </w:p>
        </w:tc>
        <w:tc>
          <w:tcPr>
            <w:tcW w:type="dxa" w:w="312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£300,000</w:t>
            </w:r>
          </w:p>
        </w:tc>
        <w:tc>
          <w:tcPr>
            <w:tcW w:type="dxa" w:w="312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£300,000</w:t>
            </w:r>
          </w:p>
        </w:tc>
      </w:tr>
    </w:tbl>
    <w:p>
      <w:pPr>
        <w:spacing w:before="80" w:after="80"/>
      </w:pPr>
      <w:r>
        <w:t xml:space="preserve"/>
      </w:r>
    </w:p>
    <w:p>
      <w:pPr>
        <w:pBdr>
          <w:top w:val="single" w:color="2471A3" w:sz="3"/>
          <w:bottom w:val="single" w:color="2471A3" w:sz="3"/>
        </w:pBdr>
        <w:shd w:fill="D6EAF8" w:val="clear"/>
        <w:spacing w:before="160" w:after="160"/>
      </w:pPr>
      <w:r>
        <w:rPr>
          <w:rFonts w:ascii="Arial" w:cs="Arial" w:eastAsia="Arial" w:hAnsi="Arial"/>
          <w:b/>
          <w:bCs/>
          <w:color w:val="2471A3"/>
          <w:sz w:val="22"/>
          <w:szCs w:val="22"/>
        </w:rPr>
        <w:t xml:space="preserve">ℹ  </w:t>
      </w:r>
      <w:r>
        <w:rPr>
          <w:rFonts w:ascii="Arial" w:cs="Arial" w:eastAsia="Arial" w:hAnsi="Arial"/>
          <w:i/>
          <w:iCs/>
          <w:color w:val="2471A3"/>
          <w:sz w:val="21"/>
          <w:szCs w:val="21"/>
        </w:rPr>
        <w:t xml:space="preserve">These are illustrative examples only. Actual equity will depend on current market valuations and the precise mortgage redemption figure. Selling costs and other deductions are not included above.</w:t>
      </w:r>
    </w:p>
    <w:p>
      <w:pPr>
        <w:pStyle w:val="Heading2"/>
        <w:spacing w:before="280" w:after="140"/>
      </w:pPr>
      <w:r>
        <w:rPr>
          <w:rFonts w:ascii="Arial" w:cs="Arial" w:eastAsia="Arial" w:hAnsi="Arial"/>
          <w:b/>
          <w:bCs/>
          <w:color w:val="1B2631"/>
          <w:sz w:val="28"/>
          <w:szCs w:val="28"/>
        </w:rPr>
        <w:t xml:space="preserve">Illustrative Property Settlement Scenarios</w:t>
      </w:r>
    </w:p>
    <w:p>
      <w:pPr>
        <w:spacing w:before="80" w:after="140"/>
      </w:pPr>
      <w:r>
        <w:rPr>
          <w:rFonts w:ascii="Arial" w:cs="Arial" w:eastAsia="Arial" w:hAnsi="Arial"/>
          <w:color w:val="1B2631"/>
          <w:sz w:val="22"/>
          <w:szCs w:val="22"/>
        </w:rPr>
        <w:t xml:space="preserve">The following examples illustrate how different equity split assumptions affect each party's illustrative share. All figures are simplified and do not account for selling costs, tax, or the treatment of other assets.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rPr>
          <w:tblHeader/>
        </w:trPr>
        <w:tc>
          <w:tcPr>
            <w:tcW w:type="dxa" w:w="4320"/>
            <w:tcBorders>
              <w:top w:val="single" w:color="AED6F1" w:sz="1"/>
              <w:left w:val="single" w:color="AED6F1" w:sz="1"/>
              <w:bottom w:val="single" w:color="AED6F1" w:sz="1"/>
              <w:right w:val="single" w:color="AED6F1" w:sz="1"/>
            </w:tcBorders>
            <w:shd w:fill="D6EAF8" w:val="clear"/>
            <w:tcMar>
              <w:top w:type="dxa" w:w="100"/>
              <w:left w:type="dxa" w:w="120"/>
              <w:bottom w:type="dxa" w:w="100"/>
              <w:right w:type="dxa" w:w="120"/>
            </w:tcMar>
          </w:tcPr>
          <w:p>
            <w:r>
              <w:rPr>
                <w:rFonts w:ascii="Arial" w:cs="Arial" w:eastAsia="Arial" w:hAnsi="Arial"/>
                <w:b/>
                <w:bCs/>
                <w:color w:val="1B2631"/>
                <w:sz w:val="20"/>
                <w:szCs w:val="20"/>
              </w:rPr>
              <w:t xml:space="preserve">Equity Split Assumption</w:t>
            </w:r>
          </w:p>
        </w:tc>
        <w:tc>
          <w:tcPr>
            <w:tcW w:type="dxa" w:w="5040"/>
            <w:tcBorders>
              <w:top w:val="single" w:color="AED6F1" w:sz="1"/>
              <w:left w:val="single" w:color="AED6F1" w:sz="1"/>
              <w:bottom w:val="single" w:color="AED6F1" w:sz="1"/>
              <w:right w:val="single" w:color="AED6F1" w:sz="1"/>
            </w:tcBorders>
            <w:shd w:fill="D6EAF8" w:val="clear"/>
            <w:tcMar>
              <w:top w:type="dxa" w:w="100"/>
              <w:left w:type="dxa" w:w="120"/>
              <w:bottom w:type="dxa" w:w="100"/>
              <w:right w:type="dxa" w:w="120"/>
            </w:tcMar>
          </w:tcPr>
          <w:p>
            <w:r>
              <w:rPr>
                <w:rFonts w:ascii="Arial" w:cs="Arial" w:eastAsia="Arial" w:hAnsi="Arial"/>
                <w:b/>
                <w:bCs/>
                <w:color w:val="1B2631"/>
                <w:sz w:val="20"/>
                <w:szCs w:val="20"/>
              </w:rPr>
              <w:t xml:space="preserve">Illustrative Outcome on £200,000 Equity</w:t>
            </w:r>
          </w:p>
        </w:tc>
      </w:tr>
      <w:tr>
        <w:tc>
          <w:tcPr>
            <w:tcW w:type="dxa" w:w="43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50 / 50</w:t>
            </w:r>
          </w:p>
        </w:tc>
        <w:tc>
          <w:tcPr>
            <w:tcW w:type="dxa" w:w="504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£100,000 to each party</w:t>
            </w:r>
          </w:p>
        </w:tc>
      </w:tr>
      <w:tr>
        <w:tc>
          <w:tcPr>
            <w:tcW w:type="dxa" w:w="432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60 / 40</w:t>
            </w:r>
          </w:p>
        </w:tc>
        <w:tc>
          <w:tcPr>
            <w:tcW w:type="dxa" w:w="504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£120,000 and £80,000</w:t>
            </w:r>
          </w:p>
        </w:tc>
      </w:tr>
      <w:tr>
        <w:tc>
          <w:tcPr>
            <w:tcW w:type="dxa" w:w="43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70 / 30</w:t>
            </w:r>
          </w:p>
        </w:tc>
        <w:tc>
          <w:tcPr>
            <w:tcW w:type="dxa" w:w="504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£140,000 and £60,000</w:t>
            </w:r>
          </w:p>
        </w:tc>
      </w:tr>
      <w:tr>
        <w:tc>
          <w:tcPr>
            <w:tcW w:type="dxa" w:w="432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One party retains equity, other receives assets of equal value</w:t>
            </w:r>
          </w:p>
        </w:tc>
        <w:tc>
          <w:tcPr>
            <w:tcW w:type="dxa" w:w="504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One party keeps home; other receives equivalent from pensions/savings</w:t>
            </w:r>
          </w:p>
        </w:tc>
      </w:tr>
    </w:tbl>
    <w:p>
      <w:pPr>
        <w:spacing w:before="80" w:after="80"/>
      </w:pPr>
      <w:r>
        <w:t xml:space="preserve"/>
      </w:r>
    </w:p>
    <w:p>
      <w:pPr>
        <w:pStyle w:val="Heading2"/>
        <w:spacing w:before="280" w:after="140"/>
      </w:pPr>
      <w:r>
        <w:rPr>
          <w:rFonts w:ascii="Arial" w:cs="Arial" w:eastAsia="Arial" w:hAnsi="Arial"/>
          <w:b/>
          <w:bCs/>
          <w:color w:val="1B2631"/>
          <w:sz w:val="28"/>
          <w:szCs w:val="28"/>
        </w:rPr>
        <w:t xml:space="preserve">Factors That Influence Who Gets the House</w:t>
      </w:r>
    </w:p>
    <w:p>
      <w:pPr>
        <w:spacing w:before="80" w:after="140"/>
      </w:pPr>
      <w:r>
        <w:rPr>
          <w:rFonts w:ascii="Arial" w:cs="Arial" w:eastAsia="Arial" w:hAnsi="Arial"/>
          <w:color w:val="1B2631"/>
          <w:sz w:val="22"/>
          <w:szCs w:val="22"/>
        </w:rPr>
        <w:t xml:space="preserve">In practice, the outcome for the family home is not decided in isolation but as part of the overall financial settlement. Key factors that often influence the decision include:</w:t>
      </w:r>
    </w:p>
    <w:p>
      <w:pPr>
        <w:pStyle w:val="ListParagraph"/>
        <w:numPr>
          <w:ilvl w:val="0"/>
          <w:numId w:val="2"/>
        </w:numPr>
        <w:spacing w:before="60" w:after="60"/>
      </w:pPr>
      <w:r>
        <w:rPr>
          <w:rFonts w:ascii="Arial" w:cs="Arial" w:eastAsia="Arial" w:hAnsi="Arial"/>
          <w:b/>
          <w:bCs/>
          <w:color w:val="1B2631"/>
          <w:sz w:val="22"/>
          <w:szCs w:val="22"/>
        </w:rPr>
        <w:t xml:space="preserve">Presence of dependent children: </w:t>
      </w:r>
      <w:r>
        <w:rPr>
          <w:rFonts w:ascii="Arial" w:cs="Arial" w:eastAsia="Arial" w:hAnsi="Arial"/>
          <w:color w:val="1B2631"/>
          <w:sz w:val="22"/>
          <w:szCs w:val="22"/>
        </w:rPr>
        <w:t xml:space="preserve">Courts in England and Wales prioritise the needs of dependent children. The parent with primary care of children is often, though not always, prioritised in decisions about the family home.</w:t>
      </w:r>
    </w:p>
    <w:p>
      <w:pPr>
        <w:pStyle w:val="ListParagraph"/>
        <w:numPr>
          <w:ilvl w:val="0"/>
          <w:numId w:val="2"/>
        </w:numPr>
        <w:spacing w:before="60" w:after="60"/>
      </w:pPr>
      <w:r>
        <w:rPr>
          <w:rFonts w:ascii="Arial" w:cs="Arial" w:eastAsia="Arial" w:hAnsi="Arial"/>
          <w:b/>
          <w:bCs/>
          <w:color w:val="1B2631"/>
          <w:sz w:val="22"/>
          <w:szCs w:val="22"/>
        </w:rPr>
        <w:t xml:space="preserve">Mortgage affordability: </w:t>
      </w:r>
      <w:r>
        <w:rPr>
          <w:rFonts w:ascii="Arial" w:cs="Arial" w:eastAsia="Arial" w:hAnsi="Arial"/>
          <w:color w:val="1B2631"/>
          <w:sz w:val="22"/>
          <w:szCs w:val="22"/>
        </w:rPr>
        <w:t xml:space="preserve">Whether a buyout is viable depends heavily on whether the remaining party can sustain a mortgage in their sole name on their income.</w:t>
      </w:r>
    </w:p>
    <w:p>
      <w:pPr>
        <w:pStyle w:val="ListParagraph"/>
        <w:numPr>
          <w:ilvl w:val="0"/>
          <w:numId w:val="2"/>
        </w:numPr>
        <w:spacing w:before="60" w:after="60"/>
      </w:pPr>
      <w:r>
        <w:rPr>
          <w:rFonts w:ascii="Arial" w:cs="Arial" w:eastAsia="Arial" w:hAnsi="Arial"/>
          <w:b/>
          <w:bCs/>
          <w:color w:val="1B2631"/>
          <w:sz w:val="22"/>
          <w:szCs w:val="22"/>
        </w:rPr>
        <w:t xml:space="preserve">Overall asset structure: </w:t>
      </w:r>
      <w:r>
        <w:rPr>
          <w:rFonts w:ascii="Arial" w:cs="Arial" w:eastAsia="Arial" w:hAnsi="Arial"/>
          <w:color w:val="1B2631"/>
          <w:sz w:val="22"/>
          <w:szCs w:val="22"/>
        </w:rPr>
        <w:t xml:space="preserve">Where there are substantial pension or savings assets available as offset, a buyout may be easier to structure without a direct payment.</w:t>
      </w:r>
    </w:p>
    <w:p>
      <w:pPr>
        <w:pStyle w:val="ListParagraph"/>
        <w:numPr>
          <w:ilvl w:val="0"/>
          <w:numId w:val="2"/>
        </w:numPr>
        <w:spacing w:before="60" w:after="60"/>
      </w:pPr>
      <w:r>
        <w:rPr>
          <w:rFonts w:ascii="Arial" w:cs="Arial" w:eastAsia="Arial" w:hAnsi="Arial"/>
          <w:b/>
          <w:bCs/>
          <w:color w:val="1B2631"/>
          <w:sz w:val="22"/>
          <w:szCs w:val="22"/>
        </w:rPr>
        <w:t xml:space="preserve">Contributions: </w:t>
      </w:r>
      <w:r>
        <w:rPr>
          <w:rFonts w:ascii="Arial" w:cs="Arial" w:eastAsia="Arial" w:hAnsi="Arial"/>
          <w:color w:val="1B2631"/>
          <w:sz w:val="22"/>
          <w:szCs w:val="22"/>
        </w:rPr>
        <w:t xml:space="preserve">Significant contributions to the purchase or improvement of the property, including inheritance-funded deposits, may be relevant to the settlement discussion.</w:t>
      </w:r>
    </w:p>
    <w:p>
      <w:pPr>
        <w:pStyle w:val="ListParagraph"/>
        <w:numPr>
          <w:ilvl w:val="0"/>
          <w:numId w:val="2"/>
        </w:numPr>
        <w:spacing w:before="60" w:after="60"/>
      </w:pPr>
      <w:r>
        <w:rPr>
          <w:rFonts w:ascii="Arial" w:cs="Arial" w:eastAsia="Arial" w:hAnsi="Arial"/>
          <w:b/>
          <w:bCs/>
          <w:color w:val="1B2631"/>
          <w:sz w:val="22"/>
          <w:szCs w:val="22"/>
        </w:rPr>
        <w:t xml:space="preserve">Housing needs: </w:t>
      </w:r>
      <w:r>
        <w:rPr>
          <w:rFonts w:ascii="Arial" w:cs="Arial" w:eastAsia="Arial" w:hAnsi="Arial"/>
          <w:color w:val="1B2631"/>
          <w:sz w:val="22"/>
          <w:szCs w:val="22"/>
        </w:rPr>
        <w:t xml:space="preserve">Both parties' future housing needs are considered, not just the needs of the party wishing to remain.</w:t>
      </w:r>
    </w:p>
    <w:p>
      <w:pPr>
        <w:pStyle w:val="Heading2"/>
        <w:spacing w:before="280" w:after="140"/>
      </w:pPr>
      <w:r>
        <w:rPr>
          <w:rFonts w:ascii="Arial" w:cs="Arial" w:eastAsia="Arial" w:hAnsi="Arial"/>
          <w:b/>
          <w:bCs/>
          <w:color w:val="1B2631"/>
          <w:sz w:val="28"/>
          <w:szCs w:val="28"/>
        </w:rPr>
        <w:t xml:space="preserve">Using a Property Settlement Calculator</w:t>
      </w:r>
    </w:p>
    <w:p>
      <w:pPr>
        <w:spacing w:before="80" w:after="140"/>
      </w:pPr>
      <w:r>
        <w:rPr>
          <w:rFonts w:ascii="Arial" w:cs="Arial" w:eastAsia="Arial" w:hAnsi="Arial"/>
          <w:color w:val="1B2631"/>
          <w:sz w:val="22"/>
          <w:szCs w:val="22"/>
        </w:rPr>
        <w:t xml:space="preserve">A divorce property settlement modelling tool allows users to input their own figures – property value, mortgage balance, and assumed percentage split – to generate illustrative outcomes showing how different assumptions affect each party's financial position. Users can explore how a buyout arrangement compares to a sale, or how different equity splits interact with the treatment of pensions and savings.</w:t>
      </w:r>
    </w:p>
    <w:p>
      <w:pPr>
        <w:pBdr>
          <w:top w:val="thick" w:color="1E8449" w:sz="10"/>
          <w:bottom w:val="thick" w:color="1E8449" w:sz="10"/>
        </w:pBdr>
        <w:shd w:fill="EAFAF1" w:val="clear"/>
        <w:spacing w:before="280" w:after="280"/>
      </w:pPr>
      <w:r>
        <w:rPr>
          <w:rFonts w:ascii="Arial" w:cs="Arial" w:eastAsia="Arial" w:hAnsi="Arial"/>
          <w:b/>
          <w:bCs/>
          <w:color w:val="1E8449"/>
          <w:sz w:val="22"/>
          <w:szCs w:val="22"/>
        </w:rPr>
        <w:t xml:space="preserve">Try the Tool:  </w:t>
      </w:r>
      <w:r>
        <w:rPr>
          <w:rFonts w:ascii="Arial" w:cs="Arial" w:eastAsia="Arial" w:hAnsi="Arial"/>
          <w:i/>
          <w:iCs/>
          <w:color w:val="1E8449"/>
          <w:sz w:val="22"/>
          <w:szCs w:val="22"/>
        </w:rPr>
        <w:t xml:space="preserve">Try the free modelling tool to explore how different approaches to the family home – a sale, a buyout, or a deferred arrangement – affect the illustrative financial position for both of you. Simply enter your property value, mortgage balance, and a split percentage to see the figures.</w:t>
      </w:r>
    </w:p>
    <w:p>
      <w:pPr>
        <w:pStyle w:val="Heading2"/>
        <w:spacing w:before="280" w:after="140"/>
      </w:pPr>
      <w:r>
        <w:rPr>
          <w:rFonts w:ascii="Arial" w:cs="Arial" w:eastAsia="Arial" w:hAnsi="Arial"/>
          <w:b/>
          <w:bCs/>
          <w:color w:val="1B2631"/>
          <w:sz w:val="28"/>
          <w:szCs w:val="28"/>
        </w:rPr>
        <w:t xml:space="preserve">Frequently Asked Questions</w:t>
      </w:r>
    </w:p>
    <w:p>
      <w:pPr>
        <w:spacing w:before="220" w:after="80"/>
      </w:pPr>
      <w:r>
        <w:rPr>
          <w:rFonts w:ascii="Arial" w:cs="Arial" w:eastAsia="Arial" w:hAnsi="Arial"/>
          <w:b/>
          <w:bCs/>
          <w:color w:val="1A5276"/>
          <w:sz w:val="23"/>
          <w:szCs w:val="23"/>
        </w:rPr>
        <w:t xml:space="preserve">Q: Can one spouse keep the house in a divorce in the UK?</w:t>
      </w:r>
    </w:p>
    <w:p>
      <w:pPr>
        <w:spacing w:before="60" w:after="160"/>
      </w:pPr>
      <w:r>
        <w:rPr>
          <w:rFonts w:ascii="Arial" w:cs="Arial" w:eastAsia="Arial" w:hAnsi="Arial"/>
          <w:color w:val="1B2631"/>
          <w:sz w:val="22"/>
          <w:szCs w:val="22"/>
        </w:rPr>
        <w:t xml:space="preserve">Yes. It is possible for one spouse to retain the family home, typically by buying out the other's share of the equity. Whether this is financially viable depends on the ability to obtain a mortgage in sole name, the overall level of equity in the property, and how the buyout interacts with the rest of the financial settlement. Lender consent is required to remove a party from an existing mortgage.</w:t>
      </w:r>
    </w:p>
    <w:p>
      <w:pPr>
        <w:spacing w:before="220" w:after="80"/>
      </w:pPr>
      <w:r>
        <w:rPr>
          <w:rFonts w:ascii="Arial" w:cs="Arial" w:eastAsia="Arial" w:hAnsi="Arial"/>
          <w:b/>
          <w:bCs/>
          <w:color w:val="1A5276"/>
          <w:sz w:val="23"/>
          <w:szCs w:val="23"/>
        </w:rPr>
        <w:t xml:space="preserve">Q: What is a property buyout in divorce?</w:t>
      </w:r>
    </w:p>
    <w:p>
      <w:pPr>
        <w:spacing w:before="60" w:after="160"/>
      </w:pPr>
      <w:r>
        <w:rPr>
          <w:rFonts w:ascii="Arial" w:cs="Arial" w:eastAsia="Arial" w:hAnsi="Arial"/>
          <w:color w:val="1B2631"/>
          <w:sz w:val="22"/>
          <w:szCs w:val="22"/>
        </w:rPr>
        <w:t xml:space="preserve">A property buyout occurs when one spouse pays the other a sum equivalent to their agreed share of the equity in the family home. In exchange, the departing spouse relinquishes their legal interest in the property. The property is typically remortgaged into the sole name of the remaining party, and the departing spouse is removed from the title deeds. The buyout sum may be paid directly or structured as part of a broader financial settlement.</w:t>
      </w:r>
    </w:p>
    <w:p>
      <w:pPr>
        <w:spacing w:before="220" w:after="80"/>
      </w:pPr>
      <w:r>
        <w:rPr>
          <w:rFonts w:ascii="Arial" w:cs="Arial" w:eastAsia="Arial" w:hAnsi="Arial"/>
          <w:b/>
          <w:bCs/>
          <w:color w:val="1A5276"/>
          <w:sz w:val="23"/>
          <w:szCs w:val="23"/>
        </w:rPr>
        <w:t xml:space="preserve">Q: What is a Mesher Order?</w:t>
      </w:r>
    </w:p>
    <w:p>
      <w:pPr>
        <w:spacing w:before="60" w:after="160"/>
      </w:pPr>
      <w:r>
        <w:rPr>
          <w:rFonts w:ascii="Arial" w:cs="Arial" w:eastAsia="Arial" w:hAnsi="Arial"/>
          <w:color w:val="1B2631"/>
          <w:sz w:val="22"/>
          <w:szCs w:val="22"/>
        </w:rPr>
        <w:t xml:space="preserve">A Mesher Order is a type of deferred sale order made by a court that allows one party – usually the parent caring for dependent children – to remain in the family home until a specified trigger event occurs. At that point, the property is sold and the proceeds divided according to the terms of the order. Mesher Orders provide short-term housing stability but can create long-term financial complexity for both parties.</w:t>
      </w:r>
    </w:p>
    <w:p>
      <w:pPr>
        <w:spacing w:before="220" w:after="80"/>
      </w:pPr>
      <w:r>
        <w:rPr>
          <w:rFonts w:ascii="Arial" w:cs="Arial" w:eastAsia="Arial" w:hAnsi="Arial"/>
          <w:b/>
          <w:bCs/>
          <w:color w:val="1A5276"/>
          <w:sz w:val="23"/>
          <w:szCs w:val="23"/>
        </w:rPr>
        <w:t xml:space="preserve">Q: How is the equity in the family home calculated?</w:t>
      </w:r>
    </w:p>
    <w:p>
      <w:pPr>
        <w:spacing w:before="60" w:after="160"/>
      </w:pPr>
      <w:r>
        <w:rPr>
          <w:rFonts w:ascii="Arial" w:cs="Arial" w:eastAsia="Arial" w:hAnsi="Arial"/>
          <w:color w:val="1B2631"/>
          <w:sz w:val="22"/>
          <w:szCs w:val="22"/>
        </w:rPr>
        <w:t xml:space="preserve">Equity is calculated by subtracting the outstanding mortgage balance (the redemption figure, including any early repayment charges) from the current market value of the property. A formal valuation from a qualified RICS surveyor is typically used for legal purposes. The equity figure – rather than the gross property value – is what is generally subject to division in a settlement.</w:t>
      </w:r>
    </w:p>
    <w:p>
      <w:pPr>
        <w:spacing w:before="220" w:after="80"/>
      </w:pPr>
      <w:r>
        <w:rPr>
          <w:rFonts w:ascii="Arial" w:cs="Arial" w:eastAsia="Arial" w:hAnsi="Arial"/>
          <w:b/>
          <w:bCs/>
          <w:color w:val="1A5276"/>
          <w:sz w:val="23"/>
          <w:szCs w:val="23"/>
        </w:rPr>
        <w:t xml:space="preserve">Q: What if neither party can afford to keep the house?</w:t>
      </w:r>
    </w:p>
    <w:p>
      <w:pPr>
        <w:spacing w:before="60" w:after="160"/>
      </w:pPr>
      <w:r>
        <w:rPr>
          <w:rFonts w:ascii="Arial" w:cs="Arial" w:eastAsia="Arial" w:hAnsi="Arial"/>
          <w:color w:val="1B2631"/>
          <w:sz w:val="22"/>
          <w:szCs w:val="22"/>
        </w:rPr>
        <w:t xml:space="preserve">Where neither party can sustain a mortgage on the property in sole name and no buyout is feasible, a sale is usually the most practical outcome. The proceeds after mortgage redemption and selling costs are then divided as agreed. Courts have the power to order a sale where both parties cannot agree, and a sale may sometimes be the outcome that best serves both parties' long-term financial interests.</w:t>
      </w:r>
    </w:p>
    <w:p>
      <w:pPr>
        <w:spacing w:before="220" w:after="80"/>
      </w:pPr>
      <w:r>
        <w:rPr>
          <w:rFonts w:ascii="Arial" w:cs="Arial" w:eastAsia="Arial" w:hAnsi="Arial"/>
          <w:b/>
          <w:bCs/>
          <w:color w:val="1A5276"/>
          <w:sz w:val="23"/>
          <w:szCs w:val="23"/>
        </w:rPr>
        <w:t xml:space="preserve">Q: Does it matter whose name is on the mortgage?</w:t>
      </w:r>
    </w:p>
    <w:p>
      <w:pPr>
        <w:spacing w:before="60" w:after="160"/>
      </w:pPr>
      <w:r>
        <w:rPr>
          <w:rFonts w:ascii="Arial" w:cs="Arial" w:eastAsia="Arial" w:hAnsi="Arial"/>
          <w:color w:val="1B2631"/>
          <w:sz w:val="22"/>
          <w:szCs w:val="22"/>
        </w:rPr>
        <w:t xml:space="preserve">Being named on the mortgage creates a legal and financial obligation but does not by itself determine entitlement to the property in a divorce. Conversely, not being named on the mortgage does not extinguish a spouse's legal interest in the property. Financial remedy proceedings address ownership and division of equity regardless of how the mortgage or title deeds are structured.</w:t>
      </w:r>
    </w:p>
    <w:p>
      <w:pPr>
        <w:pBdr>
          <w:top w:val="single" w:color="F39C12" w:sz="6"/>
          <w:bottom w:val="single" w:color="F39C12" w:sz="6"/>
        </w:pBdr>
        <w:shd w:fill="FEF9E7" w:val="clear"/>
        <w:spacing w:before="360" w:after="200"/>
      </w:pPr>
      <w:r>
        <w:rPr>
          <w:rFonts w:ascii="Arial" w:cs="Arial" w:eastAsia="Arial" w:hAnsi="Arial"/>
          <w:b/>
          <w:bCs/>
          <w:color w:val="784212"/>
          <w:sz w:val="20"/>
          <w:szCs w:val="20"/>
        </w:rPr>
        <w:t xml:space="preserve">Disclaimer: </w:t>
      </w:r>
      <w:r>
        <w:rPr>
          <w:rFonts w:ascii="Arial" w:cs="Arial" w:eastAsia="Arial" w:hAnsi="Arial"/>
          <w:color w:val="784212"/>
          <w:sz w:val="20"/>
          <w:szCs w:val="20"/>
        </w:rPr>
        <w:t xml:space="preserve">This content is provided for general informational purposes only and does not constitute legal, financial, or investment advice. All figures, scenarios, and examples used throughout this page are illustrative only and are based on simplified general assumptions. Individual circumstances vary significantly. Always seek advice from a qualified family law solicitor and an independent financial adviser before making decisions related to divorce or financial settlements.</w:t>
      </w:r>
    </w:p>
    <w:p>
      <w:pPr>
        <w:pBdr>
          <w:bottom w:val="single" w:color="AED6F1" w:sz="3" w:space="1"/>
        </w:pBdr>
        <w:spacing w:before="180" w:after="180"/>
      </w:pPr>
      <w:r>
        <w:t xml:space="preserve"/>
      </w:r>
    </w:p>
    <w:p>
      <w:r>
        <w:br w:type="page"/>
      </w:r>
    </w:p>
    <w:p>
      <w:pPr>
        <w:pStyle w:val="Heading1"/>
        <w:spacing w:before="360" w:after="180"/>
      </w:pPr>
      <w:r>
        <w:rPr>
          <w:rFonts w:ascii="Arial" w:cs="Arial" w:eastAsia="Arial" w:hAnsi="Arial"/>
          <w:b/>
          <w:bCs/>
          <w:color w:val="1A5276"/>
          <w:sz w:val="40"/>
          <w:szCs w:val="40"/>
        </w:rPr>
        <w:t xml:space="preserve">How Are Pensions Split in a Divorce in the UK?</w:t>
      </w:r>
    </w:p>
    <w:p>
      <w:pPr>
        <w:spacing w:before="80" w:after="200"/>
      </w:pPr>
      <w:r>
        <w:rPr>
          <w:rFonts w:ascii="Arial" w:cs="Arial" w:eastAsia="Arial" w:hAnsi="Arial"/>
          <w:b/>
          <w:bCs/>
          <w:color w:val="5D6D7E"/>
          <w:sz w:val="20"/>
          <w:szCs w:val="20"/>
        </w:rPr>
        <w:t xml:space="preserve">Chapter 4  </w:t>
      </w:r>
      <w:r>
        <w:rPr>
          <w:rFonts w:ascii="Arial" w:cs="Arial" w:eastAsia="Arial" w:hAnsi="Arial"/>
          <w:i/>
          <w:iCs/>
          <w:color w:val="5D6D7E"/>
          <w:sz w:val="20"/>
          <w:szCs w:val="20"/>
        </w:rPr>
        <w:t xml:space="preserve">·  Everything you need to know about pensions in a divorce – one of the most valuable and most misunderstood assets in any settlement.</w:t>
      </w:r>
    </w:p>
    <w:p>
      <w:pPr>
        <w:pBdr>
          <w:bottom w:val="single" w:color="AED6F1" w:sz="3" w:space="1"/>
        </w:pBdr>
        <w:spacing w:before="180" w:after="180"/>
      </w:pPr>
      <w:r>
        <w:t xml:space="preserve"/>
      </w:r>
    </w:p>
    <w:p>
      <w:pPr>
        <w:spacing w:before="80" w:after="140"/>
      </w:pPr>
      <w:r>
        <w:rPr>
          <w:rFonts w:ascii="Arial" w:cs="Arial" w:eastAsia="Arial" w:hAnsi="Arial"/>
          <w:color w:val="1B2631"/>
          <w:sz w:val="22"/>
          <w:szCs w:val="22"/>
        </w:rPr>
        <w:t xml:space="preserve">Pensions are frequently the most significant financial asset accumulated during a long marriage, yet they are often poorly understood and sometimes overlooked during divorce proceedings. Unlike property or savings, pension wealth is not immediately accessible – it is held in a fund that provides income in retirement. This makes pension assets both difficult to value accurately and complex to divide fairly.</w:t>
      </w:r>
    </w:p>
    <w:p>
      <w:pPr>
        <w:spacing w:before="80" w:after="140"/>
      </w:pPr>
      <w:r>
        <w:rPr>
          <w:rFonts w:ascii="Arial" w:cs="Arial" w:eastAsia="Arial" w:hAnsi="Arial"/>
          <w:color w:val="1B2631"/>
          <w:sz w:val="22"/>
          <w:szCs w:val="22"/>
        </w:rPr>
        <w:t xml:space="preserve">In England and Wales, pension assets built up during the marriage are treated as matrimonial assets and are subject to consideration in a financial settlement. This guide explains the main methods by which pensions can be addressed, how pension values are calculated, and why pension treatment is one of the most important – and technically complex – areas of any divorce financial settlement.</w:t>
      </w:r>
    </w:p>
    <w:p>
      <w:pPr>
        <w:pStyle w:val="Heading2"/>
        <w:spacing w:before="280" w:after="140"/>
      </w:pPr>
      <w:r>
        <w:rPr>
          <w:rFonts w:ascii="Arial" w:cs="Arial" w:eastAsia="Arial" w:hAnsi="Arial"/>
          <w:b/>
          <w:bCs/>
          <w:color w:val="1B2631"/>
          <w:sz w:val="28"/>
          <w:szCs w:val="28"/>
        </w:rPr>
        <w:t xml:space="preserve">Why Pensions Matter So Much in Divorce</w:t>
      </w:r>
    </w:p>
    <w:p>
      <w:pPr>
        <w:spacing w:before="80" w:after="140"/>
      </w:pPr>
      <w:r>
        <w:rPr>
          <w:rFonts w:ascii="Arial" w:cs="Arial" w:eastAsia="Arial" w:hAnsi="Arial"/>
          <w:color w:val="1B2631"/>
          <w:sz w:val="22"/>
          <w:szCs w:val="22"/>
        </w:rPr>
        <w:t xml:space="preserve">Research consistently shows that pensions are frequently undervalued or ignored in divorce settlements, often to the significant long-term disadvantage of one party – most commonly women, who statistically accumulate less pension wealth during marriage due to career breaks and part-time working patterns.</w:t>
      </w:r>
    </w:p>
    <w:p>
      <w:pPr>
        <w:spacing w:before="80" w:after="140"/>
      </w:pPr>
      <w:r>
        <w:rPr>
          <w:rFonts w:ascii="Arial" w:cs="Arial" w:eastAsia="Arial" w:hAnsi="Arial"/>
          <w:color w:val="1B2631"/>
          <w:sz w:val="22"/>
          <w:szCs w:val="22"/>
        </w:rPr>
        <w:t xml:space="preserve">For a couple in their 40s or 50s, pension assets can easily represent £100,000, £200,000, or substantially more in combined value. Failing to address pensions properly in a financial settlement can leave one party significantly worse off in retirement, even if the property settlement appeared fair at the time.</w:t>
      </w:r>
    </w:p>
    <w:p>
      <w:pPr>
        <w:pBdr>
          <w:top w:val="single" w:color="2471A3" w:sz="3"/>
          <w:bottom w:val="single" w:color="2471A3" w:sz="3"/>
        </w:pBdr>
        <w:shd w:fill="D6EAF8" w:val="clear"/>
        <w:spacing w:before="160" w:after="160"/>
      </w:pPr>
      <w:r>
        <w:rPr>
          <w:rFonts w:ascii="Arial" w:cs="Arial" w:eastAsia="Arial" w:hAnsi="Arial"/>
          <w:b/>
          <w:bCs/>
          <w:color w:val="2471A3"/>
          <w:sz w:val="22"/>
          <w:szCs w:val="22"/>
        </w:rPr>
        <w:t xml:space="preserve">ℹ  </w:t>
      </w:r>
      <w:r>
        <w:rPr>
          <w:rFonts w:ascii="Arial" w:cs="Arial" w:eastAsia="Arial" w:hAnsi="Arial"/>
          <w:i/>
          <w:iCs/>
          <w:color w:val="2471A3"/>
          <w:sz w:val="21"/>
          <w:szCs w:val="21"/>
        </w:rPr>
        <w:t xml:space="preserve">The Pension Advisory Group published guidance in 2019 recommending that pensions should always be considered in divorce proceedings, and that specialist pension actuarial reports should be obtained in complex cases. Courts expect pension assets to be properly addressed.</w:t>
      </w:r>
    </w:p>
    <w:p>
      <w:pPr>
        <w:pStyle w:val="Heading2"/>
        <w:spacing w:before="280" w:after="140"/>
      </w:pPr>
      <w:r>
        <w:rPr>
          <w:rFonts w:ascii="Arial" w:cs="Arial" w:eastAsia="Arial" w:hAnsi="Arial"/>
          <w:b/>
          <w:bCs/>
          <w:color w:val="1B2631"/>
          <w:sz w:val="28"/>
          <w:szCs w:val="28"/>
        </w:rPr>
        <w:t xml:space="preserve">Method 1: Pension Sharing</w:t>
      </w:r>
    </w:p>
    <w:p>
      <w:pPr>
        <w:spacing w:before="80" w:after="140"/>
      </w:pPr>
      <w:r>
        <w:rPr>
          <w:rFonts w:ascii="Arial" w:cs="Arial" w:eastAsia="Arial" w:hAnsi="Arial"/>
          <w:color w:val="1B2631"/>
          <w:sz w:val="22"/>
          <w:szCs w:val="22"/>
        </w:rPr>
        <w:t xml:space="preserve">Pension sharing is the most direct way to divide pension assets in a divorce. It involves a Pension Sharing Order (PSO) – a formal court order that directs a pension provider to transfer a specified percentage of one party's pension fund to the other party's pension arrangement.</w:t>
      </w:r>
    </w:p>
    <w:p>
      <w:pPr>
        <w:spacing w:before="80" w:after="140"/>
      </w:pPr>
      <w:r>
        <w:rPr>
          <w:rFonts w:ascii="Arial" w:cs="Arial" w:eastAsia="Arial" w:hAnsi="Arial"/>
          <w:color w:val="1B2631"/>
          <w:sz w:val="22"/>
          <w:szCs w:val="22"/>
        </w:rPr>
        <w:t xml:space="preserve">The key features of pension sharing are:</w:t>
      </w:r>
    </w:p>
    <w:p>
      <w:pPr>
        <w:pStyle w:val="ListParagraph"/>
        <w:numPr>
          <w:ilvl w:val="0"/>
          <w:numId w:val="2"/>
        </w:numPr>
        <w:spacing w:before="60" w:after="60"/>
      </w:pPr>
      <w:r>
        <w:rPr>
          <w:rFonts w:ascii="Arial" w:cs="Arial" w:eastAsia="Arial" w:hAnsi="Arial"/>
          <w:b/>
          <w:bCs/>
          <w:color w:val="1B2631"/>
          <w:sz w:val="22"/>
          <w:szCs w:val="22"/>
        </w:rPr>
        <w:t xml:space="preserve">Clean break: </w:t>
      </w:r>
      <w:r>
        <w:rPr>
          <w:rFonts w:ascii="Arial" w:cs="Arial" w:eastAsia="Arial" w:hAnsi="Arial"/>
          <w:color w:val="1B2631"/>
          <w:sz w:val="22"/>
          <w:szCs w:val="22"/>
        </w:rPr>
        <w:t xml:space="preserve">Once implemented, pension sharing creates a complete separation of pension interests. Each party's pension is entirely their own going forward, with no ongoing connection between the two.</w:t>
      </w:r>
    </w:p>
    <w:p>
      <w:pPr>
        <w:pStyle w:val="ListParagraph"/>
        <w:numPr>
          <w:ilvl w:val="0"/>
          <w:numId w:val="2"/>
        </w:numPr>
        <w:spacing w:before="60" w:after="60"/>
      </w:pPr>
      <w:r>
        <w:rPr>
          <w:rFonts w:ascii="Arial" w:cs="Arial" w:eastAsia="Arial" w:hAnsi="Arial"/>
          <w:b/>
          <w:bCs/>
          <w:color w:val="1B2631"/>
          <w:sz w:val="22"/>
          <w:szCs w:val="22"/>
        </w:rPr>
        <w:t xml:space="preserve">Percentage-based: </w:t>
      </w:r>
      <w:r>
        <w:rPr>
          <w:rFonts w:ascii="Arial" w:cs="Arial" w:eastAsia="Arial" w:hAnsi="Arial"/>
          <w:color w:val="1B2631"/>
          <w:sz w:val="22"/>
          <w:szCs w:val="22"/>
        </w:rPr>
        <w:t xml:space="preserve">The PSO specifies a percentage of the pension value to be transferred, not a fixed monetary amount. The actual cash value transferred depends on the pension's value at the date of implementation.</w:t>
      </w:r>
    </w:p>
    <w:p>
      <w:pPr>
        <w:pStyle w:val="ListParagraph"/>
        <w:numPr>
          <w:ilvl w:val="0"/>
          <w:numId w:val="2"/>
        </w:numPr>
        <w:spacing w:before="60" w:after="60"/>
      </w:pPr>
      <w:r>
        <w:rPr>
          <w:rFonts w:ascii="Arial" w:cs="Arial" w:eastAsia="Arial" w:hAnsi="Arial"/>
          <w:b/>
          <w:bCs/>
          <w:color w:val="1B2631"/>
          <w:sz w:val="22"/>
          <w:szCs w:val="22"/>
        </w:rPr>
        <w:t xml:space="preserve">Implementation: </w:t>
      </w:r>
      <w:r>
        <w:rPr>
          <w:rFonts w:ascii="Arial" w:cs="Arial" w:eastAsia="Arial" w:hAnsi="Arial"/>
          <w:color w:val="1B2631"/>
          <w:sz w:val="22"/>
          <w:szCs w:val="22"/>
        </w:rPr>
        <w:t xml:space="preserve">After the divorce is finalised, the pension provider implements the order. The recipient may join the existing scheme (where the rules allow) or transfer the credit to a different pension arrangement.</w:t>
      </w:r>
    </w:p>
    <w:p>
      <w:pPr>
        <w:pStyle w:val="ListParagraph"/>
        <w:numPr>
          <w:ilvl w:val="0"/>
          <w:numId w:val="2"/>
        </w:numPr>
        <w:spacing w:before="60" w:after="60"/>
      </w:pPr>
      <w:r>
        <w:rPr>
          <w:rFonts w:ascii="Arial" w:cs="Arial" w:eastAsia="Arial" w:hAnsi="Arial"/>
          <w:b/>
          <w:bCs/>
          <w:color w:val="1B2631"/>
          <w:sz w:val="22"/>
          <w:szCs w:val="22"/>
        </w:rPr>
        <w:t xml:space="preserve">Cost: </w:t>
      </w:r>
      <w:r>
        <w:rPr>
          <w:rFonts w:ascii="Arial" w:cs="Arial" w:eastAsia="Arial" w:hAnsi="Arial"/>
          <w:color w:val="1B2631"/>
          <w:sz w:val="22"/>
          <w:szCs w:val="22"/>
        </w:rPr>
        <w:t xml:space="preserve">Pension providers typically charge an implementation fee for processing a PSO. This is in addition to any legal costs associated with obtaining the order.</w:t>
      </w:r>
    </w:p>
    <w:p>
      <w:pPr>
        <w:pStyle w:val="Heading2"/>
        <w:spacing w:before="280" w:after="140"/>
      </w:pPr>
      <w:r>
        <w:rPr>
          <w:rFonts w:ascii="Arial" w:cs="Arial" w:eastAsia="Arial" w:hAnsi="Arial"/>
          <w:b/>
          <w:bCs/>
          <w:color w:val="1B2631"/>
          <w:sz w:val="28"/>
          <w:szCs w:val="28"/>
        </w:rPr>
        <w:t xml:space="preserve">Method 2: Pension Offsetting</w:t>
      </w:r>
    </w:p>
    <w:p>
      <w:pPr>
        <w:spacing w:before="80" w:after="140"/>
      </w:pPr>
      <w:r>
        <w:rPr>
          <w:rFonts w:ascii="Arial" w:cs="Arial" w:eastAsia="Arial" w:hAnsi="Arial"/>
          <w:color w:val="1B2631"/>
          <w:sz w:val="22"/>
          <w:szCs w:val="22"/>
        </w:rPr>
        <w:t xml:space="preserve">Pension offsetting is an alternative to pension sharing that avoids the need for a Pension Sharing Order. Instead of dividing pension rights, one party keeps their pension intact, and the other party receives a larger share of different assets – most commonly equity in the family home – in compensation.</w:t>
      </w:r>
    </w:p>
    <w:p>
      <w:pPr>
        <w:spacing w:before="80" w:after="140"/>
      </w:pPr>
      <w:r>
        <w:rPr>
          <w:rFonts w:ascii="Arial" w:cs="Arial" w:eastAsia="Arial" w:hAnsi="Arial"/>
          <w:color w:val="1B2631"/>
          <w:sz w:val="22"/>
          <w:szCs w:val="22"/>
        </w:rPr>
        <w:t xml:space="preserve">Pension offsetting can appear attractive because it avoids the complexity and cost of implementing a PSO. However, it requires careful analysis to ensure that the assets being exchanged represent genuinely comparable values. This is more complex than it might initially appear, because:</w:t>
      </w:r>
    </w:p>
    <w:p>
      <w:pPr>
        <w:pStyle w:val="ListParagraph"/>
        <w:numPr>
          <w:ilvl w:val="0"/>
          <w:numId w:val="2"/>
        </w:numPr>
        <w:spacing w:before="60" w:after="60"/>
      </w:pPr>
      <w:r>
        <w:rPr>
          <w:rFonts w:ascii="Arial" w:cs="Arial" w:eastAsia="Arial" w:hAnsi="Arial"/>
          <w:color w:val="1B2631"/>
          <w:sz w:val="22"/>
          <w:szCs w:val="22"/>
        </w:rPr>
        <w:t xml:space="preserve">Property equity is a realisable asset; pension funds are not accessible until retirement age</w:t>
      </w:r>
    </w:p>
    <w:p>
      <w:pPr>
        <w:pStyle w:val="ListParagraph"/>
        <w:numPr>
          <w:ilvl w:val="0"/>
          <w:numId w:val="2"/>
        </w:numPr>
        <w:spacing w:before="60" w:after="60"/>
      </w:pPr>
      <w:r>
        <w:rPr>
          <w:rFonts w:ascii="Arial" w:cs="Arial" w:eastAsia="Arial" w:hAnsi="Arial"/>
          <w:color w:val="1B2631"/>
          <w:sz w:val="22"/>
          <w:szCs w:val="22"/>
        </w:rPr>
        <w:t xml:space="preserve">Pension funds benefit from tax-advantaged growth; property equity does not</w:t>
      </w:r>
    </w:p>
    <w:p>
      <w:pPr>
        <w:pStyle w:val="ListParagraph"/>
        <w:numPr>
          <w:ilvl w:val="0"/>
          <w:numId w:val="2"/>
        </w:numPr>
        <w:spacing w:before="60" w:after="60"/>
      </w:pPr>
      <w:r>
        <w:rPr>
          <w:rFonts w:ascii="Arial" w:cs="Arial" w:eastAsia="Arial" w:hAnsi="Arial"/>
          <w:color w:val="1B2631"/>
          <w:sz w:val="22"/>
          <w:szCs w:val="22"/>
        </w:rPr>
        <w:t xml:space="preserve">The tax treatment when pension income is drawn differs from the treatment of capital receipts</w:t>
      </w:r>
    </w:p>
    <w:p>
      <w:pPr>
        <w:pStyle w:val="ListParagraph"/>
        <w:numPr>
          <w:ilvl w:val="0"/>
          <w:numId w:val="2"/>
        </w:numPr>
        <w:spacing w:before="60" w:after="60"/>
      </w:pPr>
      <w:r>
        <w:rPr>
          <w:rFonts w:ascii="Arial" w:cs="Arial" w:eastAsia="Arial" w:hAnsi="Arial"/>
          <w:color w:val="1B2631"/>
          <w:sz w:val="22"/>
          <w:szCs w:val="22"/>
        </w:rPr>
        <w:t xml:space="preserve">Actuarial analysis may be required to calculate the true economic value of offsetting a pension against property</w:t>
      </w:r>
    </w:p>
    <w:p>
      <w:pPr>
        <w:spacing w:before="80" w:after="140"/>
      </w:pPr>
      <w:r>
        <w:rPr>
          <w:rFonts w:ascii="Arial" w:cs="Arial" w:eastAsia="Arial" w:hAnsi="Arial"/>
          <w:color w:val="1B2631"/>
          <w:sz w:val="22"/>
          <w:szCs w:val="22"/>
        </w:rPr>
        <w:t xml:space="preserve">Where significant pension values are involved, a specialist pension actuary or Independent Financial Adviser (IFA) with divorce expertise (sometimes called a Pension on Divorce Expert, or PODE) may be instructed to advise on whether an offsetting arrangement represents fair value.</w:t>
      </w:r>
    </w:p>
    <w:p>
      <w:pPr>
        <w:pStyle w:val="Heading2"/>
        <w:spacing w:before="280" w:after="140"/>
      </w:pPr>
      <w:r>
        <w:rPr>
          <w:rFonts w:ascii="Arial" w:cs="Arial" w:eastAsia="Arial" w:hAnsi="Arial"/>
          <w:b/>
          <w:bCs/>
          <w:color w:val="1B2631"/>
          <w:sz w:val="28"/>
          <w:szCs w:val="28"/>
        </w:rPr>
        <w:t xml:space="preserve">Method 3: Earmarking (Pension Attachment Orders)</w:t>
      </w:r>
    </w:p>
    <w:p>
      <w:pPr>
        <w:spacing w:before="80" w:after="140"/>
      </w:pPr>
      <w:r>
        <w:rPr>
          <w:rFonts w:ascii="Arial" w:cs="Arial" w:eastAsia="Arial" w:hAnsi="Arial"/>
          <w:color w:val="1B2631"/>
          <w:sz w:val="22"/>
          <w:szCs w:val="22"/>
        </w:rPr>
        <w:t xml:space="preserve">A third, less commonly used approach is pension earmarking (also known as a pension attachment order). This does not divide the pension immediately but instead directs that a portion of the pension income or lump sum, when it becomes payable in future, is paid to the former spouse.</w:t>
      </w:r>
    </w:p>
    <w:p>
      <w:pPr>
        <w:spacing w:before="80" w:after="140"/>
      </w:pPr>
      <w:r>
        <w:rPr>
          <w:rFonts w:ascii="Arial" w:cs="Arial" w:eastAsia="Arial" w:hAnsi="Arial"/>
          <w:color w:val="1B2631"/>
          <w:sz w:val="22"/>
          <w:szCs w:val="22"/>
        </w:rPr>
        <w:t xml:space="preserve">Earmarking has significant limitations: the former spouse has no control over when the pension member retires or takes benefits; payments cease if the pension member dies before retirement; and if the former spouse remarries, the order typically ceases. For these reasons, pension sharing is generally preferred over earmarking in modern financial settlements.</w:t>
      </w:r>
    </w:p>
    <w:p>
      <w:pPr>
        <w:pStyle w:val="Heading2"/>
        <w:spacing w:before="280" w:after="140"/>
      </w:pPr>
      <w:r>
        <w:rPr>
          <w:rFonts w:ascii="Arial" w:cs="Arial" w:eastAsia="Arial" w:hAnsi="Arial"/>
          <w:b/>
          <w:bCs/>
          <w:color w:val="1B2631"/>
          <w:sz w:val="28"/>
          <w:szCs w:val="28"/>
        </w:rPr>
        <w:t xml:space="preserve">Understanding Pension Valuations – CETV and Beyond</w:t>
      </w:r>
    </w:p>
    <w:p>
      <w:pPr>
        <w:spacing w:before="80" w:after="140"/>
      </w:pPr>
      <w:r>
        <w:rPr>
          <w:rFonts w:ascii="Arial" w:cs="Arial" w:eastAsia="Arial" w:hAnsi="Arial"/>
          <w:color w:val="1B2631"/>
          <w:sz w:val="22"/>
          <w:szCs w:val="22"/>
        </w:rPr>
        <w:t xml:space="preserve">The figure most commonly used in divorce proceedings to compare pension values is the Cash Equivalent Transfer Value (CETV). The CETV is an estimate, calculated by the pension provider, of the capital sum that would need to be invested today to provide the same pension benefits in the future.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AED6F1" w:sz="1"/>
              <w:left w:val="single" w:color="AED6F1" w:sz="1"/>
              <w:bottom w:val="single" w:color="AED6F1" w:sz="1"/>
              <w:right w:val="single" w:color="AED6F1" w:sz="1"/>
            </w:tcBorders>
            <w:shd w:fill="D6EAF8" w:val="clear"/>
            <w:tcMar>
              <w:top w:type="dxa" w:w="100"/>
              <w:left w:type="dxa" w:w="120"/>
              <w:bottom w:type="dxa" w:w="100"/>
              <w:right w:type="dxa" w:w="120"/>
            </w:tcMar>
          </w:tcPr>
          <w:p>
            <w:r>
              <w:rPr>
                <w:rFonts w:ascii="Arial" w:cs="Arial" w:eastAsia="Arial" w:hAnsi="Arial"/>
                <w:b/>
                <w:bCs/>
                <w:color w:val="1B2631"/>
                <w:sz w:val="20"/>
                <w:szCs w:val="20"/>
              </w:rPr>
              <w:t xml:space="preserve">Pension Type</w:t>
            </w:r>
          </w:p>
        </w:tc>
        <w:tc>
          <w:tcPr>
            <w:tcW w:type="dxa" w:w="5760"/>
            <w:tcBorders>
              <w:top w:val="single" w:color="AED6F1" w:sz="1"/>
              <w:left w:val="single" w:color="AED6F1" w:sz="1"/>
              <w:bottom w:val="single" w:color="AED6F1" w:sz="1"/>
              <w:right w:val="single" w:color="AED6F1" w:sz="1"/>
            </w:tcBorders>
            <w:shd w:fill="D6EAF8" w:val="clear"/>
            <w:tcMar>
              <w:top w:type="dxa" w:w="100"/>
              <w:left w:type="dxa" w:w="120"/>
              <w:bottom w:type="dxa" w:w="100"/>
              <w:right w:type="dxa" w:w="120"/>
            </w:tcMar>
          </w:tcPr>
          <w:p>
            <w:r>
              <w:rPr>
                <w:rFonts w:ascii="Arial" w:cs="Arial" w:eastAsia="Arial" w:hAnsi="Arial"/>
                <w:b/>
                <w:bCs/>
                <w:color w:val="1B2631"/>
                <w:sz w:val="20"/>
                <w:szCs w:val="20"/>
              </w:rPr>
              <w:t xml:space="preserve">Valuation Considerations</w:t>
            </w:r>
          </w:p>
        </w:tc>
      </w:tr>
      <w:tr>
        <w:tc>
          <w:tcPr>
            <w:tcW w:type="dxa" w:w="360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Defined Contribution (DC)</w:t>
            </w:r>
          </w:p>
        </w:tc>
        <w:tc>
          <w:tcPr>
            <w:tcW w:type="dxa" w:w="576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CETV equals the fund value – generally straightforward to value and divide</w:t>
            </w:r>
          </w:p>
        </w:tc>
      </w:tr>
      <w:tr>
        <w:tc>
          <w:tcPr>
            <w:tcW w:type="dxa" w:w="360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Defined Benefit (DB) / Final Salary</w:t>
            </w:r>
          </w:p>
        </w:tc>
        <w:tc>
          <w:tcPr>
            <w:tcW w:type="dxa" w:w="576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CETV calculated by the scheme actuary; may significantly understate true economic value</w:t>
            </w:r>
          </w:p>
        </w:tc>
      </w:tr>
      <w:tr>
        <w:tc>
          <w:tcPr>
            <w:tcW w:type="dxa" w:w="360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State Pension</w:t>
            </w:r>
          </w:p>
        </w:tc>
        <w:tc>
          <w:tcPr>
            <w:tcW w:type="dxa" w:w="576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Cannot be shared; each party retains their own State Pension entitlement</w:t>
            </w:r>
          </w:p>
        </w:tc>
      </w:tr>
      <w:tr>
        <w:tc>
          <w:tcPr>
            <w:tcW w:type="dxa" w:w="360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Public Sector Pensions (e.g. NHS, Teachers)</w:t>
            </w:r>
          </w:p>
        </w:tc>
        <w:tc>
          <w:tcPr>
            <w:tcW w:type="dxa" w:w="576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Defined benefit; CETV should be scrutinised carefully – specialist advice often recommended</w:t>
            </w:r>
          </w:p>
        </w:tc>
      </w:tr>
    </w:tbl>
    <w:p>
      <w:pPr>
        <w:spacing w:before="80" w:after="80"/>
      </w:pPr>
      <w:r>
        <w:t xml:space="preserve"/>
      </w:r>
    </w:p>
    <w:p>
      <w:pPr>
        <w:spacing w:before="80" w:after="140"/>
      </w:pPr>
      <w:r>
        <w:rPr>
          <w:rFonts w:ascii="Arial" w:cs="Arial" w:eastAsia="Arial" w:hAnsi="Arial"/>
          <w:color w:val="1B2631"/>
          <w:sz w:val="22"/>
          <w:szCs w:val="22"/>
        </w:rPr>
        <w:t xml:space="preserve">For defined benefit schemes in particular, the CETV figure provided by the scheme can significantly understate the true economic value of the pension. This is especially relevant for public sector pensions (NHS, teachers, civil service, police, armed forces), which are backed by the government and offer guaranteed income in retirement.</w:t>
      </w:r>
    </w:p>
    <w:p>
      <w:pPr>
        <w:spacing w:before="80" w:after="140"/>
      </w:pPr>
      <w:r>
        <w:rPr>
          <w:rFonts w:ascii="Arial" w:cs="Arial" w:eastAsia="Arial" w:hAnsi="Arial"/>
          <w:color w:val="1B2631"/>
          <w:sz w:val="22"/>
          <w:szCs w:val="22"/>
        </w:rPr>
        <w:t xml:space="preserve">Where the combined value of pension assets is substantial, or where one party holds a defined benefit pension, the court or solicitors may recommend commissioning an actuarial report from a Pension on Divorce Expert (PODE). This provides an independent assessment of the fair value of pension division in the specific circumstances.</w:t>
      </w:r>
    </w:p>
    <w:p>
      <w:pPr>
        <w:pStyle w:val="Heading2"/>
        <w:spacing w:before="280" w:after="140"/>
      </w:pPr>
      <w:r>
        <w:rPr>
          <w:rFonts w:ascii="Arial" w:cs="Arial" w:eastAsia="Arial" w:hAnsi="Arial"/>
          <w:b/>
          <w:bCs/>
          <w:color w:val="1B2631"/>
          <w:sz w:val="28"/>
          <w:szCs w:val="28"/>
        </w:rPr>
        <w:t xml:space="preserve">Modelling Pension Settlement Scenarios</w:t>
      </w:r>
    </w:p>
    <w:p>
      <w:pPr>
        <w:spacing w:before="80" w:after="140"/>
      </w:pPr>
      <w:r>
        <w:rPr>
          <w:rFonts w:ascii="Arial" w:cs="Arial" w:eastAsia="Arial" w:hAnsi="Arial"/>
          <w:color w:val="1B2631"/>
          <w:sz w:val="22"/>
          <w:szCs w:val="22"/>
        </w:rPr>
        <w:t xml:space="preserve">Because pension values interact with property equity, savings, and other assets in the overall settlement, it can be very helpful to model how different approaches to pension treatment affect the total financial picture for both parties.</w:t>
      </w:r>
    </w:p>
    <w:p>
      <w:pPr>
        <w:spacing w:before="80" w:after="140"/>
      </w:pPr>
      <w:r>
        <w:rPr>
          <w:rFonts w:ascii="Arial" w:cs="Arial" w:eastAsia="Arial" w:hAnsi="Arial"/>
          <w:color w:val="1B2631"/>
          <w:sz w:val="22"/>
          <w:szCs w:val="22"/>
        </w:rPr>
        <w:t xml:space="preserve">A modelling tool can show, for example:</w:t>
      </w:r>
    </w:p>
    <w:p>
      <w:pPr>
        <w:pStyle w:val="ListParagraph"/>
        <w:numPr>
          <w:ilvl w:val="0"/>
          <w:numId w:val="2"/>
        </w:numPr>
        <w:spacing w:before="60" w:after="60"/>
      </w:pPr>
      <w:r>
        <w:rPr>
          <w:rFonts w:ascii="Arial" w:cs="Arial" w:eastAsia="Arial" w:hAnsi="Arial"/>
          <w:color w:val="1B2631"/>
          <w:sz w:val="22"/>
          <w:szCs w:val="22"/>
        </w:rPr>
        <w:t xml:space="preserve">How a 50% pension share on a £200,000 CETV affects the overall asset split</w:t>
      </w:r>
    </w:p>
    <w:p>
      <w:pPr>
        <w:pStyle w:val="ListParagraph"/>
        <w:numPr>
          <w:ilvl w:val="0"/>
          <w:numId w:val="2"/>
        </w:numPr>
        <w:spacing w:before="60" w:after="60"/>
      </w:pPr>
      <w:r>
        <w:rPr>
          <w:rFonts w:ascii="Arial" w:cs="Arial" w:eastAsia="Arial" w:hAnsi="Arial"/>
          <w:color w:val="1B2631"/>
          <w:sz w:val="22"/>
          <w:szCs w:val="22"/>
        </w:rPr>
        <w:t xml:space="preserve">How a pension offset arrangement compares to an equal split of all assets</w:t>
      </w:r>
    </w:p>
    <w:p>
      <w:pPr>
        <w:pStyle w:val="ListParagraph"/>
        <w:numPr>
          <w:ilvl w:val="0"/>
          <w:numId w:val="2"/>
        </w:numPr>
        <w:spacing w:before="60" w:after="60"/>
      </w:pPr>
      <w:r>
        <w:rPr>
          <w:rFonts w:ascii="Arial" w:cs="Arial" w:eastAsia="Arial" w:hAnsi="Arial"/>
          <w:color w:val="1B2631"/>
          <w:sz w:val="22"/>
          <w:szCs w:val="22"/>
        </w:rPr>
        <w:t xml:space="preserve">The difference between treating pensions at CETV versus an adjusted actuarial value</w:t>
      </w:r>
    </w:p>
    <w:p>
      <w:pPr>
        <w:pBdr>
          <w:top w:val="thick" w:color="1E8449" w:sz="10"/>
          <w:bottom w:val="thick" w:color="1E8449" w:sz="10"/>
        </w:pBdr>
        <w:shd w:fill="EAFAF1" w:val="clear"/>
        <w:spacing w:before="280" w:after="280"/>
      </w:pPr>
      <w:r>
        <w:rPr>
          <w:rFonts w:ascii="Arial" w:cs="Arial" w:eastAsia="Arial" w:hAnsi="Arial"/>
          <w:b/>
          <w:bCs/>
          <w:color w:val="1E8449"/>
          <w:sz w:val="22"/>
          <w:szCs w:val="22"/>
        </w:rPr>
        <w:t xml:space="preserve">Try the Tool:  </w:t>
      </w:r>
      <w:r>
        <w:rPr>
          <w:rFonts w:ascii="Arial" w:cs="Arial" w:eastAsia="Arial" w:hAnsi="Arial"/>
          <w:i/>
          <w:iCs/>
          <w:color w:val="1E8449"/>
          <w:sz w:val="22"/>
          <w:szCs w:val="22"/>
        </w:rPr>
        <w:t xml:space="preserve">Use the free modelling tool to explore how different approaches to your pension – sharing, offsetting, or a combination – affect the overall illustrative picture when combined with your property, savings, and other assets. Enter your own CETV figures to get started.</w:t>
      </w:r>
    </w:p>
    <w:p>
      <w:pPr>
        <w:pStyle w:val="Heading2"/>
        <w:spacing w:before="280" w:after="140"/>
      </w:pPr>
      <w:r>
        <w:rPr>
          <w:rFonts w:ascii="Arial" w:cs="Arial" w:eastAsia="Arial" w:hAnsi="Arial"/>
          <w:b/>
          <w:bCs/>
          <w:color w:val="1B2631"/>
          <w:sz w:val="28"/>
          <w:szCs w:val="28"/>
        </w:rPr>
        <w:t xml:space="preserve">Frequently Asked Questions</w:t>
      </w:r>
    </w:p>
    <w:p>
      <w:pPr>
        <w:spacing w:before="220" w:after="80"/>
      </w:pPr>
      <w:r>
        <w:rPr>
          <w:rFonts w:ascii="Arial" w:cs="Arial" w:eastAsia="Arial" w:hAnsi="Arial"/>
          <w:b/>
          <w:bCs/>
          <w:color w:val="1A5276"/>
          <w:sz w:val="23"/>
          <w:szCs w:val="23"/>
        </w:rPr>
        <w:t xml:space="preserve">Q: Are pensions always included in a divorce settlement?</w:t>
      </w:r>
    </w:p>
    <w:p>
      <w:pPr>
        <w:spacing w:before="60" w:after="160"/>
      </w:pPr>
      <w:r>
        <w:rPr>
          <w:rFonts w:ascii="Arial" w:cs="Arial" w:eastAsia="Arial" w:hAnsi="Arial"/>
          <w:color w:val="1B2631"/>
          <w:sz w:val="22"/>
          <w:szCs w:val="22"/>
        </w:rPr>
        <w:t xml:space="preserve">Pension assets accumulated during the marriage are treated as matrimonial assets in England and Wales and are expected to be considered as part of financial remedy proceedings. Courts expect full pension disclosure and will consider pensions as part of the overall financial settlement, even if both parties ultimately agree to address them through offsetting rather than sharing. Failing to properly address pensions in a settlement can leave one party significantly financially disadvantaged in retirement.</w:t>
      </w:r>
    </w:p>
    <w:p>
      <w:pPr>
        <w:spacing w:before="220" w:after="80"/>
      </w:pPr>
      <w:r>
        <w:rPr>
          <w:rFonts w:ascii="Arial" w:cs="Arial" w:eastAsia="Arial" w:hAnsi="Arial"/>
          <w:b/>
          <w:bCs/>
          <w:color w:val="1A5276"/>
          <w:sz w:val="23"/>
          <w:szCs w:val="23"/>
        </w:rPr>
        <w:t xml:space="preserve">Q: What is a Pension Sharing Order?</w:t>
      </w:r>
    </w:p>
    <w:p>
      <w:pPr>
        <w:spacing w:before="60" w:after="160"/>
      </w:pPr>
      <w:r>
        <w:rPr>
          <w:rFonts w:ascii="Arial" w:cs="Arial" w:eastAsia="Arial" w:hAnsi="Arial"/>
          <w:color w:val="1B2631"/>
          <w:sz w:val="22"/>
          <w:szCs w:val="22"/>
        </w:rPr>
        <w:t xml:space="preserve">A Pension Sharing Order (PSO) is a formal legal document made by a court that requires a pension provider to transfer a specified percentage of one party's pension rights to the other party. It creates a clean break in respect of the pension, separating each party's pension interests completely. The order is implemented by the pension provider after the divorce is finalised, and the recipient can either join the existing scheme or transfer the credit to a different arrangement.</w:t>
      </w:r>
    </w:p>
    <w:p>
      <w:pPr>
        <w:spacing w:before="220" w:after="80"/>
      </w:pPr>
      <w:r>
        <w:rPr>
          <w:rFonts w:ascii="Arial" w:cs="Arial" w:eastAsia="Arial" w:hAnsi="Arial"/>
          <w:b/>
          <w:bCs/>
          <w:color w:val="1A5276"/>
          <w:sz w:val="23"/>
          <w:szCs w:val="23"/>
        </w:rPr>
        <w:t xml:space="preserve">Q: What is pension offsetting and when is it used?</w:t>
      </w:r>
    </w:p>
    <w:p>
      <w:pPr>
        <w:spacing w:before="60" w:after="160"/>
      </w:pPr>
      <w:r>
        <w:rPr>
          <w:rFonts w:ascii="Arial" w:cs="Arial" w:eastAsia="Arial" w:hAnsi="Arial"/>
          <w:color w:val="1B2631"/>
          <w:sz w:val="22"/>
          <w:szCs w:val="22"/>
        </w:rPr>
        <w:t xml:space="preserve">Pension offsetting is an arrangement where one party retains their full pension and the other receives a larger share of alternative assets – most commonly property equity – as compensation. It avoids the need for a formal Pension Sharing Order but requires careful valuation work to ensure that the assets exchanged represent comparable economic values. Specialist advice from a Pension on Divorce Expert (PODE) is often recommended where significant pension values are involved.</w:t>
      </w:r>
    </w:p>
    <w:p>
      <w:pPr>
        <w:spacing w:before="220" w:after="80"/>
      </w:pPr>
      <w:r>
        <w:rPr>
          <w:rFonts w:ascii="Arial" w:cs="Arial" w:eastAsia="Arial" w:hAnsi="Arial"/>
          <w:b/>
          <w:bCs/>
          <w:color w:val="1A5276"/>
          <w:sz w:val="23"/>
          <w:szCs w:val="23"/>
        </w:rPr>
        <w:t xml:space="preserve">Q: What is a CETV and how is it used in divorce?</w:t>
      </w:r>
    </w:p>
    <w:p>
      <w:pPr>
        <w:spacing w:before="60" w:after="160"/>
      </w:pPr>
      <w:r>
        <w:rPr>
          <w:rFonts w:ascii="Arial" w:cs="Arial" w:eastAsia="Arial" w:hAnsi="Arial"/>
          <w:color w:val="1B2631"/>
          <w:sz w:val="22"/>
          <w:szCs w:val="22"/>
        </w:rPr>
        <w:t xml:space="preserve">CETV stands for Cash Equivalent Transfer Value. It is a figure calculated by the pension provider representing the estimated capital value of the pension benefits accumulated to date. CETVs are used in divorce proceedings to compare the value of pension assets against other assets in the settlement. However, particularly for defined benefit (final salary) schemes, the CETV may not accurately reflect the true economic value of the pension, and specialist actuarial assessment is sometimes needed.</w:t>
      </w:r>
    </w:p>
    <w:p>
      <w:pPr>
        <w:spacing w:before="220" w:after="80"/>
      </w:pPr>
      <w:r>
        <w:rPr>
          <w:rFonts w:ascii="Arial" w:cs="Arial" w:eastAsia="Arial" w:hAnsi="Arial"/>
          <w:b/>
          <w:bCs/>
          <w:color w:val="1A5276"/>
          <w:sz w:val="23"/>
          <w:szCs w:val="23"/>
        </w:rPr>
        <w:t xml:space="preserve">Q: Can the State Pension be split in a divorce?</w:t>
      </w:r>
    </w:p>
    <w:p>
      <w:pPr>
        <w:spacing w:before="60" w:after="160"/>
      </w:pPr>
      <w:r>
        <w:rPr>
          <w:rFonts w:ascii="Arial" w:cs="Arial" w:eastAsia="Arial" w:hAnsi="Arial"/>
          <w:color w:val="1B2631"/>
          <w:sz w:val="22"/>
          <w:szCs w:val="22"/>
        </w:rPr>
        <w:t xml:space="preserve">No. The State Pension cannot be shared or transferred in divorce proceedings. Each person retains their own State Pension entitlement based on their individual National Insurance contributions record. It is possible, in some circumstances, to use a former spouse's National Insurance record to increase your own State Pension entitlement, but this is a separate matter from financial remedy proceedings and should be explored with the Department for Work and Pensions.</w:t>
      </w:r>
    </w:p>
    <w:p>
      <w:pPr>
        <w:spacing w:before="220" w:after="80"/>
      </w:pPr>
      <w:r>
        <w:rPr>
          <w:rFonts w:ascii="Arial" w:cs="Arial" w:eastAsia="Arial" w:hAnsi="Arial"/>
          <w:b/>
          <w:bCs/>
          <w:color w:val="1A5276"/>
          <w:sz w:val="23"/>
          <w:szCs w:val="23"/>
        </w:rPr>
        <w:t xml:space="preserve">Q: What is a Pension on Divorce Expert (PODE)?</w:t>
      </w:r>
    </w:p>
    <w:p>
      <w:pPr>
        <w:spacing w:before="60" w:after="160"/>
      </w:pPr>
      <w:r>
        <w:rPr>
          <w:rFonts w:ascii="Arial" w:cs="Arial" w:eastAsia="Arial" w:hAnsi="Arial"/>
          <w:color w:val="1B2631"/>
          <w:sz w:val="22"/>
          <w:szCs w:val="22"/>
        </w:rPr>
        <w:t xml:space="preserve">A Pension on Divorce Expert (PODE) is a specialist – typically an actuary or suitably qualified financial adviser – who provides independent expert analysis of pension assets in divorce proceedings. A PODE can assess whether the CETV accurately reflects the economic value of the pension, calculate the appropriate percentage share required to achieve a particular outcome, and advise on whether pension sharing or offsetting represents fair value in the specific circumstances. Their reports are used to inform settlement negotiations and, where necessary, court proceedings.</w:t>
      </w:r>
    </w:p>
    <w:p>
      <w:pPr>
        <w:pBdr>
          <w:top w:val="single" w:color="F39C12" w:sz="6"/>
          <w:bottom w:val="single" w:color="F39C12" w:sz="6"/>
        </w:pBdr>
        <w:shd w:fill="FEF9E7" w:val="clear"/>
        <w:spacing w:before="360" w:after="200"/>
      </w:pPr>
      <w:r>
        <w:rPr>
          <w:rFonts w:ascii="Arial" w:cs="Arial" w:eastAsia="Arial" w:hAnsi="Arial"/>
          <w:b/>
          <w:bCs/>
          <w:color w:val="784212"/>
          <w:sz w:val="20"/>
          <w:szCs w:val="20"/>
        </w:rPr>
        <w:t xml:space="preserve">Disclaimer: </w:t>
      </w:r>
      <w:r>
        <w:rPr>
          <w:rFonts w:ascii="Arial" w:cs="Arial" w:eastAsia="Arial" w:hAnsi="Arial"/>
          <w:color w:val="784212"/>
          <w:sz w:val="20"/>
          <w:szCs w:val="20"/>
        </w:rPr>
        <w:t xml:space="preserve">This content is provided for general informational purposes only and does not constitute legal, financial, or investment advice. All figures, scenarios, and examples used throughout this page are illustrative only and are based on simplified general assumptions. Individual circumstances vary significantly. Always seek advice from a qualified family law solicitor and an independent financial adviser before making decisions related to divorce or financial settlements.</w:t>
      </w:r>
    </w:p>
    <w:p>
      <w:pPr>
        <w:pBdr>
          <w:bottom w:val="single" w:color="AED6F1" w:sz="3" w:space="1"/>
        </w:pBdr>
        <w:spacing w:before="180" w:after="180"/>
      </w:pPr>
      <w:r>
        <w:t xml:space="preserve"/>
      </w:r>
    </w:p>
    <w:p>
      <w:r>
        <w:br w:type="page"/>
      </w:r>
    </w:p>
    <w:p>
      <w:pPr>
        <w:pStyle w:val="Heading1"/>
        <w:spacing w:before="360" w:after="180"/>
      </w:pPr>
      <w:r>
        <w:rPr>
          <w:rFonts w:ascii="Arial" w:cs="Arial" w:eastAsia="Arial" w:hAnsi="Arial"/>
          <w:b/>
          <w:bCs/>
          <w:color w:val="1A5276"/>
          <w:sz w:val="40"/>
          <w:szCs w:val="40"/>
        </w:rPr>
        <w:t xml:space="preserve">Divorce Settlement Examples UK – Illustrative Scenarios</w:t>
      </w:r>
    </w:p>
    <w:p>
      <w:pPr>
        <w:spacing w:before="80" w:after="200"/>
      </w:pPr>
      <w:r>
        <w:rPr>
          <w:rFonts w:ascii="Arial" w:cs="Arial" w:eastAsia="Arial" w:hAnsi="Arial"/>
          <w:b/>
          <w:bCs/>
          <w:color w:val="5D6D7E"/>
          <w:sz w:val="20"/>
          <w:szCs w:val="20"/>
        </w:rPr>
        <w:t xml:space="preserve">Chapter 5  </w:t>
      </w:r>
      <w:r>
        <w:rPr>
          <w:rFonts w:ascii="Arial" w:cs="Arial" w:eastAsia="Arial" w:hAnsi="Arial"/>
          <w:i/>
          <w:iCs/>
          <w:color w:val="5D6D7E"/>
          <w:sz w:val="20"/>
          <w:szCs w:val="20"/>
        </w:rPr>
        <w:t xml:space="preserve">·  Three worked illustrative scenarios showing how settlements can be structured – and how changing one assumption changes everything.</w:t>
      </w:r>
    </w:p>
    <w:p>
      <w:pPr>
        <w:pBdr>
          <w:bottom w:val="single" w:color="AED6F1" w:sz="3" w:space="1"/>
        </w:pBdr>
        <w:spacing w:before="180" w:after="180"/>
      </w:pPr>
      <w:r>
        <w:t xml:space="preserve"/>
      </w:r>
    </w:p>
    <w:p>
      <w:pPr>
        <w:spacing w:before="80" w:after="140"/>
      </w:pPr>
      <w:r>
        <w:rPr>
          <w:rFonts w:ascii="Arial" w:cs="Arial" w:eastAsia="Arial" w:hAnsi="Arial"/>
          <w:color w:val="1B2631"/>
          <w:sz w:val="22"/>
          <w:szCs w:val="22"/>
        </w:rPr>
        <w:t xml:space="preserve">One of the most common questions people ask when facing divorce is: what does a settlement actually look like in practice? While every case is unique and outcomes depend heavily on individual circumstances, illustrative examples can help build a clearer picture of how different approaches to asset division interact and what the financial implications might be.</w:t>
      </w:r>
    </w:p>
    <w:p>
      <w:pPr>
        <w:spacing w:before="80" w:after="140"/>
      </w:pPr>
      <w:r>
        <w:rPr>
          <w:rFonts w:ascii="Arial" w:cs="Arial" w:eastAsia="Arial" w:hAnsi="Arial"/>
          <w:color w:val="1B2631"/>
          <w:sz w:val="22"/>
          <w:szCs w:val="22"/>
        </w:rPr>
        <w:t xml:space="preserve">The scenarios below are provided for general informational purposes only. They are based on simplified, illustrative figures and do not represent typical or expected outcomes in any real case. Asset values have been simplified and factors such as tax implications, selling costs, actuarial adjustments, and individual legal circumstances have not been accounted for.</w:t>
      </w:r>
    </w:p>
    <w:p>
      <w:pPr>
        <w:pBdr>
          <w:top w:val="single" w:color="2471A3" w:sz="3"/>
          <w:bottom w:val="single" w:color="2471A3" w:sz="3"/>
        </w:pBdr>
        <w:shd w:fill="D6EAF8" w:val="clear"/>
        <w:spacing w:before="160" w:after="160"/>
      </w:pPr>
      <w:r>
        <w:rPr>
          <w:rFonts w:ascii="Arial" w:cs="Arial" w:eastAsia="Arial" w:hAnsi="Arial"/>
          <w:b/>
          <w:bCs/>
          <w:color w:val="2471A3"/>
          <w:sz w:val="22"/>
          <w:szCs w:val="22"/>
        </w:rPr>
        <w:t xml:space="preserve">ℹ  </w:t>
      </w:r>
      <w:r>
        <w:rPr>
          <w:rFonts w:ascii="Arial" w:cs="Arial" w:eastAsia="Arial" w:hAnsi="Arial"/>
          <w:i/>
          <w:iCs/>
          <w:color w:val="2471A3"/>
          <w:sz w:val="21"/>
          <w:szCs w:val="21"/>
        </w:rPr>
        <w:t xml:space="preserve">None of the examples below constitute legal or financial advice. They are designed to illustrate the mechanics of asset division under different assumptions. Always seek qualified legal and financial advice before making decisions about your own financial settlement.</w:t>
      </w:r>
    </w:p>
    <w:p>
      <w:pPr>
        <w:pStyle w:val="Heading2"/>
        <w:spacing w:before="280" w:after="140"/>
      </w:pPr>
      <w:r>
        <w:rPr>
          <w:rFonts w:ascii="Arial" w:cs="Arial" w:eastAsia="Arial" w:hAnsi="Arial"/>
          <w:b/>
          <w:bCs/>
          <w:color w:val="1B2631"/>
          <w:sz w:val="28"/>
          <w:szCs w:val="28"/>
        </w:rPr>
        <w:t xml:space="preserve">Illustrative Example 1 – Property Sale, Equal Division of All Assets</w:t>
      </w:r>
    </w:p>
    <w:p>
      <w:pPr>
        <w:spacing w:before="80" w:after="140"/>
      </w:pPr>
      <w:r>
        <w:rPr>
          <w:rFonts w:ascii="Arial" w:cs="Arial" w:eastAsia="Arial" w:hAnsi="Arial"/>
          <w:color w:val="1B2631"/>
          <w:sz w:val="22"/>
          <w:szCs w:val="22"/>
        </w:rPr>
        <w:t xml:space="preserve">In this scenario, a married couple with one property, pension assets, and savings reaches agreement to sell the family home and divide all matrimonial assets equally. This approach is sometimes described as a 'clean break' settlement.</w:t>
      </w:r>
    </w:p>
    <w:p>
      <w:pPr>
        <w:spacing w:before="80" w:after="140"/>
      </w:pPr>
      <w:r>
        <w:rPr>
          <w:rFonts w:ascii="Arial" w:cs="Arial" w:eastAsia="Arial" w:hAnsi="Arial"/>
          <w:color w:val="1B2631"/>
          <w:sz w:val="22"/>
          <w:szCs w:val="22"/>
        </w:rPr>
        <w:t xml:space="preserve">Assumed financial position: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rPr>
          <w:tblHeader/>
        </w:trPr>
        <w:tc>
          <w:tcPr>
            <w:tcW w:type="dxa" w:w="5040"/>
            <w:tcBorders>
              <w:top w:val="single" w:color="AED6F1" w:sz="1"/>
              <w:left w:val="single" w:color="AED6F1" w:sz="1"/>
              <w:bottom w:val="single" w:color="AED6F1" w:sz="1"/>
              <w:right w:val="single" w:color="AED6F1" w:sz="1"/>
            </w:tcBorders>
            <w:shd w:fill="D6EAF8" w:val="clear"/>
            <w:tcMar>
              <w:top w:type="dxa" w:w="100"/>
              <w:left w:type="dxa" w:w="120"/>
              <w:bottom w:type="dxa" w:w="100"/>
              <w:right w:type="dxa" w:w="120"/>
            </w:tcMar>
          </w:tcPr>
          <w:p>
            <w:r>
              <w:rPr>
                <w:rFonts w:ascii="Arial" w:cs="Arial" w:eastAsia="Arial" w:hAnsi="Arial"/>
                <w:b/>
                <w:bCs/>
                <w:color w:val="1B2631"/>
                <w:sz w:val="20"/>
                <w:szCs w:val="20"/>
              </w:rPr>
              <w:t xml:space="preserve">Asset</w:t>
            </w:r>
          </w:p>
        </w:tc>
        <w:tc>
          <w:tcPr>
            <w:tcW w:type="dxa" w:w="4320"/>
            <w:tcBorders>
              <w:top w:val="single" w:color="AED6F1" w:sz="1"/>
              <w:left w:val="single" w:color="AED6F1" w:sz="1"/>
              <w:bottom w:val="single" w:color="AED6F1" w:sz="1"/>
              <w:right w:val="single" w:color="AED6F1" w:sz="1"/>
            </w:tcBorders>
            <w:shd w:fill="D6EAF8" w:val="clear"/>
            <w:tcMar>
              <w:top w:type="dxa" w:w="100"/>
              <w:left w:type="dxa" w:w="120"/>
              <w:bottom w:type="dxa" w:w="100"/>
              <w:right w:type="dxa" w:w="120"/>
            </w:tcMar>
          </w:tcPr>
          <w:p>
            <w:r>
              <w:rPr>
                <w:rFonts w:ascii="Arial" w:cs="Arial" w:eastAsia="Arial" w:hAnsi="Arial"/>
                <w:b/>
                <w:bCs/>
                <w:color w:val="1B2631"/>
                <w:sz w:val="20"/>
                <w:szCs w:val="20"/>
              </w:rPr>
              <w:t xml:space="preserve">Illustrative Value</w:t>
            </w:r>
          </w:p>
        </w:tc>
      </w:tr>
      <w:tr>
        <w:tc>
          <w:tcPr>
            <w:tcW w:type="dxa" w:w="504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Family home (current market value)</w:t>
            </w:r>
          </w:p>
        </w:tc>
        <w:tc>
          <w:tcPr>
            <w:tcW w:type="dxa" w:w="43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£380,000</w:t>
            </w:r>
          </w:p>
        </w:tc>
      </w:tr>
      <w:tr>
        <w:tc>
          <w:tcPr>
            <w:tcW w:type="dxa" w:w="504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Outstanding mortgage balance</w:t>
            </w:r>
          </w:p>
        </w:tc>
        <w:tc>
          <w:tcPr>
            <w:tcW w:type="dxa" w:w="432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£160,000</w:t>
            </w:r>
          </w:p>
        </w:tc>
      </w:tr>
      <w:tr>
        <w:tc>
          <w:tcPr>
            <w:tcW w:type="dxa" w:w="504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Net property equity</w:t>
            </w:r>
          </w:p>
        </w:tc>
        <w:tc>
          <w:tcPr>
            <w:tcW w:type="dxa" w:w="43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£220,000</w:t>
            </w:r>
          </w:p>
        </w:tc>
      </w:tr>
      <w:tr>
        <w:tc>
          <w:tcPr>
            <w:tcW w:type="dxa" w:w="504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Party A pension (CETV)</w:t>
            </w:r>
          </w:p>
        </w:tc>
        <w:tc>
          <w:tcPr>
            <w:tcW w:type="dxa" w:w="432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£95,000</w:t>
            </w:r>
          </w:p>
        </w:tc>
      </w:tr>
      <w:tr>
        <w:tc>
          <w:tcPr>
            <w:tcW w:type="dxa" w:w="504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Party B pension (CETV)</w:t>
            </w:r>
          </w:p>
        </w:tc>
        <w:tc>
          <w:tcPr>
            <w:tcW w:type="dxa" w:w="43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£55,000</w:t>
            </w:r>
          </w:p>
        </w:tc>
      </w:tr>
      <w:tr>
        <w:tc>
          <w:tcPr>
            <w:tcW w:type="dxa" w:w="504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Joint savings and ISAs</w:t>
            </w:r>
          </w:p>
        </w:tc>
        <w:tc>
          <w:tcPr>
            <w:tcW w:type="dxa" w:w="432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£30,000</w:t>
            </w:r>
          </w:p>
        </w:tc>
      </w:tr>
      <w:tr>
        <w:tc>
          <w:tcPr>
            <w:tcW w:type="dxa" w:w="504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Total net assets</w:t>
            </w:r>
          </w:p>
        </w:tc>
        <w:tc>
          <w:tcPr>
            <w:tcW w:type="dxa" w:w="43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£400,000</w:t>
            </w:r>
          </w:p>
        </w:tc>
      </w:tr>
    </w:tbl>
    <w:p>
      <w:pPr>
        <w:spacing w:before="80" w:after="80"/>
      </w:pPr>
      <w:r>
        <w:t xml:space="preserve"/>
      </w:r>
    </w:p>
    <w:p>
      <w:pPr>
        <w:spacing w:before="80" w:after="140"/>
      </w:pPr>
      <w:r>
        <w:rPr>
          <w:rFonts w:ascii="Arial" w:cs="Arial" w:eastAsia="Arial" w:hAnsi="Arial"/>
          <w:color w:val="1B2631"/>
          <w:sz w:val="22"/>
          <w:szCs w:val="22"/>
        </w:rPr>
        <w:t xml:space="preserve">Illustrative outcome under an equal (50/50) division: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ED6F1" w:sz="1"/>
              <w:left w:val="single" w:color="AED6F1" w:sz="1"/>
              <w:bottom w:val="single" w:color="AED6F1" w:sz="1"/>
              <w:right w:val="single" w:color="AED6F1" w:sz="1"/>
            </w:tcBorders>
            <w:shd w:fill="D6EAF8" w:val="clear"/>
            <w:tcMar>
              <w:top w:type="dxa" w:w="100"/>
              <w:left w:type="dxa" w:w="120"/>
              <w:bottom w:type="dxa" w:w="100"/>
              <w:right w:type="dxa" w:w="120"/>
            </w:tcMar>
          </w:tcPr>
          <w:p>
            <w:r>
              <w:rPr>
                <w:rFonts w:ascii="Arial" w:cs="Arial" w:eastAsia="Arial" w:hAnsi="Arial"/>
                <w:b/>
                <w:bCs/>
                <w:color w:val="1B2631"/>
                <w:sz w:val="20"/>
                <w:szCs w:val="20"/>
              </w:rPr>
              <w:t xml:space="preserve">Asset</w:t>
            </w:r>
          </w:p>
        </w:tc>
        <w:tc>
          <w:tcPr>
            <w:tcW w:type="dxa" w:w="3120"/>
            <w:tcBorders>
              <w:top w:val="single" w:color="AED6F1" w:sz="1"/>
              <w:left w:val="single" w:color="AED6F1" w:sz="1"/>
              <w:bottom w:val="single" w:color="AED6F1" w:sz="1"/>
              <w:right w:val="single" w:color="AED6F1" w:sz="1"/>
            </w:tcBorders>
            <w:shd w:fill="D6EAF8" w:val="clear"/>
            <w:tcMar>
              <w:top w:type="dxa" w:w="100"/>
              <w:left w:type="dxa" w:w="120"/>
              <w:bottom w:type="dxa" w:w="100"/>
              <w:right w:type="dxa" w:w="120"/>
            </w:tcMar>
          </w:tcPr>
          <w:p>
            <w:r>
              <w:rPr>
                <w:rFonts w:ascii="Arial" w:cs="Arial" w:eastAsia="Arial" w:hAnsi="Arial"/>
                <w:b/>
                <w:bCs/>
                <w:color w:val="1B2631"/>
                <w:sz w:val="20"/>
                <w:szCs w:val="20"/>
              </w:rPr>
              <w:t xml:space="preserve">Party A Receives</w:t>
            </w:r>
          </w:p>
        </w:tc>
        <w:tc>
          <w:tcPr>
            <w:tcW w:type="dxa" w:w="3120"/>
            <w:tcBorders>
              <w:top w:val="single" w:color="AED6F1" w:sz="1"/>
              <w:left w:val="single" w:color="AED6F1" w:sz="1"/>
              <w:bottom w:val="single" w:color="AED6F1" w:sz="1"/>
              <w:right w:val="single" w:color="AED6F1" w:sz="1"/>
            </w:tcBorders>
            <w:shd w:fill="D6EAF8" w:val="clear"/>
            <w:tcMar>
              <w:top w:type="dxa" w:w="100"/>
              <w:left w:type="dxa" w:w="120"/>
              <w:bottom w:type="dxa" w:w="100"/>
              <w:right w:type="dxa" w:w="120"/>
            </w:tcMar>
          </w:tcPr>
          <w:p>
            <w:r>
              <w:rPr>
                <w:rFonts w:ascii="Arial" w:cs="Arial" w:eastAsia="Arial" w:hAnsi="Arial"/>
                <w:b/>
                <w:bCs/>
                <w:color w:val="1B2631"/>
                <w:sz w:val="20"/>
                <w:szCs w:val="20"/>
              </w:rPr>
              <w:t xml:space="preserve">Party B Receives</w:t>
            </w:r>
          </w:p>
        </w:tc>
      </w:tr>
      <w:tr>
        <w:tc>
          <w:tcPr>
            <w:tcW w:type="dxa" w:w="31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Property equity (£220,000)</w:t>
            </w:r>
          </w:p>
        </w:tc>
        <w:tc>
          <w:tcPr>
            <w:tcW w:type="dxa" w:w="31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£110,000</w:t>
            </w:r>
          </w:p>
        </w:tc>
        <w:tc>
          <w:tcPr>
            <w:tcW w:type="dxa" w:w="31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£110,000</w:t>
            </w:r>
          </w:p>
        </w:tc>
      </w:tr>
      <w:tr>
        <w:tc>
          <w:tcPr>
            <w:tcW w:type="dxa" w:w="312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Pension share – Party A (£95,000)</w:t>
            </w:r>
          </w:p>
        </w:tc>
        <w:tc>
          <w:tcPr>
            <w:tcW w:type="dxa" w:w="312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£47,500</w:t>
            </w:r>
          </w:p>
        </w:tc>
        <w:tc>
          <w:tcPr>
            <w:tcW w:type="dxa" w:w="312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£47,500</w:t>
            </w:r>
          </w:p>
        </w:tc>
      </w:tr>
      <w:tr>
        <w:tc>
          <w:tcPr>
            <w:tcW w:type="dxa" w:w="31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Pension share – Party B (£55,000)</w:t>
            </w:r>
          </w:p>
        </w:tc>
        <w:tc>
          <w:tcPr>
            <w:tcW w:type="dxa" w:w="31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£27,500</w:t>
            </w:r>
          </w:p>
        </w:tc>
        <w:tc>
          <w:tcPr>
            <w:tcW w:type="dxa" w:w="31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£27,500</w:t>
            </w:r>
          </w:p>
        </w:tc>
      </w:tr>
      <w:tr>
        <w:tc>
          <w:tcPr>
            <w:tcW w:type="dxa" w:w="312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Savings (£30,000)</w:t>
            </w:r>
          </w:p>
        </w:tc>
        <w:tc>
          <w:tcPr>
            <w:tcW w:type="dxa" w:w="312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£15,000</w:t>
            </w:r>
          </w:p>
        </w:tc>
        <w:tc>
          <w:tcPr>
            <w:tcW w:type="dxa" w:w="312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£15,000</w:t>
            </w:r>
          </w:p>
        </w:tc>
      </w:tr>
      <w:tr>
        <w:tc>
          <w:tcPr>
            <w:tcW w:type="dxa" w:w="31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Illustrative total</w:t>
            </w:r>
          </w:p>
        </w:tc>
        <w:tc>
          <w:tcPr>
            <w:tcW w:type="dxa" w:w="31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£200,000</w:t>
            </w:r>
          </w:p>
        </w:tc>
        <w:tc>
          <w:tcPr>
            <w:tcW w:type="dxa" w:w="31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£200,000</w:t>
            </w:r>
          </w:p>
        </w:tc>
      </w:tr>
    </w:tbl>
    <w:p>
      <w:pPr>
        <w:spacing w:before="80" w:after="80"/>
      </w:pPr>
      <w:r>
        <w:t xml:space="preserve"/>
      </w:r>
    </w:p>
    <w:p>
      <w:pPr>
        <w:spacing w:before="80" w:after="140"/>
      </w:pPr>
      <w:r>
        <w:rPr>
          <w:rFonts w:ascii="Arial" w:cs="Arial" w:eastAsia="Arial" w:hAnsi="Arial"/>
          <w:color w:val="1B2631"/>
          <w:sz w:val="22"/>
          <w:szCs w:val="22"/>
        </w:rPr>
        <w:t xml:space="preserve">In this scenario, pension sharing orders would be required for both pensions. Each party would receive a pension credit from the other's arrangement, alongside a half share of the property equity and savings. This produces an equal total on paper, though the different liquidity and tax characteristics of property equity and pension funds mean that the practical financial equivalence is more complex than the figures suggest.</w:t>
      </w:r>
    </w:p>
    <w:p>
      <w:pPr>
        <w:pStyle w:val="Heading2"/>
        <w:spacing w:before="280" w:after="140"/>
      </w:pPr>
      <w:r>
        <w:rPr>
          <w:rFonts w:ascii="Arial" w:cs="Arial" w:eastAsia="Arial" w:hAnsi="Arial"/>
          <w:b/>
          <w:bCs/>
          <w:color w:val="1B2631"/>
          <w:sz w:val="28"/>
          <w:szCs w:val="28"/>
        </w:rPr>
        <w:t xml:space="preserve">Illustrative Example 2 – One Party Retains the Home, Offset Against Pension</w:t>
      </w:r>
    </w:p>
    <w:p>
      <w:pPr>
        <w:spacing w:before="80" w:after="140"/>
      </w:pPr>
      <w:r>
        <w:rPr>
          <w:rFonts w:ascii="Arial" w:cs="Arial" w:eastAsia="Arial" w:hAnsi="Arial"/>
          <w:color w:val="1B2631"/>
          <w:sz w:val="22"/>
          <w:szCs w:val="22"/>
        </w:rPr>
        <w:t xml:space="preserve">In this scenario, Party A wishes to remain in the family home. Party B is willing to allow this in exchange for retaining their full pension and receiving the majority of the savings. The agreement is structured as an offset so that no Pension Sharing Order is required.</w:t>
      </w:r>
    </w:p>
    <w:p>
      <w:pPr>
        <w:spacing w:before="80" w:after="140"/>
      </w:pPr>
      <w:r>
        <w:rPr>
          <w:rFonts w:ascii="Arial" w:cs="Arial" w:eastAsia="Arial" w:hAnsi="Arial"/>
          <w:color w:val="1B2631"/>
          <w:sz w:val="22"/>
          <w:szCs w:val="22"/>
        </w:rPr>
        <w:t xml:space="preserve">Assumed financial position: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rPr>
          <w:tblHeader/>
        </w:trPr>
        <w:tc>
          <w:tcPr>
            <w:tcW w:type="dxa" w:w="5040"/>
            <w:tcBorders>
              <w:top w:val="single" w:color="AED6F1" w:sz="1"/>
              <w:left w:val="single" w:color="AED6F1" w:sz="1"/>
              <w:bottom w:val="single" w:color="AED6F1" w:sz="1"/>
              <w:right w:val="single" w:color="AED6F1" w:sz="1"/>
            </w:tcBorders>
            <w:shd w:fill="D6EAF8" w:val="clear"/>
            <w:tcMar>
              <w:top w:type="dxa" w:w="100"/>
              <w:left w:type="dxa" w:w="120"/>
              <w:bottom w:type="dxa" w:w="100"/>
              <w:right w:type="dxa" w:w="120"/>
            </w:tcMar>
          </w:tcPr>
          <w:p>
            <w:r>
              <w:rPr>
                <w:rFonts w:ascii="Arial" w:cs="Arial" w:eastAsia="Arial" w:hAnsi="Arial"/>
                <w:b/>
                <w:bCs/>
                <w:color w:val="1B2631"/>
                <w:sz w:val="20"/>
                <w:szCs w:val="20"/>
              </w:rPr>
              <w:t xml:space="preserve">Asset</w:t>
            </w:r>
          </w:p>
        </w:tc>
        <w:tc>
          <w:tcPr>
            <w:tcW w:type="dxa" w:w="4320"/>
            <w:tcBorders>
              <w:top w:val="single" w:color="AED6F1" w:sz="1"/>
              <w:left w:val="single" w:color="AED6F1" w:sz="1"/>
              <w:bottom w:val="single" w:color="AED6F1" w:sz="1"/>
              <w:right w:val="single" w:color="AED6F1" w:sz="1"/>
            </w:tcBorders>
            <w:shd w:fill="D6EAF8" w:val="clear"/>
            <w:tcMar>
              <w:top w:type="dxa" w:w="100"/>
              <w:left w:type="dxa" w:w="120"/>
              <w:bottom w:type="dxa" w:w="100"/>
              <w:right w:type="dxa" w:w="120"/>
            </w:tcMar>
          </w:tcPr>
          <w:p>
            <w:r>
              <w:rPr>
                <w:rFonts w:ascii="Arial" w:cs="Arial" w:eastAsia="Arial" w:hAnsi="Arial"/>
                <w:b/>
                <w:bCs/>
                <w:color w:val="1B2631"/>
                <w:sz w:val="20"/>
                <w:szCs w:val="20"/>
              </w:rPr>
              <w:t xml:space="preserve">Illustrative Value</w:t>
            </w:r>
          </w:p>
        </w:tc>
      </w:tr>
      <w:tr>
        <w:tc>
          <w:tcPr>
            <w:tcW w:type="dxa" w:w="504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Family home equity (net)</w:t>
            </w:r>
          </w:p>
        </w:tc>
        <w:tc>
          <w:tcPr>
            <w:tcW w:type="dxa" w:w="43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£200,000</w:t>
            </w:r>
          </w:p>
        </w:tc>
      </w:tr>
      <w:tr>
        <w:tc>
          <w:tcPr>
            <w:tcW w:type="dxa" w:w="504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Party A pension (CETV)</w:t>
            </w:r>
          </w:p>
        </w:tc>
        <w:tc>
          <w:tcPr>
            <w:tcW w:type="dxa" w:w="432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£40,000</w:t>
            </w:r>
          </w:p>
        </w:tc>
      </w:tr>
      <w:tr>
        <w:tc>
          <w:tcPr>
            <w:tcW w:type="dxa" w:w="504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Party B pension (CETV)</w:t>
            </w:r>
          </w:p>
        </w:tc>
        <w:tc>
          <w:tcPr>
            <w:tcW w:type="dxa" w:w="43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£150,000</w:t>
            </w:r>
          </w:p>
        </w:tc>
      </w:tr>
      <w:tr>
        <w:tc>
          <w:tcPr>
            <w:tcW w:type="dxa" w:w="504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Savings</w:t>
            </w:r>
          </w:p>
        </w:tc>
        <w:tc>
          <w:tcPr>
            <w:tcW w:type="dxa" w:w="432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£20,000</w:t>
            </w:r>
          </w:p>
        </w:tc>
      </w:tr>
      <w:tr>
        <w:tc>
          <w:tcPr>
            <w:tcW w:type="dxa" w:w="504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Total net assets</w:t>
            </w:r>
          </w:p>
        </w:tc>
        <w:tc>
          <w:tcPr>
            <w:tcW w:type="dxa" w:w="43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£410,000</w:t>
            </w:r>
          </w:p>
        </w:tc>
      </w:tr>
    </w:tbl>
    <w:p>
      <w:pPr>
        <w:spacing w:before="80" w:after="80"/>
      </w:pPr>
      <w:r>
        <w:t xml:space="preserve"/>
      </w:r>
    </w:p>
    <w:p>
      <w:pPr>
        <w:spacing w:before="80" w:after="140"/>
      </w:pPr>
      <w:r>
        <w:rPr>
          <w:rFonts w:ascii="Arial" w:cs="Arial" w:eastAsia="Arial" w:hAnsi="Arial"/>
          <w:color w:val="1B2631"/>
          <w:sz w:val="22"/>
          <w:szCs w:val="22"/>
        </w:rPr>
        <w:t xml:space="preserve">Illustrative offset settlement: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ED6F1" w:sz="1"/>
              <w:left w:val="single" w:color="AED6F1" w:sz="1"/>
              <w:bottom w:val="single" w:color="AED6F1" w:sz="1"/>
              <w:right w:val="single" w:color="AED6F1" w:sz="1"/>
            </w:tcBorders>
            <w:shd w:fill="D6EAF8" w:val="clear"/>
            <w:tcMar>
              <w:top w:type="dxa" w:w="100"/>
              <w:left w:type="dxa" w:w="120"/>
              <w:bottom w:type="dxa" w:w="100"/>
              <w:right w:type="dxa" w:w="120"/>
            </w:tcMar>
          </w:tcPr>
          <w:p>
            <w:r>
              <w:rPr>
                <w:rFonts w:ascii="Arial" w:cs="Arial" w:eastAsia="Arial" w:hAnsi="Arial"/>
                <w:b/>
                <w:bCs/>
                <w:color w:val="1B2631"/>
                <w:sz w:val="20"/>
                <w:szCs w:val="20"/>
              </w:rPr>
              <w:t xml:space="preserve">Asset</w:t>
            </w:r>
          </w:p>
        </w:tc>
        <w:tc>
          <w:tcPr>
            <w:tcW w:type="dxa" w:w="3120"/>
            <w:tcBorders>
              <w:top w:val="single" w:color="AED6F1" w:sz="1"/>
              <w:left w:val="single" w:color="AED6F1" w:sz="1"/>
              <w:bottom w:val="single" w:color="AED6F1" w:sz="1"/>
              <w:right w:val="single" w:color="AED6F1" w:sz="1"/>
            </w:tcBorders>
            <w:shd w:fill="D6EAF8" w:val="clear"/>
            <w:tcMar>
              <w:top w:type="dxa" w:w="100"/>
              <w:left w:type="dxa" w:w="120"/>
              <w:bottom w:type="dxa" w:w="100"/>
              <w:right w:type="dxa" w:w="120"/>
            </w:tcMar>
          </w:tcPr>
          <w:p>
            <w:r>
              <w:rPr>
                <w:rFonts w:ascii="Arial" w:cs="Arial" w:eastAsia="Arial" w:hAnsi="Arial"/>
                <w:b/>
                <w:bCs/>
                <w:color w:val="1B2631"/>
                <w:sz w:val="20"/>
                <w:szCs w:val="20"/>
              </w:rPr>
              <w:t xml:space="preserve">Party A Receives</w:t>
            </w:r>
          </w:p>
        </w:tc>
        <w:tc>
          <w:tcPr>
            <w:tcW w:type="dxa" w:w="3120"/>
            <w:tcBorders>
              <w:top w:val="single" w:color="AED6F1" w:sz="1"/>
              <w:left w:val="single" w:color="AED6F1" w:sz="1"/>
              <w:bottom w:val="single" w:color="AED6F1" w:sz="1"/>
              <w:right w:val="single" w:color="AED6F1" w:sz="1"/>
            </w:tcBorders>
            <w:shd w:fill="D6EAF8" w:val="clear"/>
            <w:tcMar>
              <w:top w:type="dxa" w:w="100"/>
              <w:left w:type="dxa" w:w="120"/>
              <w:bottom w:type="dxa" w:w="100"/>
              <w:right w:type="dxa" w:w="120"/>
            </w:tcMar>
          </w:tcPr>
          <w:p>
            <w:r>
              <w:rPr>
                <w:rFonts w:ascii="Arial" w:cs="Arial" w:eastAsia="Arial" w:hAnsi="Arial"/>
                <w:b/>
                <w:bCs/>
                <w:color w:val="1B2631"/>
                <w:sz w:val="20"/>
                <w:szCs w:val="20"/>
              </w:rPr>
              <w:t xml:space="preserve">Party B Receives</w:t>
            </w:r>
          </w:p>
        </w:tc>
      </w:tr>
      <w:tr>
        <w:tc>
          <w:tcPr>
            <w:tcW w:type="dxa" w:w="31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Family home equity (£200,000)</w:t>
            </w:r>
          </w:p>
        </w:tc>
        <w:tc>
          <w:tcPr>
            <w:tcW w:type="dxa" w:w="31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£200,000 (retains home)</w:t>
            </w:r>
          </w:p>
        </w:tc>
        <w:tc>
          <w:tcPr>
            <w:tcW w:type="dxa" w:w="31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w:t>
            </w:r>
          </w:p>
        </w:tc>
      </w:tr>
      <w:tr>
        <w:tc>
          <w:tcPr>
            <w:tcW w:type="dxa" w:w="312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Party A pension (£40,000)</w:t>
            </w:r>
          </w:p>
        </w:tc>
        <w:tc>
          <w:tcPr>
            <w:tcW w:type="dxa" w:w="312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£40,000 (retains own pension)</w:t>
            </w:r>
          </w:p>
        </w:tc>
        <w:tc>
          <w:tcPr>
            <w:tcW w:type="dxa" w:w="312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w:t>
            </w:r>
          </w:p>
        </w:tc>
      </w:tr>
      <w:tr>
        <w:tc>
          <w:tcPr>
            <w:tcW w:type="dxa" w:w="31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Party B pension (£150,000)</w:t>
            </w:r>
          </w:p>
        </w:tc>
        <w:tc>
          <w:tcPr>
            <w:tcW w:type="dxa" w:w="31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w:t>
            </w:r>
          </w:p>
        </w:tc>
        <w:tc>
          <w:tcPr>
            <w:tcW w:type="dxa" w:w="31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£150,000 (retains own pension)</w:t>
            </w:r>
          </w:p>
        </w:tc>
      </w:tr>
      <w:tr>
        <w:tc>
          <w:tcPr>
            <w:tcW w:type="dxa" w:w="312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Savings (£20,000)</w:t>
            </w:r>
          </w:p>
        </w:tc>
        <w:tc>
          <w:tcPr>
            <w:tcW w:type="dxa" w:w="312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w:t>
            </w:r>
          </w:p>
        </w:tc>
        <w:tc>
          <w:tcPr>
            <w:tcW w:type="dxa" w:w="312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£20,000</w:t>
            </w:r>
          </w:p>
        </w:tc>
      </w:tr>
      <w:tr>
        <w:tc>
          <w:tcPr>
            <w:tcW w:type="dxa" w:w="31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Illustrative total (CETV basis)</w:t>
            </w:r>
          </w:p>
        </w:tc>
        <w:tc>
          <w:tcPr>
            <w:tcW w:type="dxa" w:w="31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£240,000</w:t>
            </w:r>
          </w:p>
        </w:tc>
        <w:tc>
          <w:tcPr>
            <w:tcW w:type="dxa" w:w="31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£170,000</w:t>
            </w:r>
          </w:p>
        </w:tc>
      </w:tr>
    </w:tbl>
    <w:p>
      <w:pPr>
        <w:spacing w:before="80" w:after="80"/>
      </w:pPr>
      <w:r>
        <w:t xml:space="preserve"/>
      </w:r>
    </w:p>
    <w:p>
      <w:pPr>
        <w:spacing w:before="80" w:after="140"/>
      </w:pPr>
      <w:r>
        <w:rPr>
          <w:rFonts w:ascii="Arial" w:cs="Arial" w:eastAsia="Arial" w:hAnsi="Arial"/>
          <w:color w:val="1B2631"/>
          <w:sz w:val="22"/>
          <w:szCs w:val="22"/>
        </w:rPr>
        <w:t xml:space="preserve">On a straightforward CETV comparison, Party A appears to receive more in this structure. In practice, the true economic value of Party B's defined benefit pension may be higher than the CETV suggests, and the illiquidity and income characteristics of pension assets differ significantly from realisable property equity. A PODE report might be instructed to establish whether the offset represents fair economic value. This example illustrates why pension offsetting requires careful specialist analysis, not simply a comparison of headline figures.</w:t>
      </w:r>
    </w:p>
    <w:p>
      <w:pPr>
        <w:pStyle w:val="Heading2"/>
        <w:spacing w:before="280" w:after="140"/>
      </w:pPr>
      <w:r>
        <w:rPr>
          <w:rFonts w:ascii="Arial" w:cs="Arial" w:eastAsia="Arial" w:hAnsi="Arial"/>
          <w:b/>
          <w:bCs/>
          <w:color w:val="1B2631"/>
          <w:sz w:val="28"/>
          <w:szCs w:val="28"/>
        </w:rPr>
        <w:t xml:space="preserve">Illustrative Example 3 – Deferred Sale Arrangement (Mesher Order)</w:t>
      </w:r>
    </w:p>
    <w:p>
      <w:pPr>
        <w:spacing w:before="80" w:after="140"/>
      </w:pPr>
      <w:r>
        <w:rPr>
          <w:rFonts w:ascii="Arial" w:cs="Arial" w:eastAsia="Arial" w:hAnsi="Arial"/>
          <w:color w:val="1B2631"/>
          <w:sz w:val="22"/>
          <w:szCs w:val="22"/>
        </w:rPr>
        <w:t xml:space="preserve">In this scenario, the couple has two children aged 8 and 11. Both agree that Party A should remain in the family home until the youngest child turns 18. At that point, the property will be sold and the proceeds divided according to agreed percentages.</w:t>
      </w:r>
    </w:p>
    <w:p>
      <w:pPr>
        <w:spacing w:before="80" w:after="140"/>
      </w:pPr>
      <w:r>
        <w:rPr>
          <w:rFonts w:ascii="Arial" w:cs="Arial" w:eastAsia="Arial" w:hAnsi="Arial"/>
          <w:color w:val="1B2631"/>
          <w:sz w:val="22"/>
          <w:szCs w:val="22"/>
        </w:rPr>
        <w:t xml:space="preserve">Assumed financial position at time of settlement: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ED6F1" w:sz="1"/>
              <w:left w:val="single" w:color="AED6F1" w:sz="1"/>
              <w:bottom w:val="single" w:color="AED6F1" w:sz="1"/>
              <w:right w:val="single" w:color="AED6F1" w:sz="1"/>
            </w:tcBorders>
            <w:shd w:fill="D6EAF8" w:val="clear"/>
            <w:tcMar>
              <w:top w:type="dxa" w:w="100"/>
              <w:left w:type="dxa" w:w="120"/>
              <w:bottom w:type="dxa" w:w="100"/>
              <w:right w:type="dxa" w:w="120"/>
            </w:tcMar>
          </w:tcPr>
          <w:p>
            <w:r>
              <w:rPr>
                <w:rFonts w:ascii="Arial" w:cs="Arial" w:eastAsia="Arial" w:hAnsi="Arial"/>
                <w:b/>
                <w:bCs/>
                <w:color w:val="1B2631"/>
                <w:sz w:val="20"/>
                <w:szCs w:val="20"/>
              </w:rPr>
              <w:t xml:space="preserve">Asset</w:t>
            </w:r>
          </w:p>
        </w:tc>
        <w:tc>
          <w:tcPr>
            <w:tcW w:type="dxa" w:w="4680"/>
            <w:tcBorders>
              <w:top w:val="single" w:color="AED6F1" w:sz="1"/>
              <w:left w:val="single" w:color="AED6F1" w:sz="1"/>
              <w:bottom w:val="single" w:color="AED6F1" w:sz="1"/>
              <w:right w:val="single" w:color="AED6F1" w:sz="1"/>
            </w:tcBorders>
            <w:shd w:fill="D6EAF8" w:val="clear"/>
            <w:tcMar>
              <w:top w:type="dxa" w:w="100"/>
              <w:left w:type="dxa" w:w="120"/>
              <w:bottom w:type="dxa" w:w="100"/>
              <w:right w:type="dxa" w:w="120"/>
            </w:tcMar>
          </w:tcPr>
          <w:p>
            <w:r>
              <w:rPr>
                <w:rFonts w:ascii="Arial" w:cs="Arial" w:eastAsia="Arial" w:hAnsi="Arial"/>
                <w:b/>
                <w:bCs/>
                <w:color w:val="1B2631"/>
                <w:sz w:val="20"/>
                <w:szCs w:val="20"/>
              </w:rPr>
              <w:t xml:space="preserve">Illustrative Value</w:t>
            </w:r>
          </w:p>
        </w:tc>
      </w:tr>
      <w:tr>
        <w:tc>
          <w:tcPr>
            <w:tcW w:type="dxa" w:w="468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Family home (current value)</w:t>
            </w:r>
          </w:p>
        </w:tc>
        <w:tc>
          <w:tcPr>
            <w:tcW w:type="dxa" w:w="468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£320,000</w:t>
            </w:r>
          </w:p>
        </w:tc>
      </w:tr>
      <w:tr>
        <w:tc>
          <w:tcPr>
            <w:tcW w:type="dxa" w:w="468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Outstanding mortgage</w:t>
            </w:r>
          </w:p>
        </w:tc>
        <w:tc>
          <w:tcPr>
            <w:tcW w:type="dxa" w:w="468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£140,000</w:t>
            </w:r>
          </w:p>
        </w:tc>
      </w:tr>
      <w:tr>
        <w:tc>
          <w:tcPr>
            <w:tcW w:type="dxa" w:w="468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Current net equity</w:t>
            </w:r>
          </w:p>
        </w:tc>
        <w:tc>
          <w:tcPr>
            <w:tcW w:type="dxa" w:w="468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£180,000</w:t>
            </w:r>
          </w:p>
        </w:tc>
      </w:tr>
      <w:tr>
        <w:tc>
          <w:tcPr>
            <w:tcW w:type="dxa" w:w="468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Agreed future split of equity at sale</w:t>
            </w:r>
          </w:p>
        </w:tc>
        <w:tc>
          <w:tcPr>
            <w:tcW w:type="dxa" w:w="468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55% Party A / 45% Party B</w:t>
            </w:r>
          </w:p>
        </w:tc>
      </w:tr>
      <w:tr>
        <w:tc>
          <w:tcPr>
            <w:tcW w:type="dxa" w:w="468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Party A pension (CETV)</w:t>
            </w:r>
          </w:p>
        </w:tc>
        <w:tc>
          <w:tcPr>
            <w:tcW w:type="dxa" w:w="468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£30,000 (retained by Party A)</w:t>
            </w:r>
          </w:p>
        </w:tc>
      </w:tr>
      <w:tr>
        <w:tc>
          <w:tcPr>
            <w:tcW w:type="dxa" w:w="468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Party B pension (CETV)</w:t>
            </w:r>
          </w:p>
        </w:tc>
        <w:tc>
          <w:tcPr>
            <w:tcW w:type="dxa" w:w="468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£80,000 (retained by Party B)</w:t>
            </w:r>
          </w:p>
        </w:tc>
      </w:tr>
      <w:tr>
        <w:tc>
          <w:tcPr>
            <w:tcW w:type="dxa" w:w="468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Savings</w:t>
            </w:r>
          </w:p>
        </w:tc>
        <w:tc>
          <w:tcPr>
            <w:tcW w:type="dxa" w:w="468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£15,000 divided equally</w:t>
            </w:r>
          </w:p>
        </w:tc>
      </w:tr>
    </w:tbl>
    <w:p>
      <w:pPr>
        <w:spacing w:before="80" w:after="80"/>
      </w:pPr>
      <w:r>
        <w:t xml:space="preserve"/>
      </w:r>
    </w:p>
    <w:p>
      <w:pPr>
        <w:spacing w:before="80" w:after="140"/>
      </w:pPr>
      <w:r>
        <w:rPr>
          <w:rFonts w:ascii="Arial" w:cs="Arial" w:eastAsia="Arial" w:hAnsi="Arial"/>
          <w:color w:val="1B2631"/>
          <w:sz w:val="22"/>
          <w:szCs w:val="22"/>
        </w:rPr>
        <w:t xml:space="preserve">Illustrative outcome at the future sale trigger:</w:t>
      </w:r>
    </w:p>
    <w:p>
      <w:pPr>
        <w:pStyle w:val="ListParagraph"/>
        <w:numPr>
          <w:ilvl w:val="0"/>
          <w:numId w:val="2"/>
        </w:numPr>
        <w:spacing w:before="60" w:after="60"/>
      </w:pPr>
      <w:r>
        <w:rPr>
          <w:rFonts w:ascii="Arial" w:cs="Arial" w:eastAsia="Arial" w:hAnsi="Arial"/>
          <w:color w:val="1B2631"/>
          <w:sz w:val="22"/>
          <w:szCs w:val="22"/>
        </w:rPr>
        <w:t xml:space="preserve">If property value remains at £320,000 and mortgage at £140,000: net equity of £180,000. Party A receives £99,000; Party B receives £81,000.</w:t>
      </w:r>
    </w:p>
    <w:p>
      <w:pPr>
        <w:pStyle w:val="ListParagraph"/>
        <w:numPr>
          <w:ilvl w:val="0"/>
          <w:numId w:val="2"/>
        </w:numPr>
        <w:spacing w:before="60" w:after="60"/>
      </w:pPr>
      <w:r>
        <w:rPr>
          <w:rFonts w:ascii="Arial" w:cs="Arial" w:eastAsia="Arial" w:hAnsi="Arial"/>
          <w:color w:val="1B2631"/>
          <w:sz w:val="22"/>
          <w:szCs w:val="22"/>
        </w:rPr>
        <w:t xml:space="preserve">If property value increases to £420,000 by the trigger date (mortgage assumed fully repaid): net equity of £420,000. Party A receives £231,000; Party B receives £189,000.</w:t>
      </w:r>
    </w:p>
    <w:p>
      <w:pPr>
        <w:pStyle w:val="ListParagraph"/>
        <w:numPr>
          <w:ilvl w:val="0"/>
          <w:numId w:val="2"/>
        </w:numPr>
        <w:spacing w:before="60" w:after="60"/>
      </w:pPr>
      <w:r>
        <w:rPr>
          <w:rFonts w:ascii="Arial" w:cs="Arial" w:eastAsia="Arial" w:hAnsi="Arial"/>
          <w:color w:val="1B2631"/>
          <w:sz w:val="22"/>
          <w:szCs w:val="22"/>
        </w:rPr>
        <w:t xml:space="preserve">If property value falls to £270,000 (mortgage £140,000): net equity of £130,000. Party A receives £71,500; Party B receives £58,500.</w:t>
      </w:r>
    </w:p>
    <w:p>
      <w:pPr>
        <w:spacing w:before="80" w:after="80"/>
      </w:pPr>
      <w:r>
        <w:t xml:space="preserve"/>
      </w:r>
    </w:p>
    <w:p>
      <w:pPr>
        <w:spacing w:before="80" w:after="140"/>
      </w:pPr>
      <w:r>
        <w:rPr>
          <w:rFonts w:ascii="Arial" w:cs="Arial" w:eastAsia="Arial" w:hAnsi="Arial"/>
          <w:color w:val="1B2631"/>
          <w:sz w:val="22"/>
          <w:szCs w:val="22"/>
        </w:rPr>
        <w:t xml:space="preserve">This example illustrates how a deferred sale arrangement creates long-term exposure to property market movements for both parties. The actual outcome can vary significantly from the assumed position at the time of the settlement, and both parties' financial interests remain tied together until the trigger event.</w:t>
      </w:r>
    </w:p>
    <w:p>
      <w:pPr>
        <w:pStyle w:val="Heading2"/>
        <w:spacing w:before="280" w:after="140"/>
      </w:pPr>
      <w:r>
        <w:rPr>
          <w:rFonts w:ascii="Arial" w:cs="Arial" w:eastAsia="Arial" w:hAnsi="Arial"/>
          <w:b/>
          <w:bCs/>
          <w:color w:val="1B2631"/>
          <w:sz w:val="28"/>
          <w:szCs w:val="28"/>
        </w:rPr>
        <w:t xml:space="preserve">How Different Assumptions Change the Overall Picture</w:t>
      </w:r>
    </w:p>
    <w:p>
      <w:pPr>
        <w:spacing w:before="80" w:after="140"/>
      </w:pPr>
      <w:r>
        <w:rPr>
          <w:rFonts w:ascii="Arial" w:cs="Arial" w:eastAsia="Arial" w:hAnsi="Arial"/>
          <w:color w:val="1B2631"/>
          <w:sz w:val="22"/>
          <w:szCs w:val="22"/>
        </w:rPr>
        <w:t xml:space="preserve">The three examples above demonstrate a fundamental point about financial settlements: the figures are highly sensitive to the assumptions applied. Small changes in property values, pension CETVs, percentage splits, or structural decisions (sharing vs offsetting, immediate vs deferred sale) can produce materially different financial outcomes for both parties.</w:t>
      </w:r>
    </w:p>
    <w:p>
      <w:pPr>
        <w:spacing w:before="80" w:after="140"/>
      </w:pPr>
      <w:r>
        <w:rPr>
          <w:rFonts w:ascii="Arial" w:cs="Arial" w:eastAsia="Arial" w:hAnsi="Arial"/>
          <w:color w:val="1B2631"/>
          <w:sz w:val="22"/>
          <w:szCs w:val="22"/>
        </w:rPr>
        <w:t xml:space="preserve">This sensitivity to assumptions is precisely why many people find it valuable to model multiple scenarios before entering formal negotiations. Understanding the range of possible outcomes – and identifying which variables carry the most weight – can help inform more productive discussions.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AED6F1" w:sz="1"/>
              <w:left w:val="single" w:color="AED6F1" w:sz="1"/>
              <w:bottom w:val="single" w:color="AED6F1" w:sz="1"/>
              <w:right w:val="single" w:color="AED6F1" w:sz="1"/>
            </w:tcBorders>
            <w:shd w:fill="D6EAF8" w:val="clear"/>
            <w:tcMar>
              <w:top w:type="dxa" w:w="100"/>
              <w:left w:type="dxa" w:w="120"/>
              <w:bottom w:type="dxa" w:w="100"/>
              <w:right w:type="dxa" w:w="120"/>
            </w:tcMar>
          </w:tcPr>
          <w:p>
            <w:r>
              <w:rPr>
                <w:rFonts w:ascii="Arial" w:cs="Arial" w:eastAsia="Arial" w:hAnsi="Arial"/>
                <w:b/>
                <w:bCs/>
                <w:color w:val="1B2631"/>
                <w:sz w:val="20"/>
                <w:szCs w:val="20"/>
              </w:rPr>
              <w:t xml:space="preserve">Key Variable</w:t>
            </w:r>
          </w:p>
        </w:tc>
        <w:tc>
          <w:tcPr>
            <w:tcW w:type="dxa" w:w="5760"/>
            <w:tcBorders>
              <w:top w:val="single" w:color="AED6F1" w:sz="1"/>
              <w:left w:val="single" w:color="AED6F1" w:sz="1"/>
              <w:bottom w:val="single" w:color="AED6F1" w:sz="1"/>
              <w:right w:val="single" w:color="AED6F1" w:sz="1"/>
            </w:tcBorders>
            <w:shd w:fill="D6EAF8" w:val="clear"/>
            <w:tcMar>
              <w:top w:type="dxa" w:w="100"/>
              <w:left w:type="dxa" w:w="120"/>
              <w:bottom w:type="dxa" w:w="100"/>
              <w:right w:type="dxa" w:w="120"/>
            </w:tcMar>
          </w:tcPr>
          <w:p>
            <w:r>
              <w:rPr>
                <w:rFonts w:ascii="Arial" w:cs="Arial" w:eastAsia="Arial" w:hAnsi="Arial"/>
                <w:b/>
                <w:bCs/>
                <w:color w:val="1B2631"/>
                <w:sz w:val="20"/>
                <w:szCs w:val="20"/>
              </w:rPr>
              <w:t xml:space="preserve">Why It Matters in Modelling</w:t>
            </w:r>
          </w:p>
        </w:tc>
      </w:tr>
      <w:tr>
        <w:tc>
          <w:tcPr>
            <w:tcW w:type="dxa" w:w="360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Property value assumption</w:t>
            </w:r>
          </w:p>
        </w:tc>
        <w:tc>
          <w:tcPr>
            <w:tcW w:type="dxa" w:w="576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Directly drives the equity available for division</w:t>
            </w:r>
          </w:p>
        </w:tc>
      </w:tr>
      <w:tr>
        <w:tc>
          <w:tcPr>
            <w:tcW w:type="dxa" w:w="360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Percentage equity split</w:t>
            </w:r>
          </w:p>
        </w:tc>
        <w:tc>
          <w:tcPr>
            <w:tcW w:type="dxa" w:w="576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Small percentage changes produce significant cash differences on high-value properties</w:t>
            </w:r>
          </w:p>
        </w:tc>
      </w:tr>
      <w:tr>
        <w:tc>
          <w:tcPr>
            <w:tcW w:type="dxa" w:w="360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Pension CETV vs adjusted value</w:t>
            </w:r>
          </w:p>
        </w:tc>
        <w:tc>
          <w:tcPr>
            <w:tcW w:type="dxa" w:w="576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Especially important for defined benefit schemes where CETV can understate true value</w:t>
            </w:r>
          </w:p>
        </w:tc>
      </w:tr>
      <w:tr>
        <w:tc>
          <w:tcPr>
            <w:tcW w:type="dxa" w:w="360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Deferred vs immediate sale</w:t>
            </w:r>
          </w:p>
        </w:tc>
        <w:tc>
          <w:tcPr>
            <w:tcW w:type="dxa" w:w="576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Future values are uncertain; modelling a range of future values shows risk exposure</w:t>
            </w:r>
          </w:p>
        </w:tc>
      </w:tr>
      <w:tr>
        <w:tc>
          <w:tcPr>
            <w:tcW w:type="dxa" w:w="360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Pension share % vs full offset</w:t>
            </w:r>
          </w:p>
        </w:tc>
        <w:tc>
          <w:tcPr>
            <w:tcW w:type="dxa" w:w="576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Structural choice affects tax position and long-term income for both parties</w:t>
            </w:r>
          </w:p>
        </w:tc>
      </w:tr>
    </w:tbl>
    <w:p>
      <w:pPr>
        <w:spacing w:before="80" w:after="80"/>
      </w:pPr>
      <w:r>
        <w:t xml:space="preserve"/>
      </w:r>
    </w:p>
    <w:p>
      <w:pPr>
        <w:pBdr>
          <w:top w:val="thick" w:color="1E8449" w:sz="10"/>
          <w:bottom w:val="thick" w:color="1E8449" w:sz="10"/>
        </w:pBdr>
        <w:shd w:fill="EAFAF1" w:val="clear"/>
        <w:spacing w:before="280" w:after="280"/>
      </w:pPr>
      <w:r>
        <w:rPr>
          <w:rFonts w:ascii="Arial" w:cs="Arial" w:eastAsia="Arial" w:hAnsi="Arial"/>
          <w:b/>
          <w:bCs/>
          <w:color w:val="1E8449"/>
          <w:sz w:val="22"/>
          <w:szCs w:val="22"/>
        </w:rPr>
        <w:t xml:space="preserve">Try the Tool:  </w:t>
      </w:r>
      <w:r>
        <w:rPr>
          <w:rFonts w:ascii="Arial" w:cs="Arial" w:eastAsia="Arial" w:hAnsi="Arial"/>
          <w:i/>
          <w:iCs/>
          <w:color w:val="1E8449"/>
          <w:sz w:val="22"/>
          <w:szCs w:val="22"/>
        </w:rPr>
        <w:t xml:space="preserve">Ready to explore your own figures? Use the free Divorce Financial Scenario Modelling Tool to build illustrative scenarios based on your actual property equity, pension values, savings, and other assets. Adjust the split percentages and see how different approaches change the outcome – it's free, private, and takes just a few minutes.</w:t>
      </w:r>
    </w:p>
    <w:p>
      <w:pPr>
        <w:pStyle w:val="Heading2"/>
        <w:spacing w:before="280" w:after="140"/>
      </w:pPr>
      <w:r>
        <w:rPr>
          <w:rFonts w:ascii="Arial" w:cs="Arial" w:eastAsia="Arial" w:hAnsi="Arial"/>
          <w:b/>
          <w:bCs/>
          <w:color w:val="1B2631"/>
          <w:sz w:val="28"/>
          <w:szCs w:val="28"/>
        </w:rPr>
        <w:t xml:space="preserve">Other Chapters in This Guide</w:t>
      </w:r>
    </w:p>
    <w:p>
      <w:pPr>
        <w:pStyle w:val="ListParagraph"/>
        <w:numPr>
          <w:ilvl w:val="0"/>
          <w:numId w:val="2"/>
        </w:numPr>
        <w:spacing w:before="60" w:after="60"/>
      </w:pPr>
      <w:r>
        <w:rPr>
          <w:rFonts w:ascii="Arial" w:cs="Arial" w:eastAsia="Arial" w:hAnsi="Arial"/>
          <w:b/>
          <w:bCs/>
          <w:color w:val="1B2631"/>
          <w:sz w:val="22"/>
          <w:szCs w:val="22"/>
        </w:rPr>
        <w:t xml:space="preserve">Chapter 1 – How Much Does Divorce Cost in the UK? </w:t>
      </w:r>
      <w:r>
        <w:rPr>
          <w:rFonts w:ascii="Arial" w:cs="Arial" w:eastAsia="Arial" w:hAnsi="Arial"/>
          <w:color w:val="1B2631"/>
          <w:sz w:val="22"/>
          <w:szCs w:val="22"/>
        </w:rPr>
        <w:t xml:space="preserve">Court fees, solicitor costs, mediation, and why financial clarity matters early.</w:t>
      </w:r>
    </w:p>
    <w:p>
      <w:pPr>
        <w:pStyle w:val="ListParagraph"/>
        <w:numPr>
          <w:ilvl w:val="0"/>
          <w:numId w:val="2"/>
        </w:numPr>
        <w:spacing w:before="60" w:after="60"/>
      </w:pPr>
      <w:r>
        <w:rPr>
          <w:rFonts w:ascii="Arial" w:cs="Arial" w:eastAsia="Arial" w:hAnsi="Arial"/>
          <w:b/>
          <w:bCs/>
          <w:color w:val="1B2631"/>
          <w:sz w:val="22"/>
          <w:szCs w:val="22"/>
        </w:rPr>
        <w:t xml:space="preserve">Chapter 2 – How Are Divorce Financial Settlements Worked Out? </w:t>
      </w:r>
      <w:r>
        <w:rPr>
          <w:rFonts w:ascii="Arial" w:cs="Arial" w:eastAsia="Arial" w:hAnsi="Arial"/>
          <w:color w:val="1B2631"/>
          <w:sz w:val="22"/>
          <w:szCs w:val="22"/>
        </w:rPr>
        <w:t xml:space="preserve">Full explanation of the settlement process, asset categories, and the disclosure process.</w:t>
      </w:r>
    </w:p>
    <w:p>
      <w:pPr>
        <w:pStyle w:val="ListParagraph"/>
        <w:numPr>
          <w:ilvl w:val="0"/>
          <w:numId w:val="2"/>
        </w:numPr>
        <w:spacing w:before="60" w:after="60"/>
      </w:pPr>
      <w:r>
        <w:rPr>
          <w:rFonts w:ascii="Arial" w:cs="Arial" w:eastAsia="Arial" w:hAnsi="Arial"/>
          <w:b/>
          <w:bCs/>
          <w:color w:val="1B2631"/>
          <w:sz w:val="22"/>
          <w:szCs w:val="22"/>
        </w:rPr>
        <w:t xml:space="preserve">Chapter 3 – Who Gets the House in a Divorce in the UK? </w:t>
      </w:r>
      <w:r>
        <w:rPr>
          <w:rFonts w:ascii="Arial" w:cs="Arial" w:eastAsia="Arial" w:hAnsi="Arial"/>
          <w:color w:val="1B2631"/>
          <w:sz w:val="22"/>
          <w:szCs w:val="22"/>
        </w:rPr>
        <w:t xml:space="preserve">Property outcomes, buyouts, equity calculation, and Mesher Orders explained.</w:t>
      </w:r>
    </w:p>
    <w:p>
      <w:pPr>
        <w:pStyle w:val="ListParagraph"/>
        <w:numPr>
          <w:ilvl w:val="0"/>
          <w:numId w:val="2"/>
        </w:numPr>
        <w:spacing w:before="60" w:after="60"/>
      </w:pPr>
      <w:r>
        <w:rPr>
          <w:rFonts w:ascii="Arial" w:cs="Arial" w:eastAsia="Arial" w:hAnsi="Arial"/>
          <w:b/>
          <w:bCs/>
          <w:color w:val="1B2631"/>
          <w:sz w:val="22"/>
          <w:szCs w:val="22"/>
        </w:rPr>
        <w:t xml:space="preserve">Chapter 4 – How Are Pensions Split in a Divorce in the UK? </w:t>
      </w:r>
      <w:r>
        <w:rPr>
          <w:rFonts w:ascii="Arial" w:cs="Arial" w:eastAsia="Arial" w:hAnsi="Arial"/>
          <w:color w:val="1B2631"/>
          <w:sz w:val="22"/>
          <w:szCs w:val="22"/>
        </w:rPr>
        <w:t xml:space="preserve">Pension sharing, offsetting, CETVs, and when specialist advice is most valuable.</w:t>
      </w:r>
    </w:p>
    <w:p>
      <w:pPr>
        <w:pStyle w:val="Heading2"/>
        <w:spacing w:before="280" w:after="140"/>
      </w:pPr>
      <w:r>
        <w:rPr>
          <w:rFonts w:ascii="Arial" w:cs="Arial" w:eastAsia="Arial" w:hAnsi="Arial"/>
          <w:b/>
          <w:bCs/>
          <w:color w:val="1B2631"/>
          <w:sz w:val="28"/>
          <w:szCs w:val="28"/>
        </w:rPr>
        <w:t xml:space="preserve">Frequently Asked Questions</w:t>
      </w:r>
    </w:p>
    <w:p>
      <w:pPr>
        <w:spacing w:before="220" w:after="80"/>
      </w:pPr>
      <w:r>
        <w:rPr>
          <w:rFonts w:ascii="Arial" w:cs="Arial" w:eastAsia="Arial" w:hAnsi="Arial"/>
          <w:b/>
          <w:bCs/>
          <w:color w:val="1A5276"/>
          <w:sz w:val="23"/>
          <w:szCs w:val="23"/>
        </w:rPr>
        <w:t xml:space="preserve">Q: What is a typical divorce settlement in the UK?</w:t>
      </w:r>
    </w:p>
    <w:p>
      <w:pPr>
        <w:spacing w:before="60" w:after="160"/>
      </w:pPr>
      <w:r>
        <w:rPr>
          <w:rFonts w:ascii="Arial" w:cs="Arial" w:eastAsia="Arial" w:hAnsi="Arial"/>
          <w:color w:val="1B2631"/>
          <w:sz w:val="22"/>
          <w:szCs w:val="22"/>
        </w:rPr>
        <w:t xml:space="preserve">There is no single 'typical' settlement. Outcomes vary enormously depending on the assets involved, the length of the marriage, the financial needs and contributions of each party, and whether dependent children are involved. The illustrative examples on this page show how different structures can work in principle, but they should not be taken as representative of what any individual's settlement should look like.</w:t>
      </w:r>
    </w:p>
    <w:p>
      <w:pPr>
        <w:spacing w:before="220" w:after="80"/>
      </w:pPr>
      <w:r>
        <w:rPr>
          <w:rFonts w:ascii="Arial" w:cs="Arial" w:eastAsia="Arial" w:hAnsi="Arial"/>
          <w:b/>
          <w:bCs/>
          <w:color w:val="1A5276"/>
          <w:sz w:val="23"/>
          <w:szCs w:val="23"/>
        </w:rPr>
        <w:t xml:space="preserve">Q: Is a 50/50 split always applied in UK divorce settlements?</w:t>
      </w:r>
    </w:p>
    <w:p>
      <w:pPr>
        <w:spacing w:before="60" w:after="160"/>
      </w:pPr>
      <w:r>
        <w:rPr>
          <w:rFonts w:ascii="Arial" w:cs="Arial" w:eastAsia="Arial" w:hAnsi="Arial"/>
          <w:color w:val="1B2631"/>
          <w:sz w:val="22"/>
          <w:szCs w:val="22"/>
        </w:rPr>
        <w:t xml:space="preserve">Equal division is often used as a starting point in England and Wales, but it is not automatically applied. Courts have wide discretion under the Matrimonial Causes Act 1973 to depart from equality where the circumstances justify it. Relevant factors include the financial needs of both parties, contributions made, the welfare of children, and other section 25 considerations. Many negotiated settlements involve unequal splits that better reflect the individual circumstances of the case.</w:t>
      </w:r>
    </w:p>
    <w:p>
      <w:pPr>
        <w:spacing w:before="220" w:after="80"/>
      </w:pPr>
      <w:r>
        <w:rPr>
          <w:rFonts w:ascii="Arial" w:cs="Arial" w:eastAsia="Arial" w:hAnsi="Arial"/>
          <w:b/>
          <w:bCs/>
          <w:color w:val="1A5276"/>
          <w:sz w:val="23"/>
          <w:szCs w:val="23"/>
        </w:rPr>
        <w:t xml:space="preserve">Q: Can a couple agree their own asset split in a divorce?</w:t>
      </w:r>
    </w:p>
    <w:p>
      <w:pPr>
        <w:spacing w:before="60" w:after="160"/>
      </w:pPr>
      <w:r>
        <w:rPr>
          <w:rFonts w:ascii="Arial" w:cs="Arial" w:eastAsia="Arial" w:hAnsi="Arial"/>
          <w:color w:val="1B2631"/>
          <w:sz w:val="22"/>
          <w:szCs w:val="22"/>
        </w:rPr>
        <w:t xml:space="preserve">Yes. The vast majority of financial settlements in England and Wales are reached by negotiated agreement between the parties rather than imposed by a court. Couples are free to agree their own terms, including unequal splits, provided both parties enter the agreement voluntarily and with appropriate legal advice. An agreed settlement is then formalised in a Consent Order, which must be approved by the court to become legally binding.</w:t>
      </w:r>
    </w:p>
    <w:p>
      <w:pPr>
        <w:spacing w:before="220" w:after="80"/>
      </w:pPr>
      <w:r>
        <w:rPr>
          <w:rFonts w:ascii="Arial" w:cs="Arial" w:eastAsia="Arial" w:hAnsi="Arial"/>
          <w:b/>
          <w:bCs/>
          <w:color w:val="1A5276"/>
          <w:sz w:val="23"/>
          <w:szCs w:val="23"/>
        </w:rPr>
        <w:t xml:space="preserve">Q: Do the illustrative settlement examples on this page reflect what I would receive?</w:t>
      </w:r>
    </w:p>
    <w:p>
      <w:pPr>
        <w:spacing w:before="60" w:after="160"/>
      </w:pPr>
      <w:r>
        <w:rPr>
          <w:rFonts w:ascii="Arial" w:cs="Arial" w:eastAsia="Arial" w:hAnsi="Arial"/>
          <w:color w:val="1B2631"/>
          <w:sz w:val="22"/>
          <w:szCs w:val="22"/>
        </w:rPr>
        <w:t xml:space="preserve">No. The examples on this page are for illustrative purposes only, based on simplified figures and general assumptions. Your own financial settlement will depend entirely on your specific assets, circumstances, needs, and any legal proceedings or negotiations involved. The examples are intended to illustrate the mechanics of different settlement structures, not to predict or suggest outcomes in any real case.</w:t>
      </w:r>
    </w:p>
    <w:p>
      <w:pPr>
        <w:spacing w:before="220" w:after="80"/>
      </w:pPr>
      <w:r>
        <w:rPr>
          <w:rFonts w:ascii="Arial" w:cs="Arial" w:eastAsia="Arial" w:hAnsi="Arial"/>
          <w:b/>
          <w:bCs/>
          <w:color w:val="1A5276"/>
          <w:sz w:val="23"/>
          <w:szCs w:val="23"/>
        </w:rPr>
        <w:t xml:space="preserve">Q: What happens if a couple cannot agree on a financial settlement?</w:t>
      </w:r>
    </w:p>
    <w:p>
      <w:pPr>
        <w:spacing w:before="60" w:after="160"/>
      </w:pPr>
      <w:r>
        <w:rPr>
          <w:rFonts w:ascii="Arial" w:cs="Arial" w:eastAsia="Arial" w:hAnsi="Arial"/>
          <w:color w:val="1B2631"/>
          <w:sz w:val="22"/>
          <w:szCs w:val="22"/>
        </w:rPr>
        <w:t xml:space="preserve">If the parties cannot reach agreement through negotiation or mediation, either party can apply to the court for a financial remedy order. The court process involves financial disclosure, a First Directions Appointment (FDA), a Financial Dispute Resolution hearing (FDR) – which is a settlement-focused hearing – and, if still unresolved, a final contested hearing where a judge makes a binding determination. Court proceedings are generally more expensive and time-consuming than negotiated settlements.</w:t>
      </w:r>
    </w:p>
    <w:p>
      <w:pPr>
        <w:spacing w:before="220" w:after="80"/>
      </w:pPr>
      <w:r>
        <w:rPr>
          <w:rFonts w:ascii="Arial" w:cs="Arial" w:eastAsia="Arial" w:hAnsi="Arial"/>
          <w:b/>
          <w:bCs/>
          <w:color w:val="1A5276"/>
          <w:sz w:val="23"/>
          <w:szCs w:val="23"/>
        </w:rPr>
        <w:t xml:space="preserve">Q: How long does it take to reach a financial settlement in a divorce?</w:t>
      </w:r>
    </w:p>
    <w:p>
      <w:pPr>
        <w:spacing w:before="60" w:after="160"/>
      </w:pPr>
      <w:r>
        <w:rPr>
          <w:rFonts w:ascii="Arial" w:cs="Arial" w:eastAsia="Arial" w:hAnsi="Arial"/>
          <w:color w:val="1B2631"/>
          <w:sz w:val="22"/>
          <w:szCs w:val="22"/>
        </w:rPr>
        <w:t xml:space="preserve">Timescales vary widely. A straightforward negotiated settlement where both parties cooperate and disclose fully may be resolved within a few months. Contested proceedings involving court hearings can take 12–18 months or longer, depending on the complexity of the case and the court's availability. Early, voluntary financial disclosure and a constructive approach to negotiations are generally the most effective ways to reduce the time taken to reach a settlement.</w:t>
      </w:r>
    </w:p>
    <w:p>
      <w:pPr>
        <w:pBdr>
          <w:top w:val="single" w:color="F39C12" w:sz="6"/>
          <w:bottom w:val="single" w:color="F39C12" w:sz="6"/>
        </w:pBdr>
        <w:shd w:fill="FEF9E7" w:val="clear"/>
        <w:spacing w:before="360" w:after="200"/>
      </w:pPr>
      <w:r>
        <w:rPr>
          <w:rFonts w:ascii="Arial" w:cs="Arial" w:eastAsia="Arial" w:hAnsi="Arial"/>
          <w:b/>
          <w:bCs/>
          <w:color w:val="784212"/>
          <w:sz w:val="20"/>
          <w:szCs w:val="20"/>
        </w:rPr>
        <w:t xml:space="preserve">Disclaimer: </w:t>
      </w:r>
      <w:r>
        <w:rPr>
          <w:rFonts w:ascii="Arial" w:cs="Arial" w:eastAsia="Arial" w:hAnsi="Arial"/>
          <w:color w:val="784212"/>
          <w:sz w:val="20"/>
          <w:szCs w:val="20"/>
        </w:rPr>
        <w:t xml:space="preserve">This content is provided for general informational purposes only and does not constitute legal, financial, or investment advice. All figures, scenarios, and examples used throughout this page are illustrative only and are based on simplified general assumptions. Individual circumstances vary significantly. Always seek advice from a qualified family law solicitor and an independent financial adviser before making decisions related to divorce or financial settlements.</w:t>
      </w:r>
    </w:p>
    <w:p>
      <w:r>
        <w:br w:type="page"/>
      </w:r>
    </w:p>
    <w:p>
      <w:pPr>
        <w:pBdr>
          <w:bottom w:val="thick" w:color="1A5276" w:sz="18" w:space="1"/>
        </w:pBdr>
        <w:spacing w:before="600" w:after="300"/>
      </w:pPr>
      <w:r>
        <w:t xml:space="preserve"/>
      </w:r>
    </w:p>
    <w:p>
      <w:pPr>
        <w:spacing w:before="300" w:after="160"/>
        <w:jc w:val="center"/>
      </w:pPr>
      <w:r>
        <w:rPr>
          <w:rFonts w:ascii="Arial" w:cs="Arial" w:eastAsia="Arial" w:hAnsi="Arial"/>
          <w:i/>
          <w:iCs/>
          <w:color w:val="5D6D7E"/>
          <w:sz w:val="26"/>
          <w:szCs w:val="26"/>
        </w:rPr>
        <w:t xml:space="preserve">Thank you for reading</w:t>
      </w:r>
    </w:p>
    <w:p>
      <w:pPr>
        <w:spacing w:before="80" w:after="240"/>
        <w:jc w:val="center"/>
      </w:pPr>
      <w:r>
        <w:rPr>
          <w:rFonts w:ascii="Arial" w:cs="Arial" w:eastAsia="Arial" w:hAnsi="Arial"/>
          <w:b/>
          <w:bCs/>
          <w:color w:val="1A5276"/>
          <w:sz w:val="40"/>
          <w:szCs w:val="40"/>
        </w:rPr>
        <w:t xml:space="preserve">Your Free Guide to Divorce Finances in the UK</w:t>
      </w:r>
    </w:p>
    <w:p>
      <w:pPr>
        <w:pBdr>
          <w:bottom w:val="thick" w:color="1A5276" w:sz="18" w:space="1"/>
        </w:pBdr>
        <w:spacing w:before="0" w:after="300"/>
      </w:pPr>
      <w:r>
        <w:t xml:space="preserve"/>
      </w:r>
    </w:p>
    <w:p>
      <w:pPr>
        <w:spacing w:before="80" w:after="80"/>
      </w:pPr>
      <w:r>
        <w:t xml:space="preserve"/>
      </w:r>
    </w:p>
    <w:p>
      <w:pPr>
        <w:spacing w:before="80" w:after="80"/>
      </w:pPr>
      <w:r>
        <w:t xml:space="preserve"/>
      </w:r>
    </w:p>
    <w:p>
      <w:pPr>
        <w:spacing w:before="200" w:after="120"/>
        <w:jc w:val="center"/>
      </w:pPr>
      <w:r>
        <w:rPr>
          <w:rFonts w:ascii="Arial" w:cs="Arial" w:eastAsia="Arial" w:hAnsi="Arial"/>
          <w:b/>
          <w:bCs/>
          <w:color w:val="1A5276"/>
          <w:sz w:val="28"/>
          <w:szCs w:val="28"/>
        </w:rPr>
        <w:t xml:space="preserve">Ready to explore your own figures?</w:t>
      </w:r>
    </w:p>
    <w:p>
      <w:pPr>
        <w:spacing w:before="80" w:after="300"/>
        <w:jc w:val="center"/>
      </w:pPr>
      <w:r>
        <w:rPr>
          <w:rFonts w:ascii="Arial" w:cs="Arial" w:eastAsia="Arial" w:hAnsi="Arial"/>
          <w:color w:val="5D6D7E"/>
          <w:sz w:val="22"/>
          <w:szCs w:val="22"/>
        </w:rPr>
        <w:t xml:space="preserve">Use our free Divorce Financial Scenario Modelling Tool to enter your own property, pension, savings and asset values and see how different settlement structures could affect your financial outcome.</w:t>
      </w:r>
    </w:p>
    <w:p>
      <w:pPr>
        <w:shd w:fill="D6EAF8" w:val="clear"/>
        <w:spacing w:before="160" w:after="80"/>
        <w:jc w:val="center"/>
      </w:pPr>
      <w:r>
        <w:rPr>
          <w:rFonts w:ascii="Arial" w:cs="Arial" w:eastAsia="Arial" w:hAnsi="Arial"/>
          <w:b/>
          <w:bCs/>
          <w:color w:val="1A5276"/>
          <w:sz w:val="32"/>
          <w:szCs w:val="32"/>
        </w:rPr>
        <w:t xml:space="preserve">divorcemodelling.co.uk</w:t>
      </w:r>
    </w:p>
    <w:p>
      <w:pPr>
        <w:spacing w:before="60" w:after="60"/>
        <w:jc w:val="center"/>
      </w:pPr>
      <w:r>
        <w:rPr>
          <w:rFonts w:ascii="Arial" w:cs="Arial" w:eastAsia="Arial" w:hAnsi="Arial"/>
          <w:i/>
          <w:iCs/>
          <w:color w:val="5D6D7E"/>
          <w:sz w:val="20"/>
          <w:szCs w:val="20"/>
        </w:rPr>
        <w:t xml:space="preserve">Free  ·  No registration required  ·  Private  ·  Illustrative only</w:t>
      </w:r>
    </w:p>
    <w:p>
      <w:pPr>
        <w:spacing w:before="80" w:after="80"/>
      </w:pPr>
      <w:r>
        <w:t xml:space="preserve"/>
      </w:r>
    </w:p>
    <w:p>
      <w:pPr>
        <w:spacing w:before="80" w:after="80"/>
      </w:pPr>
      <w:r>
        <w:t xml:space="preserve"/>
      </w:r>
    </w:p>
    <w:p>
      <w:pPr>
        <w:pBdr>
          <w:top w:val="single" w:color="F39C12" w:sz="4"/>
          <w:bottom w:val="single" w:color="F39C12" w:sz="4"/>
        </w:pBdr>
        <w:shd w:fill="FEF9E7" w:val="clear"/>
        <w:spacing w:before="300" w:after="160"/>
      </w:pPr>
      <w:r>
        <w:rPr>
          <w:rFonts w:ascii="Arial" w:cs="Arial" w:eastAsia="Arial" w:hAnsi="Arial"/>
          <w:b/>
          <w:bCs/>
          <w:color w:val="784212"/>
          <w:sz w:val="18"/>
          <w:szCs w:val="18"/>
        </w:rPr>
        <w:t xml:space="preserve">Disclaimer: </w:t>
      </w:r>
      <w:r>
        <w:rPr>
          <w:rFonts w:ascii="Arial" w:cs="Arial" w:eastAsia="Arial" w:hAnsi="Arial"/>
          <w:color w:val="784212"/>
          <w:sz w:val="18"/>
          <w:szCs w:val="18"/>
        </w:rPr>
        <w:t xml:space="preserve">This guide is provided for general informational purposes only and does not constitute legal, financial, or investment advice. All scenarios and figures are illustrative only. Please seek qualified professional advice before making decisions about your divorce or financial settlement.</w:t>
      </w:r>
    </w:p>
    <w:p>
      <w:pPr>
        <w:spacing w:before="200" w:after="120"/>
        <w:jc w:val="center"/>
      </w:pPr>
      <w:r>
        <w:rPr>
          <w:rFonts w:ascii="Arial" w:cs="Arial" w:eastAsia="Arial" w:hAnsi="Arial"/>
          <w:i/>
          <w:iCs/>
          <w:color w:val="5D6D7E"/>
          <w:sz w:val="17"/>
          <w:szCs w:val="17"/>
        </w:rPr>
        <w:t xml:space="preserve">© Divorce Financial Scenario Modelling Tool  |  divorcemodelling.co.uk</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5276"/>
      <w:sz w:val="40"/>
      <w:szCs w:val="40"/>
    </w:rPr>
  </w:style>
  <w:style w:type="paragraph" w:styleId="Heading2">
    <w:name w:val="Heading 2"/>
    <w:basedOn w:val="Normal"/>
    <w:next w:val="Normal"/>
    <w:qFormat/>
    <w:pPr>
      <w:spacing w:before="280" w:after="140"/>
      <w:outlineLvl w:val="1"/>
    </w:pPr>
    <w:rPr>
      <w:rFonts w:ascii="Arial" w:cs="Arial" w:eastAsia="Arial" w:hAnsi="Arial"/>
      <w:b/>
      <w:bCs/>
      <w:color w:val="1B263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2026-03-10T00:54:15.722Z</dcterms:created>
  <dcterms:modified xsi:type="dcterms:W3CDTF">2026-03-10T00:54:15.723Z</dcterms:modified>
</cp:coreProperties>
</file>

<file path=docProps/custom.xml><?xml version="1.0" encoding="utf-8"?>
<Properties xmlns="http://schemas.openxmlformats.org/officeDocument/2006/custom-properties" xmlns:vt="http://schemas.openxmlformats.org/officeDocument/2006/docPropsVTypes"/>
</file>