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00"/>
      </w:pPr>
      <w:r>
        <w:rPr>
          <w:rFonts w:ascii="Arial" w:cs="Arial" w:eastAsia="Arial" w:hAnsi="Arial"/>
          <w:b/>
          <w:bCs/>
          <w:color w:val="1B2A4A"/>
          <w:sz w:val="40"/>
          <w:szCs w:val="40"/>
        </w:rPr>
        <w:t xml:space="preserve">Product Review: Consolidated Agent Instructions</w:t>
      </w:r>
    </w:p>
    <w:p>
      <w:pPr>
        <w:spacing w:before="0" w:after="100"/>
      </w:pPr>
      <w:r>
        <w:rPr>
          <w:rFonts w:ascii="Arial" w:cs="Arial" w:eastAsia="Arial" w:hAnsi="Arial"/>
          <w:color w:val="2E5FA3"/>
          <w:sz w:val="24"/>
          <w:szCs w:val="24"/>
        </w:rPr>
        <w:t xml:space="preserve">Divorce Financial Settlement Tool — Implementation Brief</w:t>
      </w:r>
    </w:p>
    <w:p>
      <w:pPr>
        <w:spacing w:before="0" w:after="480"/>
      </w:pPr>
      <w:r>
        <w:rPr>
          <w:rFonts w:ascii="Arial" w:cs="Arial" w:eastAsia="Arial" w:hAnsi="Arial"/>
          <w:color w:val="888888"/>
          <w:sz w:val="18"/>
          <w:szCs w:val="18"/>
        </w:rPr>
        <w:t xml:space="preserve">Prepared for: Development Agent  |  Version: 1.0  |  All priorities consolidated</w:t>
      </w:r>
    </w:p>
    <w:p>
      <w:pPr>
        <w:pBdr>
          <w:left w:val="single" w:color="2E5FA3" w:sz="12"/>
        </w:pBdr>
        <w:shd w:fill="EEF3FA" w:val="clear"/>
        <w:spacing w:before="160" w:after="160"/>
        <w:ind w:left="300"/>
      </w:pPr>
      <w:r>
        <w:rPr>
          <w:rFonts w:ascii="Arial" w:cs="Arial" w:eastAsia="Arial" w:hAnsi="Arial"/>
          <w:b/>
          <w:bCs/>
          <w:color w:val="1B2A4A"/>
          <w:sz w:val="20"/>
          <w:szCs w:val="20"/>
        </w:rPr>
        <w:t xml:space="preserve">START HERE: The single highest-impact change is Priority 1 — the preview page. Everything else builds on users who reach that page being more likely to convert. Begin with P1, then work top-to-bottom.</w:t>
      </w:r>
    </w:p>
    <w:p>
      <w:pPr>
        <w:spacing w:before="0" w:after="480"/>
      </w:pPr>
    </w:p>
    <w:p>
      <w:pPr>
        <w:pStyle w:val="Heading1"/>
      </w:pPr>
      <w:r>
        <w:rPr>
          <w:rFonts w:ascii="Arial" w:cs="Arial" w:eastAsia="Arial" w:hAnsi="Arial"/>
          <w:b/>
          <w:bCs/>
          <w:color w:val="1B2A4A"/>
          <w:sz w:val="28"/>
          <w:szCs w:val="28"/>
        </w:rPr>
        <w:t xml:space="preserve">Priority 1 — Preview Page (Highest Conversion Impact)</w:t>
      </w:r>
    </w:p>
    <w:p>
      <w:pPr>
        <w:spacing w:before="60" w:after="60"/>
      </w:pPr>
      <w:r>
        <w:rPr>
          <w:rFonts w:ascii="Arial" w:cs="Arial" w:eastAsia="Arial" w:hAnsi="Arial"/>
          <w:color w:val="333333"/>
          <w:sz w:val="20"/>
          <w:szCs w:val="20"/>
        </w:rPr>
        <w:t xml:space="preserve">The preview page is the product's most important commercial asset and currently its weakest. Users arrive having invested 10–15 minutes sharing emotionally loaded information. They are at peak investment and peak anxiety simultaneously. What they see next determines whether they pay £79.</w:t>
      </w:r>
    </w:p>
    <w:p>
      <w:pPr>
        <w:spacing w:before="0" w:after="120"/>
      </w:pPr>
    </w:p>
    <w:p>
      <w:pPr>
        <w:pStyle w:val="Heading2"/>
        <w:spacing w:before="240" w:after="100"/>
      </w:pPr>
      <w:r>
        <w:rPr>
          <w:rFonts w:ascii="Arial" w:cs="Arial" w:eastAsia="Arial" w:hAnsi="Arial"/>
          <w:b/>
          <w:bCs/>
          <w:color w:val="2E5FA3"/>
          <w:sz w:val="22"/>
          <w:szCs w:val="22"/>
        </w:rPr>
        <w:t xml:space="preserve">Problem</w:t>
      </w:r>
    </w:p>
    <w:p>
      <w:pPr>
        <w:spacing w:before="60" w:after="60"/>
      </w:pPr>
      <w:r>
        <w:rPr>
          <w:rFonts w:ascii="Arial" w:cs="Arial" w:eastAsia="Arial" w:hAnsi="Arial"/>
          <w:color w:val="333333"/>
          <w:sz w:val="20"/>
          <w:szCs w:val="20"/>
        </w:rPr>
        <w:t xml:space="preserve">Blurred placeholder blocks communicate 'there is content behind here.' They do not communicate 'this content is specifically valuable to you.' The difference is critical at £79.</w:t>
      </w:r>
    </w:p>
    <w:p>
      <w:pPr>
        <w:spacing w:before="0" w:after="120"/>
      </w:pPr>
    </w:p>
    <w:p>
      <w:pPr>
        <w:pStyle w:val="Heading2"/>
        <w:spacing w:before="240" w:after="100"/>
      </w:pPr>
      <w:r>
        <w:rPr>
          <w:rFonts w:ascii="Arial" w:cs="Arial" w:eastAsia="Arial" w:hAnsi="Arial"/>
          <w:b/>
          <w:bCs/>
          <w:color w:val="2E5FA3"/>
          <w:sz w:val="22"/>
          <w:szCs w:val="22"/>
        </w:rPr>
        <w:t xml:space="preserve">Required Changes</w:t>
      </w:r>
    </w:p>
    <w:p>
      <w:pPr>
        <w:pStyle w:val="ListParagraph"/>
        <w:numPr>
          <w:ilvl w:val="0"/>
          <w:numId w:val="2"/>
        </w:numPr>
        <w:spacing w:before="40" w:after="40"/>
      </w:pPr>
      <w:r>
        <w:rPr>
          <w:rFonts w:ascii="Arial" w:cs="Arial" w:eastAsia="Arial" w:hAnsi="Arial"/>
          <w:b w:val="false"/>
          <w:bCs w:val="false"/>
          <w:color w:val="333333"/>
          <w:sz w:val="20"/>
          <w:szCs w:val="20"/>
        </w:rPr>
        <w:t xml:space="preserve">Show combined asset pool total with a breakdown ring chart (property / pensions / savings segments) — real data, no paywall</w:t>
      </w:r>
    </w:p>
    <w:p>
      <w:pPr>
        <w:pStyle w:val="ListParagraph"/>
        <w:numPr>
          <w:ilvl w:val="0"/>
          <w:numId w:val="2"/>
        </w:numPr>
        <w:spacing w:before="40" w:after="40"/>
      </w:pPr>
      <w:r>
        <w:rPr>
          <w:rFonts w:ascii="Arial" w:cs="Arial" w:eastAsia="Arial" w:hAnsi="Arial"/>
          <w:b w:val="false"/>
          <w:bCs w:val="false"/>
          <w:color w:val="333333"/>
          <w:sz w:val="20"/>
          <w:szCs w:val="20"/>
        </w:rPr>
        <w:t xml:space="preserve">Show a single plain-English interpretation sentence: "Based on what you've entered, the combined asset pool is £[X]. Under a 50/50 split, each party would start from approximately £[Y] before housing and pension arrangements are applied."</w:t>
      </w:r>
    </w:p>
    <w:p>
      <w:pPr>
        <w:pStyle w:val="ListParagraph"/>
        <w:numPr>
          <w:ilvl w:val="0"/>
          <w:numId w:val="2"/>
        </w:numPr>
        <w:spacing w:before="40" w:after="40"/>
      </w:pPr>
      <w:r>
        <w:rPr>
          <w:rFonts w:ascii="Arial" w:cs="Arial" w:eastAsia="Arial" w:hAnsi="Arial"/>
          <w:b w:val="false"/>
          <w:bCs w:val="false"/>
          <w:color w:val="333333"/>
          <w:sz w:val="20"/>
          <w:szCs w:val="20"/>
        </w:rPr>
        <w:t xml:space="preserve">Show the four scenario names each with one locked metric — e.g. "Scenario 1: Sell &amp; Split — Party A capital position: [locked]" — so users understand what they're buying</w:t>
      </w:r>
    </w:p>
    <w:p>
      <w:pPr>
        <w:pStyle w:val="ListParagraph"/>
        <w:numPr>
          <w:ilvl w:val="0"/>
          <w:numId w:val="2"/>
        </w:numPr>
        <w:spacing w:before="40" w:after="40"/>
      </w:pPr>
      <w:r>
        <w:rPr>
          <w:rFonts w:ascii="Arial" w:cs="Arial" w:eastAsia="Arial" w:hAnsi="Arial"/>
          <w:b w:val="false"/>
          <w:bCs w:val="false"/>
          <w:color w:val="333333"/>
          <w:sz w:val="20"/>
          <w:szCs w:val="20"/>
        </w:rPr>
        <w:t xml:space="preserve">Show the Financial Sustainability Indicator as a greyed-out score dial with label: "Your sustainability score is calculated — unlock to view"</w:t>
      </w:r>
    </w:p>
    <w:p>
      <w:pPr>
        <w:pStyle w:val="ListParagraph"/>
        <w:numPr>
          <w:ilvl w:val="0"/>
          <w:numId w:val="2"/>
        </w:numPr>
        <w:spacing w:before="40" w:after="40"/>
      </w:pPr>
      <w:r>
        <w:rPr>
          <w:rFonts w:ascii="Arial" w:cs="Arial" w:eastAsia="Arial" w:hAnsi="Arial"/>
          <w:b w:val="false"/>
          <w:bCs w:val="false"/>
          <w:color w:val="333333"/>
          <w:sz w:val="20"/>
          <w:szCs w:val="20"/>
        </w:rPr>
        <w:t xml:space="preserve">Add a social proof block: anonymised, aggregated, illustrative comparisons. E.g. "Users with a combined asset pool between £300k–£500k typically see a sustainability score difference of 15–25 points between the Sell &amp; Split and Retain scenarios." Label clearly: illustrative only.</w:t>
      </w:r>
    </w:p>
    <w:p>
      <w:pPr>
        <w:spacing w:before="0" w:after="320"/>
      </w:pPr>
    </w:p>
    <w:p>
      <w:pPr>
        <w:pBdr>
          <w:left w:val="single" w:color="2E5FA3" w:sz="12"/>
        </w:pBdr>
        <w:shd w:fill="EEF3FA" w:val="clear"/>
        <w:spacing w:before="160" w:after="160"/>
        <w:ind w:left="300"/>
      </w:pPr>
      <w:r>
        <w:rPr>
          <w:rFonts w:ascii="Arial" w:cs="Arial" w:eastAsia="Arial" w:hAnsi="Arial"/>
          <w:b/>
          <w:bCs/>
          <w:color w:val="1B2A4A"/>
          <w:sz w:val="20"/>
          <w:szCs w:val="20"/>
        </w:rPr>
        <w:t xml:space="preserve">Goal: Make the user feel the tool already understands their situation specifically — not that they've filled in a form and hit a wall.</w:t>
      </w:r>
    </w:p>
    <w:p>
      <w:pPr>
        <w:spacing w:before="0" w:after="320"/>
      </w:pPr>
    </w:p>
    <w:p>
      <w:r>
        <w:br w:type="page"/>
      </w:r>
    </w:p>
    <w:p>
      <w:pPr>
        <w:pStyle w:val="Heading1"/>
      </w:pPr>
      <w:r>
        <w:rPr>
          <w:rFonts w:ascii="Arial" w:cs="Arial" w:eastAsia="Arial" w:hAnsi="Arial"/>
          <w:b/>
          <w:bCs/>
          <w:color w:val="1B2A4A"/>
          <w:sz w:val="28"/>
          <w:szCs w:val="28"/>
        </w:rPr>
        <w:t xml:space="preserve">Priority 2 — Wizard Emotional Scaffolding</w:t>
      </w:r>
    </w:p>
    <w:p>
      <w:pPr>
        <w:spacing w:before="60" w:after="60"/>
      </w:pPr>
      <w:r>
        <w:rPr>
          <w:rFonts w:ascii="Arial" w:cs="Arial" w:eastAsia="Arial" w:hAnsi="Arial"/>
          <w:color w:val="333333"/>
          <w:sz w:val="20"/>
          <w:szCs w:val="20"/>
        </w:rPr>
        <w:t xml:space="preserve">The 9-step wizard is technically comprehensive. But for a stressed, non-expert user completing this in a car park, a form that asks about pension CETVs and mortgage amortisation without emotional acknowledgement feels clinical and alienating.</w:t>
      </w:r>
    </w:p>
    <w:p>
      <w:pPr>
        <w:spacing w:before="0" w:after="120"/>
      </w:pPr>
    </w:p>
    <w:p>
      <w:pPr>
        <w:pStyle w:val="Heading2"/>
        <w:spacing w:before="240" w:after="100"/>
      </w:pPr>
      <w:r>
        <w:rPr>
          <w:rFonts w:ascii="Arial" w:cs="Arial" w:eastAsia="Arial" w:hAnsi="Arial"/>
          <w:b/>
          <w:bCs/>
          <w:color w:val="2E5FA3"/>
          <w:sz w:val="22"/>
          <w:szCs w:val="22"/>
        </w:rPr>
        <w:t xml:space="preserve">Progress Framing</w:t>
      </w:r>
    </w:p>
    <w:p>
      <w:pPr>
        <w:spacing w:before="60" w:after="60"/>
      </w:pPr>
      <w:r>
        <w:rPr>
          <w:rFonts w:ascii="Arial" w:cs="Arial" w:eastAsia="Arial" w:hAnsi="Arial"/>
          <w:color w:val="333333"/>
          <w:sz w:val="20"/>
          <w:szCs w:val="20"/>
        </w:rPr>
        <w:t xml:space="preserve">Replace "Step 4 of 9" with "You're building your financial picture — 4 of 9 complete." This reframes the task as collaborative, not bureaucratic.</w:t>
      </w:r>
    </w:p>
    <w:p>
      <w:pPr>
        <w:spacing w:before="0" w:after="120"/>
      </w:pPr>
    </w:p>
    <w:p>
      <w:pPr>
        <w:pStyle w:val="Heading2"/>
        <w:spacing w:before="240" w:after="100"/>
      </w:pPr>
      <w:r>
        <w:rPr>
          <w:rFonts w:ascii="Arial" w:cs="Arial" w:eastAsia="Arial" w:hAnsi="Arial"/>
          <w:b/>
          <w:bCs/>
          <w:color w:val="2E5FA3"/>
          <w:sz w:val="22"/>
          <w:szCs w:val="22"/>
        </w:rPr>
        <w:t xml:space="preserve">Contextual Help — Inline, Not Modal</w:t>
      </w:r>
    </w:p>
    <w:p>
      <w:pPr>
        <w:spacing w:before="60" w:after="60"/>
      </w:pPr>
      <w:r>
        <w:rPr>
          <w:rFonts w:ascii="Arial" w:cs="Arial" w:eastAsia="Arial" w:hAnsi="Arial"/>
          <w:color w:val="333333"/>
          <w:sz w:val="20"/>
          <w:szCs w:val="20"/>
        </w:rPr>
        <w:t xml:space="preserve">Every field requiring specialist knowledge (CETV, DB pension, CMS, equity) needs a one-line plain-English explainer directly below the label. Not a tooltip. Not a modal. One line.</w:t>
      </w:r>
    </w:p>
    <w:p>
      <w:pPr>
        <w:pStyle w:val="ListParagraph"/>
        <w:numPr>
          <w:ilvl w:val="0"/>
          <w:numId w:val="2"/>
        </w:numPr>
        <w:spacing w:before="40" w:after="40"/>
      </w:pPr>
      <w:r>
        <w:rPr>
          <w:rFonts w:ascii="Arial" w:cs="Arial" w:eastAsia="Arial" w:hAnsi="Arial"/>
          <w:b w:val="false"/>
          <w:bCs w:val="false"/>
          <w:color w:val="333333"/>
          <w:sz w:val="20"/>
          <w:szCs w:val="20"/>
        </w:rPr>
        <w:t xml:space="preserve">Example: "CETV (Cash Equivalent Transfer Value) — this is shown on your pension statement. If you don't have it, use your best estimate."</w:t>
      </w:r>
    </w:p>
    <w:p>
      <w:pPr>
        <w:pStyle w:val="ListParagraph"/>
        <w:numPr>
          <w:ilvl w:val="0"/>
          <w:numId w:val="2"/>
        </w:numPr>
        <w:spacing w:before="40" w:after="40"/>
      </w:pPr>
      <w:r>
        <w:rPr>
          <w:rFonts w:ascii="Arial" w:cs="Arial" w:eastAsia="Arial" w:hAnsi="Arial"/>
          <w:b w:val="false"/>
          <w:bCs w:val="false"/>
          <w:color w:val="333333"/>
          <w:sz w:val="20"/>
          <w:szCs w:val="20"/>
        </w:rPr>
        <w:t xml:space="preserve">Users who can't answer a field abandon. Fields they can approximate keep them moving.</w:t>
      </w:r>
    </w:p>
    <w:p>
      <w:pPr>
        <w:spacing w:before="0" w:after="120"/>
      </w:pPr>
    </w:p>
    <w:p>
      <w:pPr>
        <w:pStyle w:val="Heading2"/>
        <w:spacing w:before="240" w:after="100"/>
      </w:pPr>
      <w:r>
        <w:rPr>
          <w:rFonts w:ascii="Arial" w:cs="Arial" w:eastAsia="Arial" w:hAnsi="Arial"/>
          <w:b/>
          <w:bCs/>
          <w:color w:val="2E5FA3"/>
          <w:sz w:val="22"/>
          <w:szCs w:val="22"/>
        </w:rPr>
        <w:t xml:space="preserve">"I Don't Know" Path — Make It First-Class</w:t>
      </w:r>
    </w:p>
    <w:p>
      <w:pPr>
        <w:spacing w:before="60" w:after="60"/>
      </w:pPr>
      <w:r>
        <w:rPr>
          <w:rFonts w:ascii="Arial" w:cs="Arial" w:eastAsia="Arial" w:hAnsi="Arial"/>
          <w:color w:val="333333"/>
          <w:sz w:val="20"/>
          <w:szCs w:val="20"/>
        </w:rPr>
        <w:t xml:space="preserve">Every substantive financial field needs an "I'll estimate / I don't know" affordance that either accepts a range or flags the field as approximate.</w:t>
      </w:r>
    </w:p>
    <w:p>
      <w:pPr>
        <w:pStyle w:val="ListParagraph"/>
        <w:numPr>
          <w:ilvl w:val="0"/>
          <w:numId w:val="2"/>
        </w:numPr>
        <w:spacing w:before="40" w:after="40"/>
      </w:pPr>
      <w:r>
        <w:rPr>
          <w:rFonts w:ascii="Arial" w:cs="Arial" w:eastAsia="Arial" w:hAnsi="Arial"/>
          <w:b w:val="false"/>
          <w:bCs w:val="false"/>
          <w:color w:val="333333"/>
          <w:sz w:val="20"/>
          <w:szCs w:val="20"/>
        </w:rPr>
        <w:t xml:space="preserve">The engine can handle approximate inputs — the UI must expose this</w:t>
      </w:r>
    </w:p>
    <w:p>
      <w:pPr>
        <w:pStyle w:val="ListParagraph"/>
        <w:numPr>
          <w:ilvl w:val="0"/>
          <w:numId w:val="2"/>
        </w:numPr>
        <w:spacing w:before="40" w:after="40"/>
      </w:pPr>
      <w:r>
        <w:rPr>
          <w:rFonts w:ascii="Arial" w:cs="Arial" w:eastAsia="Arial" w:hAnsi="Arial"/>
          <w:b w:val="false"/>
          <w:bCs w:val="false"/>
          <w:color w:val="333333"/>
          <w:sz w:val="20"/>
          <w:szCs w:val="20"/>
        </w:rPr>
        <w:t xml:space="preserve">An estimate clearly marked as approximate is far better than an abandoned wizard</w:t>
      </w:r>
    </w:p>
    <w:p>
      <w:pPr>
        <w:spacing w:before="0" w:after="120"/>
      </w:pPr>
    </w:p>
    <w:p>
      <w:pPr>
        <w:pStyle w:val="Heading2"/>
        <w:spacing w:before="240" w:after="100"/>
      </w:pPr>
      <w:r>
        <w:rPr>
          <w:rFonts w:ascii="Arial" w:cs="Arial" w:eastAsia="Arial" w:hAnsi="Arial"/>
          <w:b/>
          <w:bCs/>
          <w:color w:val="2E5FA3"/>
          <w:sz w:val="22"/>
          <w:szCs w:val="22"/>
        </w:rPr>
        <w:t xml:space="preserve">Micro-Validation Encouragement</w:t>
      </w:r>
    </w:p>
    <w:p>
      <w:pPr>
        <w:spacing w:before="60" w:after="60"/>
      </w:pPr>
      <w:r>
        <w:rPr>
          <w:rFonts w:ascii="Arial" w:cs="Arial" w:eastAsia="Arial" w:hAnsi="Arial"/>
          <w:color w:val="333333"/>
          <w:sz w:val="20"/>
          <w:szCs w:val="20"/>
        </w:rPr>
        <w:t xml:space="preserve">When a user completes a step, show a single sentence acknowledging what they've done. Example: "Property details saved. This is often the most significant asset — you're doing the important work."</w:t>
      </w:r>
    </w:p>
    <w:p>
      <w:pPr>
        <w:spacing w:before="60" w:after="60"/>
      </w:pPr>
      <w:r>
        <w:rPr>
          <w:rFonts w:ascii="Arial" w:cs="Arial" w:eastAsia="Arial" w:hAnsi="Arial"/>
          <w:color w:val="333333"/>
          <w:sz w:val="20"/>
          <w:szCs w:val="20"/>
        </w:rPr>
        <w:t xml:space="preserve">This is not patronising if the copy is right. It is the difference between a form and a product that feels like it's on their side.</w:t>
      </w:r>
    </w:p>
    <w:p>
      <w:pPr>
        <w:spacing w:before="0" w:after="120"/>
      </w:pPr>
    </w:p>
    <w:p>
      <w:pPr>
        <w:pStyle w:val="Heading2"/>
        <w:spacing w:before="240" w:after="100"/>
      </w:pPr>
      <w:r>
        <w:rPr>
          <w:rFonts w:ascii="Arial" w:cs="Arial" w:eastAsia="Arial" w:hAnsi="Arial"/>
          <w:b/>
          <w:bCs/>
          <w:color w:val="2E5FA3"/>
          <w:sz w:val="22"/>
          <w:szCs w:val="22"/>
        </w:rPr>
        <w:t xml:space="preserve">Standard / Advanced Toggle</w:t>
      </w:r>
    </w:p>
    <w:p>
      <w:pPr>
        <w:spacing w:before="60" w:after="60"/>
      </w:pPr>
      <w:r>
        <w:rPr>
          <w:rFonts w:ascii="Arial" w:cs="Arial" w:eastAsia="Arial" w:hAnsi="Arial"/>
          <w:color w:val="333333"/>
          <w:sz w:val="20"/>
          <w:szCs w:val="20"/>
        </w:rPr>
        <w:t xml:space="preserve">Default to Standard. Add a clear upfront explanation: "Advanced mode adds property appreciation modelling, rental yield estimates, and business asset guidance — useful if your situation is more complex." Users who don't need it won't accidentally hit fields they can't answer.</w:t>
      </w:r>
    </w:p>
    <w:p>
      <w:pPr>
        <w:spacing w:before="0" w:after="320"/>
      </w:pPr>
    </w:p>
    <w:p>
      <w:pPr>
        <w:pStyle w:val="Heading1"/>
      </w:pPr>
      <w:r>
        <w:rPr>
          <w:rFonts w:ascii="Arial" w:cs="Arial" w:eastAsia="Arial" w:hAnsi="Arial"/>
          <w:b/>
          <w:bCs/>
          <w:color w:val="1B2A4A"/>
          <w:sz w:val="28"/>
          <w:szCs w:val="28"/>
        </w:rPr>
        <w:t xml:space="preserve">Priority 3 — Trust Signals</w:t>
      </w:r>
    </w:p>
    <w:p>
      <w:pPr>
        <w:spacing w:before="60" w:after="60"/>
      </w:pPr>
      <w:r>
        <w:rPr>
          <w:rFonts w:ascii="Arial" w:cs="Arial" w:eastAsia="Arial" w:hAnsi="Arial"/>
          <w:color w:val="333333"/>
          <w:sz w:val="20"/>
          <w:szCs w:val="20"/>
        </w:rPr>
        <w:t xml:space="preserve">The £79 price point is defensible — but only with trust. A user who doesn't trust the product won't pay it. These signals are realistic without press coverage or testimonials.</w:t>
      </w:r>
    </w:p>
    <w:p>
      <w:pPr>
        <w:spacing w:before="0" w:after="120"/>
      </w:pPr>
    </w:p>
    <w:p>
      <w:pPr>
        <w:pStyle w:val="Heading2"/>
        <w:spacing w:before="240" w:after="100"/>
      </w:pPr>
      <w:r>
        <w:rPr>
          <w:rFonts w:ascii="Arial" w:cs="Arial" w:eastAsia="Arial" w:hAnsi="Arial"/>
          <w:b/>
          <w:bCs/>
          <w:color w:val="2E5FA3"/>
          <w:sz w:val="22"/>
          <w:szCs w:val="22"/>
        </w:rPr>
        <w:t xml:space="preserve">Privacy-Preserving Calculation — Lead With It</w:t>
      </w:r>
    </w:p>
    <w:p>
      <w:pPr>
        <w:spacing w:before="60" w:after="60"/>
      </w:pPr>
      <w:r>
        <w:rPr>
          <w:rFonts w:ascii="Arial" w:cs="Arial" w:eastAsia="Arial" w:hAnsi="Arial"/>
          <w:color w:val="333333"/>
          <w:sz w:val="20"/>
          <w:szCs w:val="20"/>
        </w:rPr>
        <w:t xml:space="preserve">The brief confirms calculations happen on-device and figures never leave the browser. This is a genuine differentiator and most users don't know it's possible. Add to the landing page, wizard Step 1, and the preview page:</w:t>
      </w:r>
    </w:p>
    <w:p>
      <w:pPr>
        <w:pBdr>
          <w:left w:val="single" w:color="2E5FA3" w:sz="12"/>
        </w:pBdr>
        <w:shd w:fill="EEF3FA" w:val="clear"/>
        <w:spacing w:before="160" w:after="160"/>
        <w:ind w:left="300"/>
      </w:pPr>
      <w:r>
        <w:rPr>
          <w:rFonts w:ascii="Arial" w:cs="Arial" w:eastAsia="Arial" w:hAnsi="Arial"/>
          <w:b/>
          <w:bCs/>
          <w:color w:val="1B2A4A"/>
          <w:sz w:val="20"/>
          <w:szCs w:val="20"/>
        </w:rPr>
        <w:t xml:space="preserve">"Your financial figures never leave your browser. All calculations happen on your device. We store only a session reference to manage your access."</w:t>
      </w:r>
    </w:p>
    <w:p>
      <w:pPr>
        <w:pStyle w:val="Heading2"/>
        <w:spacing w:before="240" w:after="100"/>
      </w:pPr>
      <w:r>
        <w:rPr>
          <w:rFonts w:ascii="Arial" w:cs="Arial" w:eastAsia="Arial" w:hAnsi="Arial"/>
          <w:b/>
          <w:bCs/>
          <w:color w:val="2E5FA3"/>
          <w:sz w:val="22"/>
          <w:szCs w:val="22"/>
        </w:rPr>
        <w:t xml:space="preserve">Methodology Transparency Page (/methodology)</w:t>
      </w:r>
    </w:p>
    <w:p>
      <w:pPr>
        <w:pStyle w:val="ListParagraph"/>
        <w:numPr>
          <w:ilvl w:val="0"/>
          <w:numId w:val="2"/>
        </w:numPr>
        <w:spacing w:before="40" w:after="40"/>
      </w:pPr>
      <w:r>
        <w:rPr>
          <w:rFonts w:ascii="Arial" w:cs="Arial" w:eastAsia="Arial" w:hAnsi="Arial"/>
          <w:b w:val="false"/>
          <w:bCs w:val="false"/>
          <w:color w:val="333333"/>
          <w:sz w:val="20"/>
          <w:szCs w:val="20"/>
        </w:rPr>
        <w:t xml:space="preserve">Engine uses 2025/26 UK tax rates</w:t>
      </w:r>
    </w:p>
    <w:p>
      <w:pPr>
        <w:pStyle w:val="ListParagraph"/>
        <w:numPr>
          <w:ilvl w:val="0"/>
          <w:numId w:val="2"/>
        </w:numPr>
        <w:spacing w:before="40" w:after="40"/>
      </w:pPr>
      <w:r>
        <w:rPr>
          <w:rFonts w:ascii="Arial" w:cs="Arial" w:eastAsia="Arial" w:hAnsi="Arial"/>
          <w:b w:val="false"/>
          <w:bCs w:val="false"/>
          <w:color w:val="333333"/>
          <w:sz w:val="20"/>
          <w:szCs w:val="20"/>
        </w:rPr>
        <w:t xml:space="preserve">HMRC-aligned NI thresholds</w:t>
      </w:r>
    </w:p>
    <w:p>
      <w:pPr>
        <w:pStyle w:val="ListParagraph"/>
        <w:numPr>
          <w:ilvl w:val="0"/>
          <w:numId w:val="2"/>
        </w:numPr>
        <w:spacing w:before="40" w:after="40"/>
      </w:pPr>
      <w:r>
        <w:rPr>
          <w:rFonts w:ascii="Arial" w:cs="Arial" w:eastAsia="Arial" w:hAnsi="Arial"/>
          <w:b w:val="false"/>
          <w:bCs w:val="false"/>
          <w:color w:val="333333"/>
          <w:sz w:val="20"/>
          <w:szCs w:val="20"/>
        </w:rPr>
        <w:t xml:space="preserve">CMS basic rate formula</w:t>
      </w:r>
    </w:p>
    <w:p>
      <w:pPr>
        <w:pStyle w:val="ListParagraph"/>
        <w:numPr>
          <w:ilvl w:val="0"/>
          <w:numId w:val="2"/>
        </w:numPr>
        <w:spacing w:before="40" w:after="40"/>
      </w:pPr>
      <w:r>
        <w:rPr>
          <w:rFonts w:ascii="Arial" w:cs="Arial" w:eastAsia="Arial" w:hAnsi="Arial"/>
          <w:b w:val="false"/>
          <w:bCs w:val="false"/>
          <w:color w:val="333333"/>
          <w:sz w:val="20"/>
          <w:szCs w:val="20"/>
        </w:rPr>
        <w:t xml:space="preserve">Link to source legislation</w:t>
      </w:r>
    </w:p>
    <w:p>
      <w:pPr>
        <w:spacing w:before="60" w:after="60"/>
      </w:pPr>
      <w:r>
        <w:rPr>
          <w:rFonts w:ascii="Arial" w:cs="Arial" w:eastAsia="Arial" w:hAnsi="Arial"/>
          <w:color w:val="333333"/>
          <w:sz w:val="20"/>
          <w:szCs w:val="20"/>
        </w:rPr>
        <w:t xml:space="preserve">This is not legal boilerplate. It is what makes a financially-literate user trust the output enough to use it in a real solicitor meeting.</w:t>
      </w:r>
    </w:p>
    <w:p>
      <w:pPr>
        <w:spacing w:before="0" w:after="120"/>
      </w:pPr>
    </w:p>
    <w:p>
      <w:pPr>
        <w:pStyle w:val="Heading2"/>
        <w:spacing w:before="240" w:after="100"/>
      </w:pPr>
      <w:r>
        <w:rPr>
          <w:rFonts w:ascii="Arial" w:cs="Arial" w:eastAsia="Arial" w:hAnsi="Arial"/>
          <w:b/>
          <w:bCs/>
          <w:color w:val="2E5FA3"/>
          <w:sz w:val="22"/>
          <w:szCs w:val="22"/>
        </w:rPr>
        <w:t xml:space="preserve">Reframe the Disclaimer as a Feature</w:t>
      </w:r>
    </w:p>
    <w:p>
      <w:pPr>
        <w:pBdr>
          <w:left w:val="single" w:color="2E5FA3" w:sz="12"/>
        </w:pBdr>
        <w:shd w:fill="EEF3FA" w:val="clear"/>
        <w:spacing w:before="160" w:after="160"/>
        <w:ind w:left="300"/>
      </w:pPr>
      <w:r>
        <w:rPr>
          <w:rFonts w:ascii="Arial" w:cs="Arial" w:eastAsia="Arial" w:hAnsi="Arial"/>
          <w:b/>
          <w:bCs/>
          <w:color w:val="1B2A4A"/>
          <w:sz w:val="20"/>
          <w:szCs w:val="20"/>
        </w:rPr>
        <w:t xml:space="preserve">"This tool doesn't tell you what to do. It shows you the numbers so you can make your own informed decisions."</w:t>
      </w:r>
    </w:p>
    <w:p>
      <w:pPr>
        <w:spacing w:before="60" w:after="60"/>
      </w:pPr>
      <w:r>
        <w:rPr>
          <w:rFonts w:ascii="Arial" w:cs="Arial" w:eastAsia="Arial" w:hAnsi="Arial"/>
          <w:color w:val="333333"/>
          <w:sz w:val="20"/>
          <w:szCs w:val="20"/>
        </w:rPr>
        <w:t xml:space="preserve">Position the non-advisory nature as a feature, not a legal constraint. Users going through divorce are often suspicious of anything that sounds like it's telling them what to think.</w:t>
      </w:r>
    </w:p>
    <w:p>
      <w:pPr>
        <w:spacing w:before="0" w:after="120"/>
      </w:pPr>
    </w:p>
    <w:p>
      <w:pPr>
        <w:pStyle w:val="Heading2"/>
        <w:spacing w:before="240" w:after="100"/>
      </w:pPr>
      <w:r>
        <w:rPr>
          <w:rFonts w:ascii="Arial" w:cs="Arial" w:eastAsia="Arial" w:hAnsi="Arial"/>
          <w:b/>
          <w:bCs/>
          <w:color w:val="2E5FA3"/>
          <w:sz w:val="22"/>
          <w:szCs w:val="22"/>
        </w:rPr>
        <w:t xml:space="preserve">Early Testimonials (Next Product Cycle)</w:t>
      </w:r>
    </w:p>
    <w:p>
      <w:pPr>
        <w:spacing w:before="60" w:after="60"/>
      </w:pPr>
      <w:r>
        <w:rPr>
          <w:rFonts w:ascii="Arial" w:cs="Arial" w:eastAsia="Arial" w:hAnsi="Arial"/>
          <w:color w:val="333333"/>
          <w:sz w:val="20"/>
          <w:szCs w:val="20"/>
        </w:rPr>
        <w:t xml:space="preserve">Even 3–5 beta user testimonials framed specifically would materially move conversion. Target format: "I came to my first mediation session with a printout from this tool. My solicitor said it was the clearest brief they'd seen from a non-professional client."</w:t>
      </w:r>
    </w:p>
    <w:p>
      <w:pPr>
        <w:spacing w:before="0" w:after="320"/>
      </w:pPr>
    </w:p>
    <w:p>
      <w:r>
        <w:br w:type="page"/>
      </w:r>
    </w:p>
    <w:p>
      <w:pPr>
        <w:pStyle w:val="Heading1"/>
      </w:pPr>
      <w:r>
        <w:rPr>
          <w:rFonts w:ascii="Arial" w:cs="Arial" w:eastAsia="Arial" w:hAnsi="Arial"/>
          <w:b/>
          <w:bCs/>
          <w:color w:val="1B2A4A"/>
          <w:sz w:val="28"/>
          <w:szCs w:val="28"/>
        </w:rPr>
        <w:t xml:space="preserve">Priority 4 — PDF Report</w:t>
      </w:r>
    </w:p>
    <w:p>
      <w:pPr>
        <w:spacing w:before="60" w:after="60"/>
      </w:pPr>
      <w:r>
        <w:rPr>
          <w:rFonts w:ascii="Arial" w:cs="Arial" w:eastAsia="Arial" w:hAnsi="Arial"/>
          <w:color w:val="333333"/>
          <w:sz w:val="20"/>
          <w:szCs w:val="20"/>
        </w:rPr>
        <w:t xml:space="preserve">The PDF is the product's primary mechanism for creating value outside the browser session. A user who brings a well-structured PDF to their solicitor creates a real-world proof point. Their solicitor notices it. The user feels the £79 was well-spent.</w:t>
      </w:r>
    </w:p>
    <w:p>
      <w:pPr>
        <w:spacing w:before="0" w:after="120"/>
      </w:pPr>
    </w:p>
    <w:p>
      <w:pPr>
        <w:pStyle w:val="Heading2"/>
        <w:spacing w:before="240" w:after="100"/>
      </w:pPr>
      <w:r>
        <w:rPr>
          <w:rFonts w:ascii="Arial" w:cs="Arial" w:eastAsia="Arial" w:hAnsi="Arial"/>
          <w:b/>
          <w:bCs/>
          <w:color w:val="2E5FA3"/>
          <w:sz w:val="22"/>
          <w:szCs w:val="22"/>
        </w:rPr>
        <w:t xml:space="preserve">Required PDF Contents</w:t>
      </w:r>
    </w:p>
    <w:p>
      <w:pPr>
        <w:pStyle w:val="ListParagraph"/>
        <w:numPr>
          <w:ilvl w:val="0"/>
          <w:numId w:val="2"/>
        </w:numPr>
        <w:spacing w:before="40" w:after="40"/>
      </w:pPr>
      <w:r>
        <w:rPr>
          <w:rFonts w:ascii="Arial" w:cs="Arial" w:eastAsia="Arial" w:hAnsi="Arial"/>
          <w:b w:val="false"/>
          <w:bCs w:val="false"/>
          <w:color w:val="333333"/>
          <w:sz w:val="20"/>
          <w:szCs w:val="20"/>
        </w:rPr>
        <w:t xml:space="preserve">Cover page: Party A/B names, date generated, explicit non-advisory disclaimer</w:t>
      </w:r>
    </w:p>
    <w:p>
      <w:pPr>
        <w:pStyle w:val="ListParagraph"/>
        <w:numPr>
          <w:ilvl w:val="0"/>
          <w:numId w:val="2"/>
        </w:numPr>
        <w:spacing w:before="40" w:after="40"/>
      </w:pPr>
      <w:r>
        <w:rPr>
          <w:rFonts w:ascii="Arial" w:cs="Arial" w:eastAsia="Arial" w:hAnsi="Arial"/>
          <w:b w:val="false"/>
          <w:bCs w:val="false"/>
          <w:color w:val="333333"/>
          <w:sz w:val="20"/>
          <w:szCs w:val="20"/>
        </w:rPr>
        <w:t xml:space="preserve">Executive summary (1 page): combined asset pool, four scenario names with headline capital figures, sustainability scores per party</w:t>
      </w:r>
    </w:p>
    <w:p>
      <w:pPr>
        <w:pStyle w:val="ListParagraph"/>
        <w:numPr>
          <w:ilvl w:val="0"/>
          <w:numId w:val="2"/>
        </w:numPr>
        <w:spacing w:before="40" w:after="40"/>
      </w:pPr>
      <w:r>
        <w:rPr>
          <w:rFonts w:ascii="Arial" w:cs="Arial" w:eastAsia="Arial" w:hAnsi="Arial"/>
          <w:b w:val="false"/>
          <w:bCs w:val="false"/>
          <w:color w:val="333333"/>
          <w:sz w:val="20"/>
          <w:szCs w:val="20"/>
        </w:rPr>
        <w:t xml:space="preserve">Scenario detail (1 page per scenario): full capital breakdown, net monthly income, surplus/deficit, housing feasibility note</w:t>
      </w:r>
    </w:p>
    <w:p>
      <w:pPr>
        <w:pStyle w:val="ListParagraph"/>
        <w:numPr>
          <w:ilvl w:val="0"/>
          <w:numId w:val="2"/>
        </w:numPr>
        <w:spacing w:before="40" w:after="40"/>
      </w:pPr>
      <w:r>
        <w:rPr>
          <w:rFonts w:ascii="Arial" w:cs="Arial" w:eastAsia="Arial" w:hAnsi="Arial"/>
          <w:b w:val="false"/>
          <w:bCs w:val="false"/>
          <w:color w:val="333333"/>
          <w:sz w:val="20"/>
          <w:szCs w:val="20"/>
        </w:rPr>
        <w:t xml:space="preserve">Data appendix: all inputs the user provided (so a solicitor can verify and identify gaps)</w:t>
      </w:r>
    </w:p>
    <w:p>
      <w:pPr>
        <w:pStyle w:val="ListParagraph"/>
        <w:numPr>
          <w:ilvl w:val="0"/>
          <w:numId w:val="2"/>
        </w:numPr>
        <w:spacing w:before="40" w:after="40"/>
      </w:pPr>
      <w:r>
        <w:rPr>
          <w:rFonts w:ascii="Arial" w:cs="Arial" w:eastAsia="Arial" w:hAnsi="Arial"/>
          <w:b w:val="false"/>
          <w:bCs w:val="false"/>
          <w:color w:val="333333"/>
          <w:sz w:val="20"/>
          <w:szCs w:val="20"/>
        </w:rPr>
        <w:t xml:space="preserve">Footer on every page: "These figures are illustrative only, based on user-provided inputs. This document does not constitute legal or financial advice."</w:t>
      </w:r>
    </w:p>
    <w:p>
      <w:pPr>
        <w:spacing w:before="0" w:after="120"/>
      </w:pPr>
    </w:p>
    <w:p>
      <w:pPr>
        <w:pStyle w:val="Heading2"/>
        <w:spacing w:before="240" w:after="100"/>
      </w:pPr>
      <w:r>
        <w:rPr>
          <w:rFonts w:ascii="Arial" w:cs="Arial" w:eastAsia="Arial" w:hAnsi="Arial"/>
          <w:b/>
          <w:bCs/>
          <w:color w:val="2E5FA3"/>
          <w:sz w:val="22"/>
          <w:szCs w:val="22"/>
        </w:rPr>
        <w:t xml:space="preserve">Technical Implementation</w:t>
      </w:r>
    </w:p>
    <w:p>
      <w:pPr>
        <w:spacing w:before="60" w:after="60"/>
      </w:pPr>
      <w:r>
        <w:rPr>
          <w:rFonts w:ascii="Arial" w:cs="Arial" w:eastAsia="Arial" w:hAnsi="Arial"/>
          <w:color w:val="333333"/>
          <w:sz w:val="20"/>
          <w:szCs w:val="20"/>
        </w:rPr>
        <w:t xml:space="preserve">Recommended path: Puppeteer (headless Chrome, print to PDF). Create a dedicated /report-print route with a CSS print stylesheet and no navigation chrome. This is a 2–3 day implementation. The report does not need to be beautifully designed — it needs to be structured, clearly labelled, and unambiguously useful in a professional context.</w:t>
      </w:r>
    </w:p>
    <w:p>
      <w:pPr>
        <w:spacing w:before="0" w:after="320"/>
      </w:pPr>
    </w:p>
    <w:p>
      <w:pPr>
        <w:pStyle w:val="Heading1"/>
      </w:pPr>
      <w:r>
        <w:rPr>
          <w:rFonts w:ascii="Arial" w:cs="Arial" w:eastAsia="Arial" w:hAnsi="Arial"/>
          <w:b/>
          <w:bCs/>
          <w:color w:val="1B2A4A"/>
          <w:sz w:val="28"/>
          <w:szCs w:val="28"/>
        </w:rPr>
        <w:t xml:space="preserve">Priority 5 — Spousal Maintenance (Engine Gap)</w:t>
      </w:r>
    </w:p>
    <w:p>
      <w:pPr>
        <w:spacing w:before="60" w:after="60"/>
      </w:pPr>
      <w:r>
        <w:rPr>
          <w:rFonts w:ascii="Arial" w:cs="Arial" w:eastAsia="Arial" w:hAnsi="Arial"/>
          <w:color w:val="333333"/>
          <w:sz w:val="20"/>
          <w:szCs w:val="20"/>
        </w:rPr>
        <w:t xml:space="preserve">For users where one party has significantly higher income — particularly where there are children and a large income disparity — the monthly surplus/deficit figures and the sustainability score will be materially wrong without maintenance modelling.</w:t>
      </w:r>
    </w:p>
    <w:p>
      <w:pPr>
        <w:spacing w:before="0" w:after="120"/>
      </w:pPr>
    </w:p>
    <w:p>
      <w:pPr>
        <w:pStyle w:val="Heading2"/>
        <w:spacing w:before="240" w:after="100"/>
      </w:pPr>
      <w:r>
        <w:rPr>
          <w:rFonts w:ascii="Arial" w:cs="Arial" w:eastAsia="Arial" w:hAnsi="Arial"/>
          <w:b/>
          <w:bCs/>
          <w:color w:val="2E5FA3"/>
          <w:sz w:val="22"/>
          <w:szCs w:val="22"/>
        </w:rPr>
        <w:t xml:space="preserve">Minimum Viable Implementation</w:t>
      </w:r>
    </w:p>
    <w:p>
      <w:pPr>
        <w:pStyle w:val="ListParagraph"/>
        <w:numPr>
          <w:ilvl w:val="0"/>
          <w:numId w:val="2"/>
        </w:numPr>
        <w:spacing w:before="40" w:after="40"/>
      </w:pPr>
      <w:r>
        <w:rPr>
          <w:rFonts w:ascii="Arial" w:cs="Arial" w:eastAsia="Arial" w:hAnsi="Arial"/>
          <w:b w:val="false"/>
          <w:bCs w:val="false"/>
          <w:color w:val="333333"/>
          <w:sz w:val="20"/>
          <w:szCs w:val="20"/>
        </w:rPr>
        <w:t xml:space="preserve">Add a toggle in Step 5 (Income): "Is spousal maintenance likely to be part of this settlement?"</w:t>
      </w:r>
    </w:p>
    <w:p>
      <w:pPr>
        <w:pStyle w:val="ListParagraph"/>
        <w:numPr>
          <w:ilvl w:val="0"/>
          <w:numId w:val="2"/>
        </w:numPr>
        <w:spacing w:before="40" w:after="40"/>
      </w:pPr>
      <w:r>
        <w:rPr>
          <w:rFonts w:ascii="Arial" w:cs="Arial" w:eastAsia="Arial" w:hAnsi="Arial"/>
          <w:b w:val="false"/>
          <w:bCs w:val="false"/>
          <w:color w:val="333333"/>
          <w:sz w:val="20"/>
          <w:szCs w:val="20"/>
        </w:rPr>
        <w:t xml:space="preserve">If yes: capture estimated monthly amount with guidance — "If you're unsure, your solicitor can advise — you can always re-run this later"</w:t>
      </w:r>
    </w:p>
    <w:p>
      <w:pPr>
        <w:pStyle w:val="ListParagraph"/>
        <w:numPr>
          <w:ilvl w:val="0"/>
          <w:numId w:val="2"/>
        </w:numPr>
        <w:spacing w:before="40" w:after="40"/>
      </w:pPr>
      <w:r>
        <w:rPr>
          <w:rFonts w:ascii="Arial" w:cs="Arial" w:eastAsia="Arial" w:hAnsi="Arial"/>
          <w:b w:val="false"/>
          <w:bCs w:val="false"/>
          <w:color w:val="333333"/>
          <w:sz w:val="20"/>
          <w:szCs w:val="20"/>
        </w:rPr>
        <w:t xml:space="preserve">Apply as an income transfer in the monthly surplus/deficit calculation</w:t>
      </w:r>
    </w:p>
    <w:p>
      <w:pPr>
        <w:pStyle w:val="ListParagraph"/>
        <w:numPr>
          <w:ilvl w:val="0"/>
          <w:numId w:val="2"/>
        </w:numPr>
        <w:spacing w:before="40" w:after="40"/>
      </w:pPr>
      <w:r>
        <w:rPr>
          <w:rFonts w:ascii="Arial" w:cs="Arial" w:eastAsia="Arial" w:hAnsi="Arial"/>
          <w:b w:val="false"/>
          <w:bCs w:val="false"/>
          <w:color w:val="333333"/>
          <w:sz w:val="20"/>
          <w:szCs w:val="20"/>
        </w:rPr>
        <w:t xml:space="preserve">Flag on results page: "Spousal maintenance has been included as estimated by the user. This figure is illustrative only."</w:t>
      </w:r>
    </w:p>
    <w:p>
      <w:pPr>
        <w:spacing w:before="60" w:after="60"/>
      </w:pPr>
      <w:r>
        <w:rPr>
          <w:rFonts w:ascii="Arial" w:cs="Arial" w:eastAsia="Arial" w:hAnsi="Arial"/>
          <w:color w:val="333333"/>
          <w:sz w:val="20"/>
          <w:szCs w:val="20"/>
        </w:rPr>
        <w:t xml:space="preserve">This does not require modelling the full legal framework for periodical payments. It requires letting users who know maintenance is likely to factor it into the numbers.</w:t>
      </w:r>
    </w:p>
    <w:p>
      <w:pPr>
        <w:spacing w:before="0" w:after="320"/>
      </w:pPr>
    </w:p>
    <w:p>
      <w:pPr>
        <w:pStyle w:val="Heading1"/>
      </w:pPr>
      <w:r>
        <w:rPr>
          <w:rFonts w:ascii="Arial" w:cs="Arial" w:eastAsia="Arial" w:hAnsi="Arial"/>
          <w:b/>
          <w:bCs/>
          <w:color w:val="1B2A4A"/>
          <w:sz w:val="28"/>
          <w:szCs w:val="28"/>
        </w:rPr>
        <w:t xml:space="preserve">Priority 6 — Email Capture &amp; Lead Retention</w:t>
      </w:r>
    </w:p>
    <w:p>
      <w:pPr>
        <w:spacing w:before="60" w:after="60"/>
      </w:pPr>
      <w:r>
        <w:rPr>
          <w:rFonts w:ascii="Arial" w:cs="Arial" w:eastAsia="Arial" w:hAnsi="Arial"/>
          <w:color w:val="333333"/>
          <w:sz w:val="20"/>
          <w:szCs w:val="20"/>
        </w:rPr>
        <w:t xml:space="preserve">Currently there is no email capture anywhere. Users who reach the preview page and don't convert are warm leads who've shared their detailed financial situation. They clearly need the product.</w:t>
      </w:r>
    </w:p>
    <w:p>
      <w:pPr>
        <w:spacing w:before="0" w:after="120"/>
      </w:pPr>
    </w:p>
    <w:p>
      <w:pPr>
        <w:pStyle w:val="Heading2"/>
        <w:spacing w:before="240" w:after="100"/>
      </w:pPr>
      <w:r>
        <w:rPr>
          <w:rFonts w:ascii="Arial" w:cs="Arial" w:eastAsia="Arial" w:hAnsi="Arial"/>
          <w:b/>
          <w:bCs/>
          <w:color w:val="2E5FA3"/>
          <w:sz w:val="22"/>
          <w:szCs w:val="22"/>
        </w:rPr>
        <w:t xml:space="preserve">Preview Page Lead Capture</w:t>
      </w:r>
    </w:p>
    <w:p>
      <w:pPr>
        <w:pBdr>
          <w:left w:val="single" w:color="2E5FA3" w:sz="12"/>
        </w:pBdr>
        <w:shd w:fill="EEF3FA" w:val="clear"/>
        <w:spacing w:before="160" w:after="160"/>
        <w:ind w:left="300"/>
      </w:pPr>
      <w:r>
        <w:rPr>
          <w:rFonts w:ascii="Arial" w:cs="Arial" w:eastAsia="Arial" w:hAnsi="Arial"/>
          <w:b/>
          <w:bCs/>
          <w:color w:val="1B2A4A"/>
          <w:sz w:val="20"/>
          <w:szCs w:val="20"/>
        </w:rPr>
        <w:t xml:space="preserve">CTA: "Save your progress and get a free summary of your asset pool by email."</w:t>
      </w:r>
    </w:p>
    <w:p>
      <w:pPr>
        <w:spacing w:before="60" w:after="60"/>
      </w:pPr>
      <w:r>
        <w:rPr>
          <w:rFonts w:ascii="Arial" w:cs="Arial" w:eastAsia="Arial" w:hAnsi="Arial"/>
          <w:color w:val="333333"/>
          <w:sz w:val="20"/>
          <w:szCs w:val="20"/>
        </w:rPr>
        <w:t xml:space="preserve">This captures an email, sends headline numbers (net equity, combined pool), and keeps them warm for:</w:t>
      </w:r>
    </w:p>
    <w:p>
      <w:pPr>
        <w:pStyle w:val="ListParagraph"/>
        <w:numPr>
          <w:ilvl w:val="0"/>
          <w:numId w:val="2"/>
        </w:numPr>
        <w:spacing w:before="40" w:after="40"/>
      </w:pPr>
      <w:r>
        <w:rPr>
          <w:rFonts w:ascii="Arial" w:cs="Arial" w:eastAsia="Arial" w:hAnsi="Arial"/>
          <w:b w:val="false"/>
          <w:bCs w:val="false"/>
          <w:color w:val="333333"/>
          <w:sz w:val="20"/>
          <w:szCs w:val="20"/>
        </w:rPr>
        <w:t xml:space="preserve">24-hour email: "Your scenario modelling is saved — unlock the full analysis when you're ready"</w:t>
      </w:r>
    </w:p>
    <w:p>
      <w:pPr>
        <w:pStyle w:val="ListParagraph"/>
        <w:numPr>
          <w:ilvl w:val="0"/>
          <w:numId w:val="2"/>
        </w:numPr>
        <w:spacing w:before="40" w:after="40"/>
      </w:pPr>
      <w:r>
        <w:rPr>
          <w:rFonts w:ascii="Arial" w:cs="Arial" w:eastAsia="Arial" w:hAnsi="Arial"/>
          <w:b w:val="false"/>
          <w:bCs w:val="false"/>
          <w:color w:val="333333"/>
          <w:sz w:val="20"/>
          <w:szCs w:val="20"/>
        </w:rPr>
        <w:t xml:space="preserve">7-day email: "Preparing for a solicitor meeting? Here's what to bring" + link to free guide</w:t>
      </w:r>
    </w:p>
    <w:p>
      <w:pPr>
        <w:spacing w:before="0" w:after="120"/>
      </w:pPr>
    </w:p>
    <w:p>
      <w:pPr>
        <w:pStyle w:val="Heading2"/>
        <w:spacing w:before="240" w:after="100"/>
      </w:pPr>
      <w:r>
        <w:rPr>
          <w:rFonts w:ascii="Arial" w:cs="Arial" w:eastAsia="Arial" w:hAnsi="Arial"/>
          <w:b/>
          <w:bCs/>
          <w:color w:val="2E5FA3"/>
          <w:sz w:val="22"/>
          <w:szCs w:val="22"/>
        </w:rPr>
        <w:t xml:space="preserve">Post-Purchase Confirmation Email</w:t>
      </w:r>
    </w:p>
    <w:p>
      <w:pPr>
        <w:spacing w:before="60" w:after="60"/>
      </w:pPr>
      <w:r>
        <w:rPr>
          <w:rFonts w:ascii="Arial" w:cs="Arial" w:eastAsia="Arial" w:hAnsi="Arial"/>
          <w:color w:val="333333"/>
          <w:sz w:val="20"/>
          <w:szCs w:val="20"/>
        </w:rPr>
        <w:t xml:space="preserve">The purchase flow must send a confirmation email with the session token and clear recovery instructions. Token-only access with no email is a churn and support cost. This also fixes the missing onboarding email gap noted in the product brief.</w:t>
      </w:r>
    </w:p>
    <w:p>
      <w:pPr>
        <w:spacing w:before="0" w:after="320"/>
      </w:pPr>
    </w:p>
    <w:p>
      <w:r>
        <w:br w:type="page"/>
      </w:r>
    </w:p>
    <w:p>
      <w:pPr>
        <w:pStyle w:val="Heading1"/>
      </w:pPr>
      <w:r>
        <w:rPr>
          <w:rFonts w:ascii="Arial" w:cs="Arial" w:eastAsia="Arial" w:hAnsi="Arial"/>
          <w:b/>
          <w:bCs/>
          <w:color w:val="1B2A4A"/>
          <w:sz w:val="28"/>
          <w:szCs w:val="28"/>
        </w:rPr>
        <w:t xml:space="preserve">Priority 7 — Landing Page Messaging</w:t>
      </w:r>
    </w:p>
    <w:p>
      <w:pPr>
        <w:spacing w:before="60" w:after="60"/>
      </w:pPr>
      <w:r>
        <w:rPr>
          <w:rFonts w:ascii="Arial" w:cs="Arial" w:eastAsia="Arial" w:hAnsi="Arial"/>
          <w:color w:val="333333"/>
          <w:sz w:val="20"/>
          <w:szCs w:val="20"/>
        </w:rPr>
        <w:t xml:space="preserve">The landing page currently leads with tool-first messaging. For a user arriving from a search for "divorce financial settlement calculator UK", this misses the emotional entry point.</w:t>
      </w:r>
    </w:p>
    <w:p>
      <w:pPr>
        <w:spacing w:before="0" w:after="120"/>
      </w:pPr>
    </w:p>
    <w:p>
      <w:pPr>
        <w:pStyle w:val="Heading2"/>
        <w:spacing w:before="240" w:after="100"/>
      </w:pPr>
      <w:r>
        <w:rPr>
          <w:rFonts w:ascii="Arial" w:cs="Arial" w:eastAsia="Arial" w:hAnsi="Arial"/>
          <w:b/>
          <w:bCs/>
          <w:color w:val="2E5FA3"/>
          <w:sz w:val="22"/>
          <w:szCs w:val="22"/>
        </w:rPr>
        <w:t xml:space="preserve">Hero Copy — Lead With the User's Situation</w:t>
      </w:r>
    </w:p>
    <w:p>
      <w:pPr>
        <w:pBdr>
          <w:left w:val="single" w:color="2E5FA3" w:sz="12"/>
        </w:pBdr>
        <w:shd w:fill="EEF3FA" w:val="clear"/>
        <w:spacing w:before="160" w:after="160"/>
        <w:ind w:left="300"/>
      </w:pPr>
      <w:r>
        <w:rPr>
          <w:rFonts w:ascii="Arial" w:cs="Arial" w:eastAsia="Arial" w:hAnsi="Arial"/>
          <w:b/>
          <w:bCs/>
          <w:color w:val="1B2A4A"/>
          <w:sz w:val="20"/>
          <w:szCs w:val="20"/>
        </w:rPr>
        <w:t xml:space="preserve">Proposed hero: "Before you spend thousands on legal fees, understand exactly what your financial position could look like." → then the dashboard mockup → then feature cards.</w:t>
      </w:r>
    </w:p>
    <w:p>
      <w:pPr>
        <w:spacing w:before="0" w:after="120"/>
      </w:pPr>
    </w:p>
    <w:p>
      <w:pPr>
        <w:pStyle w:val="Heading2"/>
        <w:spacing w:before="240" w:after="100"/>
      </w:pPr>
      <w:r>
        <w:rPr>
          <w:rFonts w:ascii="Arial" w:cs="Arial" w:eastAsia="Arial" w:hAnsi="Arial"/>
          <w:b/>
          <w:bCs/>
          <w:color w:val="2E5FA3"/>
          <w:sz w:val="22"/>
          <w:szCs w:val="22"/>
        </w:rPr>
        <w:t xml:space="preserve">Financial Sustainability Indicator Callout</w:t>
      </w:r>
    </w:p>
    <w:p>
      <w:pPr>
        <w:spacing w:before="60" w:after="60"/>
      </w:pPr>
      <w:r>
        <w:rPr>
          <w:rFonts w:ascii="Arial" w:cs="Arial" w:eastAsia="Arial" w:hAnsi="Arial"/>
          <w:color w:val="333333"/>
          <w:sz w:val="20"/>
          <w:szCs w:val="20"/>
        </w:rPr>
        <w:t xml:space="preserve">The FSI is genuinely distinctive and currently buried. It deserves its own section on the landing page:</w:t>
      </w:r>
    </w:p>
    <w:p>
      <w:pPr>
        <w:pBdr>
          <w:left w:val="single" w:color="2E5FA3" w:sz="12"/>
        </w:pBdr>
        <w:shd w:fill="EEF3FA" w:val="clear"/>
        <w:spacing w:before="160" w:after="160"/>
        <w:ind w:left="300"/>
      </w:pPr>
      <w:r>
        <w:rPr>
          <w:rFonts w:ascii="Arial" w:cs="Arial" w:eastAsia="Arial" w:hAnsi="Arial"/>
          <w:b/>
          <w:bCs/>
          <w:color w:val="1B2A4A"/>
          <w:sz w:val="20"/>
          <w:szCs w:val="20"/>
        </w:rPr>
        <w:t xml:space="preserve">"The only UK divorce tool that gives you a plain-English sustainability score for each settlement option — not just the numbers, but what they mean for your financial future."</w:t>
      </w:r>
    </w:p>
    <w:p>
      <w:pPr>
        <w:pStyle w:val="Heading2"/>
        <w:spacing w:before="240" w:after="100"/>
      </w:pPr>
      <w:r>
        <w:rPr>
          <w:rFonts w:ascii="Arial" w:cs="Arial" w:eastAsia="Arial" w:hAnsi="Arial"/>
          <w:b/>
          <w:bCs/>
          <w:color w:val="2E5FA3"/>
          <w:sz w:val="22"/>
          <w:szCs w:val="22"/>
        </w:rPr>
        <w:t xml:space="preserve">Price Visibility</w:t>
      </w:r>
    </w:p>
    <w:p>
      <w:pPr>
        <w:spacing w:before="60" w:after="60"/>
      </w:pPr>
      <w:r>
        <w:rPr>
          <w:rFonts w:ascii="Arial" w:cs="Arial" w:eastAsia="Arial" w:hAnsi="Arial"/>
          <w:color w:val="333333"/>
          <w:sz w:val="20"/>
          <w:szCs w:val="20"/>
        </w:rPr>
        <w:t xml:space="preserve">Show £79 on the landing page, above the fold or close to it. Hiding the price until the unlock page creates a trust gap. Users who see the price early and continue are much higher-intent.</w:t>
      </w:r>
    </w:p>
    <w:p>
      <w:pPr>
        <w:spacing w:before="0" w:after="320"/>
      </w:pPr>
    </w:p>
    <w:p>
      <w:pPr>
        <w:pStyle w:val="Heading1"/>
      </w:pPr>
      <w:r>
        <w:rPr>
          <w:rFonts w:ascii="Arial" w:cs="Arial" w:eastAsia="Arial" w:hAnsi="Arial"/>
          <w:b/>
          <w:bCs/>
          <w:color w:val="1B2A4A"/>
          <w:sz w:val="28"/>
          <w:szCs w:val="28"/>
        </w:rPr>
        <w:t xml:space="preserve">Lower Priority — Worth Noting, Not Blocking</w:t>
      </w:r>
    </w:p>
    <w:p>
      <w:pPr>
        <w:spacing w:before="0" w:after="120"/>
      </w:pPr>
    </w:p>
    <w:p>
      <w:pPr>
        <w:pStyle w:val="Heading2"/>
        <w:spacing w:before="240" w:after="100"/>
      </w:pPr>
      <w:r>
        <w:rPr>
          <w:rFonts w:ascii="Arial" w:cs="Arial" w:eastAsia="Arial" w:hAnsi="Arial"/>
          <w:b/>
          <w:bCs/>
          <w:color w:val="2E5FA3"/>
          <w:sz w:val="22"/>
          <w:szCs w:val="22"/>
        </w:rPr>
        <w:t xml:space="preserve">Decision Lens Promotion (P8)</w:t>
      </w:r>
    </w:p>
    <w:p>
      <w:pPr>
        <w:spacing w:before="60" w:after="60"/>
      </w:pPr>
      <w:r>
        <w:rPr>
          <w:rFonts w:ascii="Arial" w:cs="Arial" w:eastAsia="Arial" w:hAnsi="Arial"/>
          <w:color w:val="333333"/>
          <w:sz w:val="20"/>
          <w:szCs w:val="20"/>
        </w:rPr>
        <w:t xml:space="preserve">Promote the Balance / Security / Liquidity toggle to primary navigation on the results page rather than a secondary toggle. Reframing results around what the user prioritises is more emotionally resonant than "Scenario 1, 2a, 2b, 4."</w:t>
      </w:r>
    </w:p>
    <w:p>
      <w:pPr>
        <w:spacing w:before="0" w:after="120"/>
      </w:pPr>
    </w:p>
    <w:p>
      <w:pPr>
        <w:pStyle w:val="Heading2"/>
        <w:spacing w:before="240" w:after="100"/>
      </w:pPr>
      <w:r>
        <w:rPr>
          <w:rFonts w:ascii="Arial" w:cs="Arial" w:eastAsia="Arial" w:hAnsi="Arial"/>
          <w:b/>
          <w:bCs/>
          <w:color w:val="2E5FA3"/>
          <w:sz w:val="22"/>
          <w:szCs w:val="22"/>
        </w:rPr>
        <w:t xml:space="preserve">Scotland / NI Exclusion Messaging (P9)</w:t>
      </w:r>
    </w:p>
    <w:p>
      <w:pPr>
        <w:spacing w:before="60" w:after="60"/>
      </w:pPr>
      <w:r>
        <w:rPr>
          <w:rFonts w:ascii="Arial" w:cs="Arial" w:eastAsia="Arial" w:hAnsi="Arial"/>
          <w:color w:val="333333"/>
          <w:sz w:val="20"/>
          <w:szCs w:val="20"/>
        </w:rPr>
        <w:t xml:space="preserve">Add to wizard Step 1 and the landing page: "This tool covers England and Wales only. Scotland and Northern Ireland have different legal frameworks." Prevents frustrated users and bad reviews from the wrong audience.</w:t>
      </w:r>
    </w:p>
    <w:p>
      <w:pPr>
        <w:spacing w:before="0" w:after="120"/>
      </w:pPr>
    </w:p>
    <w:p>
      <w:pPr>
        <w:pStyle w:val="Heading2"/>
        <w:spacing w:before="240" w:after="100"/>
      </w:pPr>
      <w:r>
        <w:rPr>
          <w:rFonts w:ascii="Arial" w:cs="Arial" w:eastAsia="Arial" w:hAnsi="Arial"/>
          <w:b/>
          <w:bCs/>
          <w:color w:val="2E5FA3"/>
          <w:sz w:val="22"/>
          <w:szCs w:val="22"/>
        </w:rPr>
        <w:t xml:space="preserve">Dark Mode Chart Fixes (P10)</w:t>
      </w:r>
    </w:p>
    <w:p>
      <w:pPr>
        <w:spacing w:before="60" w:after="60"/>
      </w:pPr>
      <w:r>
        <w:rPr>
          <w:rFonts w:ascii="Arial" w:cs="Arial" w:eastAsia="Arial" w:hAnsi="Arial"/>
          <w:color w:val="333333"/>
          <w:sz w:val="20"/>
          <w:szCs w:val="20"/>
        </w:rPr>
        <w:t xml:space="preserve">Fix colour inconsistencies in chart labels in a single dedicated CSS pass. Chart readability in dark mode directly affects the perceived quality of the results page — the thing users paid for.</w:t>
      </w:r>
    </w:p>
    <w:p>
      <w:pPr>
        <w:spacing w:before="0" w:after="120"/>
      </w:pPr>
    </w:p>
    <w:p>
      <w:pPr>
        <w:pStyle w:val="Heading2"/>
        <w:spacing w:before="240" w:after="100"/>
      </w:pPr>
      <w:r>
        <w:rPr>
          <w:rFonts w:ascii="Arial" w:cs="Arial" w:eastAsia="Arial" w:hAnsi="Arial"/>
          <w:b/>
          <w:bCs/>
          <w:color w:val="2E5FA3"/>
          <w:sz w:val="22"/>
          <w:szCs w:val="22"/>
        </w:rPr>
        <w:t xml:space="preserve">Accessibility Audit (P11)</w:t>
      </w:r>
    </w:p>
    <w:p>
      <w:pPr>
        <w:spacing w:before="60" w:after="60"/>
      </w:pPr>
      <w:r>
        <w:rPr>
          <w:rFonts w:ascii="Arial" w:cs="Arial" w:eastAsia="Arial" w:hAnsi="Arial"/>
          <w:color w:val="333333"/>
          <w:sz w:val="20"/>
          <w:szCs w:val="20"/>
        </w:rPr>
        <w:t xml:space="preserve">Schedule WCAG 2.1 AA as a named sprint before any significant marketing push. Target audience includes people in high-stress situations who may be using accessibility tools. Also matters for SEO.</w:t>
      </w:r>
    </w:p>
    <w:p>
      <w:pPr>
        <w:spacing w:before="0" w:after="480"/>
      </w:pPr>
    </w:p>
    <w:p>
      <w:r>
        <w:br w:type="page"/>
      </w:r>
    </w:p>
    <w:p>
      <w:pPr>
        <w:pStyle w:val="Heading1"/>
      </w:pPr>
      <w:r>
        <w:rPr>
          <w:rFonts w:ascii="Arial" w:cs="Arial" w:eastAsia="Arial" w:hAnsi="Arial"/>
          <w:b/>
          <w:bCs/>
          <w:color w:val="1B2A4A"/>
          <w:sz w:val="28"/>
          <w:szCs w:val="28"/>
        </w:rPr>
        <w:t xml:space="preserve">Priority Summary Table</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2400"/>
        <w:gridCol w:w="1920"/>
      </w:tblGrid>
      <w:tr>
        <w:tc>
          <w:tcPr>
            <w:tcW w:type="dxa" w:w="72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Priority</w:t>
            </w:r>
          </w:p>
        </w:tc>
        <w:tc>
          <w:tcPr>
            <w:tcW w:type="dxa" w:w="432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Area</w:t>
            </w:r>
          </w:p>
        </w:tc>
        <w:tc>
          <w:tcPr>
            <w:tcW w:type="dxa" w:w="240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Impact</w:t>
            </w:r>
          </w:p>
        </w:tc>
        <w:tc>
          <w:tcPr>
            <w:tcW w:type="dxa" w:w="1920"/>
            <w:tcBorders>
              <w:top w:val="single" w:color="D0D7E3" w:sz="1"/>
              <w:left w:val="single" w:color="D0D7E3" w:sz="1"/>
              <w:bottom w:val="single" w:color="D0D7E3" w:sz="1"/>
              <w:right w:val="single" w:color="D0D7E3" w:sz="1"/>
            </w:tcBorders>
            <w:shd w:fill="1B2A4A" w:val="clear"/>
            <w:tcMar>
              <w:top w:type="dxa" w:w="100"/>
              <w:left w:type="dxa" w:w="140"/>
              <w:bottom w:type="dxa" w:w="100"/>
              <w:right w:type="dxa" w:w="140"/>
            </w:tcMar>
          </w:tcPr>
          <w:p>
            <w:pPr>
              <w:spacing w:before="0" w:after="0"/>
            </w:pPr>
            <w:r>
              <w:rPr>
                <w:rFonts w:ascii="Arial" w:cs="Arial" w:eastAsia="Arial" w:hAnsi="Arial"/>
                <w:b/>
                <w:bCs/>
                <w:color w:val="FFFFFF"/>
                <w:sz w:val="18"/>
                <w:szCs w:val="18"/>
              </w:rPr>
              <w:t xml:space="preserve">Effort</w:t>
            </w:r>
          </w:p>
        </w:tc>
      </w:tr>
      <w:tr>
        <w:tc>
          <w:tcPr>
            <w:tcW w:type="dxa" w:w="7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1</w:t>
            </w:r>
          </w:p>
        </w:tc>
        <w:tc>
          <w:tcPr>
            <w:tcW w:type="dxa" w:w="4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Preview page — real partial data, not blurred placeholders</w:t>
            </w:r>
          </w:p>
        </w:tc>
        <w:tc>
          <w:tcPr>
            <w:tcW w:type="dxa" w:w="2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Very high conversion</w:t>
            </w:r>
          </w:p>
        </w:tc>
        <w:tc>
          <w:tcPr>
            <w:tcW w:type="dxa" w:w="19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Medium</w:t>
            </w:r>
          </w:p>
        </w:tc>
      </w:tr>
      <w:tr>
        <w:tc>
          <w:tcPr>
            <w:tcW w:type="dxa" w:w="720"/>
            <w:tcBorders>
              <w:top w:val="single" w:color="D0D7E3" w:sz="1"/>
              <w:left w:val="single" w:color="D0D7E3" w:sz="1"/>
              <w:bottom w:val="single" w:color="D0D7E3" w:sz="1"/>
              <w:right w:val="single" w:color="D0D7E3" w:sz="1"/>
            </w:tcBorders>
            <w:shd w:fill="F7F9FD"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2</w:t>
            </w:r>
          </w:p>
        </w:tc>
        <w:tc>
          <w:tcPr>
            <w:tcW w:type="dxa" w:w="4320"/>
            <w:tcBorders>
              <w:top w:val="single" w:color="D0D7E3" w:sz="1"/>
              <w:left w:val="single" w:color="D0D7E3" w:sz="1"/>
              <w:bottom w:val="single" w:color="D0D7E3" w:sz="1"/>
              <w:right w:val="single" w:color="D0D7E3" w:sz="1"/>
            </w:tcBorders>
            <w:shd w:fill="F7F9FD"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Wizard — inline help, 'I don't know' paths, emotional scaffolding</w:t>
            </w:r>
          </w:p>
        </w:tc>
        <w:tc>
          <w:tcPr>
            <w:tcW w:type="dxa" w:w="2400"/>
            <w:tcBorders>
              <w:top w:val="single" w:color="D0D7E3" w:sz="1"/>
              <w:left w:val="single" w:color="D0D7E3" w:sz="1"/>
              <w:bottom w:val="single" w:color="D0D7E3" w:sz="1"/>
              <w:right w:val="single" w:color="D0D7E3" w:sz="1"/>
            </w:tcBorders>
            <w:shd w:fill="F7F9FD"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High completion rate</w:t>
            </w:r>
          </w:p>
        </w:tc>
        <w:tc>
          <w:tcPr>
            <w:tcW w:type="dxa" w:w="1920"/>
            <w:tcBorders>
              <w:top w:val="single" w:color="D0D7E3" w:sz="1"/>
              <w:left w:val="single" w:color="D0D7E3" w:sz="1"/>
              <w:bottom w:val="single" w:color="D0D7E3" w:sz="1"/>
              <w:right w:val="single" w:color="D0D7E3" w:sz="1"/>
            </w:tcBorders>
            <w:shd w:fill="F7F9FD"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Medium</w:t>
            </w:r>
          </w:p>
        </w:tc>
      </w:tr>
      <w:tr>
        <w:tc>
          <w:tcPr>
            <w:tcW w:type="dxa" w:w="7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3</w:t>
            </w:r>
          </w:p>
        </w:tc>
        <w:tc>
          <w:tcPr>
            <w:tcW w:type="dxa" w:w="4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Trust signals — privacy messaging, methodology page, testimonials</w:t>
            </w:r>
          </w:p>
        </w:tc>
        <w:tc>
          <w:tcPr>
            <w:tcW w:type="dxa" w:w="2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High conversion</w:t>
            </w:r>
          </w:p>
        </w:tc>
        <w:tc>
          <w:tcPr>
            <w:tcW w:type="dxa" w:w="19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Low–Medium</w:t>
            </w:r>
          </w:p>
        </w:tc>
      </w:tr>
      <w:tr>
        <w:tc>
          <w:tcPr>
            <w:tcW w:type="dxa" w:w="720"/>
            <w:tcBorders>
              <w:top w:val="single" w:color="D0D7E3" w:sz="1"/>
              <w:left w:val="single" w:color="D0D7E3" w:sz="1"/>
              <w:bottom w:val="single" w:color="D0D7E3" w:sz="1"/>
              <w:right w:val="single" w:color="D0D7E3" w:sz="1"/>
            </w:tcBorders>
            <w:shd w:fill="F7F9FD"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4</w:t>
            </w:r>
          </w:p>
        </w:tc>
        <w:tc>
          <w:tcPr>
            <w:tcW w:type="dxa" w:w="4320"/>
            <w:tcBorders>
              <w:top w:val="single" w:color="D0D7E3" w:sz="1"/>
              <w:left w:val="single" w:color="D0D7E3" w:sz="1"/>
              <w:bottom w:val="single" w:color="D0D7E3" w:sz="1"/>
              <w:right w:val="single" w:color="D0D7E3" w:sz="1"/>
            </w:tcBorders>
            <w:shd w:fill="F7F9FD"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PDF report — structured Puppeteer output</w:t>
            </w:r>
          </w:p>
        </w:tc>
        <w:tc>
          <w:tcPr>
            <w:tcW w:type="dxa" w:w="2400"/>
            <w:tcBorders>
              <w:top w:val="single" w:color="D0D7E3" w:sz="1"/>
              <w:left w:val="single" w:color="D0D7E3" w:sz="1"/>
              <w:bottom w:val="single" w:color="D0D7E3" w:sz="1"/>
              <w:right w:val="single" w:color="D0D7E3" w:sz="1"/>
            </w:tcBorders>
            <w:shd w:fill="F7F9FD"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High retention &amp; referral</w:t>
            </w:r>
          </w:p>
        </w:tc>
        <w:tc>
          <w:tcPr>
            <w:tcW w:type="dxa" w:w="1920"/>
            <w:tcBorders>
              <w:top w:val="single" w:color="D0D7E3" w:sz="1"/>
              <w:left w:val="single" w:color="D0D7E3" w:sz="1"/>
              <w:bottom w:val="single" w:color="D0D7E3" w:sz="1"/>
              <w:right w:val="single" w:color="D0D7E3" w:sz="1"/>
            </w:tcBorders>
            <w:shd w:fill="F7F9FD"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Medium</w:t>
            </w:r>
          </w:p>
        </w:tc>
      </w:tr>
      <w:tr>
        <w:tc>
          <w:tcPr>
            <w:tcW w:type="dxa" w:w="7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5</w:t>
            </w:r>
          </w:p>
        </w:tc>
        <w:tc>
          <w:tcPr>
            <w:tcW w:type="dxa" w:w="4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Spousal maintenance — basic toggle in engine</w:t>
            </w:r>
          </w:p>
        </w:tc>
        <w:tc>
          <w:tcPr>
            <w:tcW w:type="dxa" w:w="2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Model validity</w:t>
            </w:r>
          </w:p>
        </w:tc>
        <w:tc>
          <w:tcPr>
            <w:tcW w:type="dxa" w:w="19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Medium</w:t>
            </w:r>
          </w:p>
        </w:tc>
      </w:tr>
      <w:tr>
        <w:tc>
          <w:tcPr>
            <w:tcW w:type="dxa" w:w="720"/>
            <w:tcBorders>
              <w:top w:val="single" w:color="D0D7E3" w:sz="1"/>
              <w:left w:val="single" w:color="D0D7E3" w:sz="1"/>
              <w:bottom w:val="single" w:color="D0D7E3" w:sz="1"/>
              <w:right w:val="single" w:color="D0D7E3" w:sz="1"/>
            </w:tcBorders>
            <w:shd w:fill="F7F9FD"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6</w:t>
            </w:r>
          </w:p>
        </w:tc>
        <w:tc>
          <w:tcPr>
            <w:tcW w:type="dxa" w:w="4320"/>
            <w:tcBorders>
              <w:top w:val="single" w:color="D0D7E3" w:sz="1"/>
              <w:left w:val="single" w:color="D0D7E3" w:sz="1"/>
              <w:bottom w:val="single" w:color="D0D7E3" w:sz="1"/>
              <w:right w:val="single" w:color="D0D7E3" w:sz="1"/>
            </w:tcBorders>
            <w:shd w:fill="F7F9FD"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Email capture + post-purchase confirmation</w:t>
            </w:r>
          </w:p>
        </w:tc>
        <w:tc>
          <w:tcPr>
            <w:tcW w:type="dxa" w:w="2400"/>
            <w:tcBorders>
              <w:top w:val="single" w:color="D0D7E3" w:sz="1"/>
              <w:left w:val="single" w:color="D0D7E3" w:sz="1"/>
              <w:bottom w:val="single" w:color="D0D7E3" w:sz="1"/>
              <w:right w:val="single" w:color="D0D7E3" w:sz="1"/>
            </w:tcBorders>
            <w:shd w:fill="F7F9FD"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Lead retention</w:t>
            </w:r>
          </w:p>
        </w:tc>
        <w:tc>
          <w:tcPr>
            <w:tcW w:type="dxa" w:w="1920"/>
            <w:tcBorders>
              <w:top w:val="single" w:color="D0D7E3" w:sz="1"/>
              <w:left w:val="single" w:color="D0D7E3" w:sz="1"/>
              <w:bottom w:val="single" w:color="D0D7E3" w:sz="1"/>
              <w:right w:val="single" w:color="D0D7E3" w:sz="1"/>
            </w:tcBorders>
            <w:shd w:fill="F7F9FD"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Low</w:t>
            </w:r>
          </w:p>
        </w:tc>
      </w:tr>
      <w:tr>
        <w:tc>
          <w:tcPr>
            <w:tcW w:type="dxa" w:w="7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7</w:t>
            </w:r>
          </w:p>
        </w:tc>
        <w:tc>
          <w:tcPr>
            <w:tcW w:type="dxa" w:w="4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Landing page — user-first hero, price visibility, FSI callout</w:t>
            </w:r>
          </w:p>
        </w:tc>
        <w:tc>
          <w:tcPr>
            <w:tcW w:type="dxa" w:w="2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Top-of-funnel conversion</w:t>
            </w:r>
          </w:p>
        </w:tc>
        <w:tc>
          <w:tcPr>
            <w:tcW w:type="dxa" w:w="19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Low</w:t>
            </w:r>
          </w:p>
        </w:tc>
      </w:tr>
      <w:tr>
        <w:tc>
          <w:tcPr>
            <w:tcW w:type="dxa" w:w="720"/>
            <w:tcBorders>
              <w:top w:val="single" w:color="D0D7E3" w:sz="1"/>
              <w:left w:val="single" w:color="D0D7E3" w:sz="1"/>
              <w:bottom w:val="single" w:color="D0D7E3" w:sz="1"/>
              <w:right w:val="single" w:color="D0D7E3" w:sz="1"/>
            </w:tcBorders>
            <w:shd w:fill="F7F9FD"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8</w:t>
            </w:r>
          </w:p>
        </w:tc>
        <w:tc>
          <w:tcPr>
            <w:tcW w:type="dxa" w:w="4320"/>
            <w:tcBorders>
              <w:top w:val="single" w:color="D0D7E3" w:sz="1"/>
              <w:left w:val="single" w:color="D0D7E3" w:sz="1"/>
              <w:bottom w:val="single" w:color="D0D7E3" w:sz="1"/>
              <w:right w:val="single" w:color="D0D7E3" w:sz="1"/>
            </w:tcBorders>
            <w:shd w:fill="F7F9FD"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Decision Lens — promote to primary results navigation</w:t>
            </w:r>
          </w:p>
        </w:tc>
        <w:tc>
          <w:tcPr>
            <w:tcW w:type="dxa" w:w="2400"/>
            <w:tcBorders>
              <w:top w:val="single" w:color="D0D7E3" w:sz="1"/>
              <w:left w:val="single" w:color="D0D7E3" w:sz="1"/>
              <w:bottom w:val="single" w:color="D0D7E3" w:sz="1"/>
              <w:right w:val="single" w:color="D0D7E3" w:sz="1"/>
            </w:tcBorders>
            <w:shd w:fill="F7F9FD"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Engagement &amp; differentiation</w:t>
            </w:r>
          </w:p>
        </w:tc>
        <w:tc>
          <w:tcPr>
            <w:tcW w:type="dxa" w:w="1920"/>
            <w:tcBorders>
              <w:top w:val="single" w:color="D0D7E3" w:sz="1"/>
              <w:left w:val="single" w:color="D0D7E3" w:sz="1"/>
              <w:bottom w:val="single" w:color="D0D7E3" w:sz="1"/>
              <w:right w:val="single" w:color="D0D7E3" w:sz="1"/>
            </w:tcBorders>
            <w:shd w:fill="F7F9FD"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Low</w:t>
            </w:r>
          </w:p>
        </w:tc>
      </w:tr>
      <w:tr>
        <w:tc>
          <w:tcPr>
            <w:tcW w:type="dxa" w:w="7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9</w:t>
            </w:r>
          </w:p>
        </w:tc>
        <w:tc>
          <w:tcPr>
            <w:tcW w:type="dxa" w:w="4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Scotland/NI exclusion messaging</w:t>
            </w:r>
          </w:p>
        </w:tc>
        <w:tc>
          <w:tcPr>
            <w:tcW w:type="dxa" w:w="2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Trust / bad review prevention</w:t>
            </w:r>
          </w:p>
        </w:tc>
        <w:tc>
          <w:tcPr>
            <w:tcW w:type="dxa" w:w="19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Very low</w:t>
            </w:r>
          </w:p>
        </w:tc>
      </w:tr>
      <w:tr>
        <w:tc>
          <w:tcPr>
            <w:tcW w:type="dxa" w:w="720"/>
            <w:tcBorders>
              <w:top w:val="single" w:color="D0D7E3" w:sz="1"/>
              <w:left w:val="single" w:color="D0D7E3" w:sz="1"/>
              <w:bottom w:val="single" w:color="D0D7E3" w:sz="1"/>
              <w:right w:val="single" w:color="D0D7E3" w:sz="1"/>
            </w:tcBorders>
            <w:shd w:fill="F7F9FD"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10</w:t>
            </w:r>
          </w:p>
        </w:tc>
        <w:tc>
          <w:tcPr>
            <w:tcW w:type="dxa" w:w="4320"/>
            <w:tcBorders>
              <w:top w:val="single" w:color="D0D7E3" w:sz="1"/>
              <w:left w:val="single" w:color="D0D7E3" w:sz="1"/>
              <w:bottom w:val="single" w:color="D0D7E3" w:sz="1"/>
              <w:right w:val="single" w:color="D0D7E3" w:sz="1"/>
            </w:tcBorders>
            <w:shd w:fill="F7F9FD"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Dark mode chart fixes</w:t>
            </w:r>
          </w:p>
        </w:tc>
        <w:tc>
          <w:tcPr>
            <w:tcW w:type="dxa" w:w="2400"/>
            <w:tcBorders>
              <w:top w:val="single" w:color="D0D7E3" w:sz="1"/>
              <w:left w:val="single" w:color="D0D7E3" w:sz="1"/>
              <w:bottom w:val="single" w:color="D0D7E3" w:sz="1"/>
              <w:right w:val="single" w:color="D0D7E3" w:sz="1"/>
            </w:tcBorders>
            <w:shd w:fill="F7F9FD"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Polish</w:t>
            </w:r>
          </w:p>
        </w:tc>
        <w:tc>
          <w:tcPr>
            <w:tcW w:type="dxa" w:w="1920"/>
            <w:tcBorders>
              <w:top w:val="single" w:color="D0D7E3" w:sz="1"/>
              <w:left w:val="single" w:color="D0D7E3" w:sz="1"/>
              <w:bottom w:val="single" w:color="D0D7E3" w:sz="1"/>
              <w:right w:val="single" w:color="D0D7E3" w:sz="1"/>
            </w:tcBorders>
            <w:shd w:fill="F7F9FD"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Low</w:t>
            </w:r>
          </w:p>
        </w:tc>
      </w:tr>
      <w:tr>
        <w:tc>
          <w:tcPr>
            <w:tcW w:type="dxa" w:w="7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11</w:t>
            </w:r>
          </w:p>
        </w:tc>
        <w:tc>
          <w:tcPr>
            <w:tcW w:type="dxa" w:w="4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Accessibility audit</w:t>
            </w:r>
          </w:p>
        </w:tc>
        <w:tc>
          <w:tcPr>
            <w:tcW w:type="dxa" w:w="2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Compliance + SEO</w:t>
            </w:r>
          </w:p>
        </w:tc>
        <w:tc>
          <w:tcPr>
            <w:tcW w:type="dxa" w:w="19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color w:val="333333"/>
                <w:sz w:val="18"/>
                <w:szCs w:val="18"/>
              </w:rPr>
              <w:t xml:space="preserve">High effort</w:t>
            </w:r>
          </w:p>
        </w:tc>
      </w:tr>
    </w:tbl>
    <w:p>
      <w:pPr>
        <w:spacing w:before="0" w:after="480"/>
      </w:pPr>
    </w:p>
    <w:p>
      <w:pPr>
        <w:pBdr>
          <w:left w:val="single" w:color="2E5FA3" w:sz="12"/>
        </w:pBdr>
        <w:shd w:fill="EEF3FA" w:val="clear"/>
        <w:spacing w:before="160" w:after="160"/>
        <w:ind w:left="300"/>
      </w:pPr>
      <w:r>
        <w:rPr>
          <w:rFonts w:ascii="Arial" w:cs="Arial" w:eastAsia="Arial" w:hAnsi="Arial"/>
          <w:b/>
          <w:bCs/>
          <w:color w:val="1B2A4A"/>
          <w:sz w:val="20"/>
          <w:szCs w:val="20"/>
        </w:rPr>
        <w:t xml:space="preserve">The single most impactful change in the shortest time is Priority 1 — the preview page. Begin there.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60"/>
      <w:outlineLvl w:val="0"/>
    </w:pPr>
    <w:rPr>
      <w:rFonts w:ascii="Arial" w:cs="Arial" w:eastAsia="Arial" w:hAnsi="Arial"/>
      <w:b/>
      <w:bCs/>
      <w:color w:val="1B2A4A"/>
      <w:sz w:val="28"/>
      <w:szCs w:val="28"/>
    </w:rPr>
  </w:style>
  <w:style w:type="paragraph" w:styleId="Heading2">
    <w:name w:val="Heading 2"/>
    <w:basedOn w:val="Normal"/>
    <w:next w:val="Normal"/>
    <w:pPr>
      <w:spacing w:before="280" w:after="100"/>
      <w:outlineLvl w:val="1"/>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2026-03-10T01:19:00.065Z</dcterms:created>
  <dcterms:modified xsi:type="dcterms:W3CDTF">2026-03-10T01:19:00.066Z</dcterms:modified>
</cp:coreProperties>
</file>

<file path=docProps/custom.xml><?xml version="1.0" encoding="utf-8"?>
<Properties xmlns="http://schemas.openxmlformats.org/officeDocument/2006/custom-properties" xmlns:vt="http://schemas.openxmlformats.org/officeDocument/2006/docPropsVTypes"/>
</file>