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BF" w:rsidRPr="00236ABF" w:rsidRDefault="00992A35" w:rsidP="00236ABF">
      <w:pPr>
        <w:pStyle w:val="Title"/>
      </w:pPr>
      <w:r>
        <w:t>MXP Developers Guide V 0.5</w:t>
      </w:r>
      <w:r w:rsidR="00E14E48">
        <w:tab/>
      </w:r>
      <w:r w:rsidR="00E14E48">
        <w:tab/>
      </w:r>
      <w:r w:rsidR="00E14E48">
        <w:tab/>
      </w:r>
      <w:r w:rsidR="00E14E48">
        <w:tab/>
      </w:r>
      <w:r w:rsidR="00E14E48" w:rsidRPr="00E14E48">
        <w:rPr>
          <w:sz w:val="20"/>
          <w:szCs w:val="20"/>
        </w:rPr>
        <w:t>(updated 9/22/14)</w:t>
      </w:r>
    </w:p>
    <w:p w:rsidR="00CD32AD" w:rsidRDefault="00480B78" w:rsidP="00331C8A">
      <w:pPr>
        <w:pStyle w:val="ListParagraph"/>
        <w:numPr>
          <w:ilvl w:val="0"/>
          <w:numId w:val="1"/>
        </w:numPr>
      </w:pPr>
      <w:r>
        <w:t>Open NI Multisim 13</w:t>
      </w:r>
      <w:r w:rsidR="00F84736">
        <w:t>.0 or later,</w:t>
      </w:r>
      <w:r>
        <w:t xml:space="preserve"> and create a new design (</w:t>
      </w:r>
      <w:r>
        <w:rPr>
          <w:b/>
        </w:rPr>
        <w:t>CTRL+N</w:t>
      </w:r>
      <w:r>
        <w:t>).</w:t>
      </w:r>
    </w:p>
    <w:p w:rsidR="00480B78" w:rsidRDefault="00480B78" w:rsidP="00331C8A">
      <w:pPr>
        <w:pStyle w:val="ListParagraph"/>
        <w:numPr>
          <w:ilvl w:val="0"/>
          <w:numId w:val="1"/>
        </w:numPr>
      </w:pPr>
      <w:r w:rsidRPr="00F84736">
        <w:t>On the left side of the dialog box, select “</w:t>
      </w:r>
      <w:r w:rsidRPr="00F84736">
        <w:rPr>
          <w:i/>
        </w:rPr>
        <w:t>Installed Templates</w:t>
      </w:r>
      <w:r w:rsidRPr="00F84736">
        <w:t>”, then</w:t>
      </w:r>
      <w:r w:rsidR="00F84736">
        <w:t xml:space="preserve"> select</w:t>
      </w:r>
      <w:r w:rsidRPr="00F84736">
        <w:t xml:space="preserve"> “</w:t>
      </w:r>
      <w:r w:rsidRPr="00F84736">
        <w:rPr>
          <w:i/>
        </w:rPr>
        <w:t>NI myRIO Single MXP</w:t>
      </w:r>
      <w:r>
        <w:t>” and click “</w:t>
      </w:r>
      <w:r w:rsidRPr="00F84736">
        <w:rPr>
          <w:i/>
        </w:rPr>
        <w:t>Create</w:t>
      </w:r>
      <w:r>
        <w:t>”.</w:t>
      </w:r>
      <w:r w:rsidR="003D0E3B">
        <w:br/>
      </w:r>
      <w:r w:rsidR="003D0E3B">
        <w:rPr>
          <w:noProof/>
        </w:rPr>
        <w:drawing>
          <wp:inline distT="0" distB="0" distL="0" distR="0">
            <wp:extent cx="5943600" cy="4363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80" w:rsidRPr="00B25197" w:rsidRDefault="003D0E3B" w:rsidP="00B25197">
      <w:pPr>
        <w:pStyle w:val="ListParagraph"/>
        <w:numPr>
          <w:ilvl w:val="0"/>
          <w:numId w:val="1"/>
        </w:numPr>
      </w:pPr>
      <w:r>
        <w:t xml:space="preserve">A schematic with symbols for the MXP connector will appear, as well as a pre-designed </w:t>
      </w:r>
      <w:r w:rsidR="00151177">
        <w:t xml:space="preserve">PCB template. </w:t>
      </w:r>
      <w:r w:rsidR="00F84736">
        <w:t xml:space="preserve">You may now design your </w:t>
      </w:r>
      <w:r w:rsidR="00151177">
        <w:t>board</w:t>
      </w:r>
      <w:r w:rsidR="00F84736">
        <w:t>, enjoy!</w:t>
      </w:r>
    </w:p>
    <w:p w:rsidR="00B25197" w:rsidRPr="00B25197" w:rsidRDefault="00500920" w:rsidP="00B25197">
      <w:pPr>
        <w:pStyle w:val="Heading2"/>
      </w:pPr>
      <w:r>
        <w:t>Example Projects</w:t>
      </w:r>
      <w:r w:rsidR="00B25197">
        <w:br/>
      </w:r>
    </w:p>
    <w:p w:rsidR="00500920" w:rsidRDefault="00500920" w:rsidP="00500920">
      <w:r w:rsidRPr="0016513A">
        <w:rPr>
          <w:b/>
        </w:rPr>
        <w:t>Simple Breakout Board</w:t>
      </w:r>
      <w:r w:rsidRPr="0016513A">
        <w:t xml:space="preserve"> </w:t>
      </w:r>
      <w:r>
        <w:t>– This is a board which simply breaks out all I/O available in the MXP port. It is broken up into five banks of 4 I/O headers, each of which has adjustable +3.3V or +5V voltage pins, as well as ground pins. Additionally, there is a bank of two analog outputs and a dedicated UART port, each with their own voltage select. The voltage can be selected temporarily or semi-permanently by either jumping or soldering the power select jumper, respectively, for each bank. The holes along the side of the board allow for convenient use of zip-ties to restrain wires connected to the board.</w:t>
      </w:r>
    </w:p>
    <w:p w:rsidR="00500920" w:rsidRDefault="00500920" w:rsidP="00B25197">
      <w:r w:rsidRPr="0016513A">
        <w:rPr>
          <w:b/>
        </w:rPr>
        <w:t>Positional Sensor Breakout Board</w:t>
      </w:r>
      <w:r>
        <w:t xml:space="preserve"> – This is a board designed to connect easily with most positional sensors, such as potentiometers and quadrature encoders. It is broken up into four banks of 4 I/O headers, each of which has adjustable +3.3V or +5V voltage pins, as well as ground pins. The voltage can be selected temporarily or semi-permanently by either jumping or soldering the power select jumper, respectively, for each bank. The holes along the center of the board allow for convenient use of zip-ties to restrain wires connected to the board.</w:t>
      </w:r>
    </w:p>
    <w:p w:rsidR="00B25197" w:rsidRDefault="00B25197" w:rsidP="00B25197"/>
    <w:p w:rsidR="00B25197" w:rsidRDefault="00151177" w:rsidP="00430445">
      <w:pPr>
        <w:pStyle w:val="Heading2"/>
      </w:pPr>
      <w:r>
        <w:t>Mechanical Drawings</w:t>
      </w:r>
      <w:r w:rsidR="00B25197">
        <w:br/>
      </w:r>
    </w:p>
    <w:p w:rsidR="00430445" w:rsidRDefault="00B25197" w:rsidP="00B25197">
      <w:pPr>
        <w:pStyle w:val="Heading2"/>
        <w:jc w:val="center"/>
      </w:pPr>
      <w:r>
        <w:rPr>
          <w:noProof/>
        </w:rPr>
        <w:drawing>
          <wp:inline distT="0" distB="0" distL="0" distR="0">
            <wp:extent cx="5218239" cy="2627311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09" t="3405" r="-7672" b="2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39" cy="262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97" w:rsidRDefault="00B25197" w:rsidP="00B25197">
      <w:pPr>
        <w:pStyle w:val="Heading2"/>
        <w:jc w:val="center"/>
      </w:pPr>
      <w:r>
        <w:rPr>
          <w:noProof/>
        </w:rPr>
        <w:drawing>
          <wp:inline distT="0" distB="0" distL="0" distR="0">
            <wp:extent cx="3231490" cy="3211340"/>
            <wp:effectExtent l="19050" t="0" r="70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44" b="1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0" cy="32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97" w:rsidRDefault="00B25197" w:rsidP="00B25197">
      <w:pPr>
        <w:pStyle w:val="Heading2"/>
      </w:pPr>
      <w:r>
        <w:t>Recommended Parts</w:t>
      </w:r>
    </w:p>
    <w:p w:rsidR="00B25197" w:rsidRPr="00B25197" w:rsidRDefault="00B25197" w:rsidP="00B25197"/>
    <w:tbl>
      <w:tblPr>
        <w:tblStyle w:val="LightList-Accent11"/>
        <w:tblW w:w="0" w:type="auto"/>
        <w:jc w:val="center"/>
        <w:tblLook w:val="04A0"/>
      </w:tblPr>
      <w:tblGrid>
        <w:gridCol w:w="2718"/>
        <w:gridCol w:w="2176"/>
        <w:gridCol w:w="2774"/>
      </w:tblGrid>
      <w:tr w:rsidR="00B25197" w:rsidTr="00B25197">
        <w:trPr>
          <w:cnfStyle w:val="100000000000"/>
          <w:trHeight w:val="268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76" w:type="dxa"/>
          </w:tcPr>
          <w:p w:rsidR="00B25197" w:rsidRDefault="00B25197" w:rsidP="00B25197">
            <w:pPr>
              <w:pStyle w:val="ListParagraph"/>
              <w:ind w:left="0"/>
              <w:cnfStyle w:val="100000000000"/>
            </w:pPr>
            <w:r>
              <w:t>Part Number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100000000000"/>
            </w:pPr>
            <w:r>
              <w:t>Manufacturer</w:t>
            </w:r>
          </w:p>
        </w:tc>
      </w:tr>
      <w:tr w:rsidR="00B25197" w:rsidTr="00B25197">
        <w:trPr>
          <w:cnfStyle w:val="000000100000"/>
          <w:trHeight w:val="268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Vertical MXP Connector</w:t>
            </w:r>
          </w:p>
        </w:tc>
        <w:tc>
          <w:tcPr>
            <w:tcW w:w="2176" w:type="dxa"/>
          </w:tcPr>
          <w:p w:rsidR="00B25197" w:rsidRDefault="00B25197" w:rsidP="00B25197">
            <w:pPr>
              <w:pStyle w:val="ListParagraph"/>
              <w:ind w:left="0"/>
              <w:cnfStyle w:val="000000100000"/>
            </w:pPr>
            <w:r>
              <w:t>SH2-34G-P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100000"/>
            </w:pPr>
            <w:r>
              <w:t>On-Shore Technology, Inc.</w:t>
            </w:r>
          </w:p>
        </w:tc>
      </w:tr>
      <w:tr w:rsidR="00B25197" w:rsidTr="00B25197">
        <w:trPr>
          <w:trHeight w:val="280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3-Pin Header</w:t>
            </w:r>
          </w:p>
        </w:tc>
        <w:tc>
          <w:tcPr>
            <w:tcW w:w="2176" w:type="dxa"/>
          </w:tcPr>
          <w:p w:rsidR="00B25197" w:rsidRPr="00AC2B04" w:rsidRDefault="00B25197" w:rsidP="00B25197">
            <w:pPr>
              <w:cnfStyle w:val="000000000000"/>
              <w:rPr>
                <w:color w:val="000000"/>
              </w:rPr>
            </w:pPr>
            <w:r w:rsidRPr="00AC2B04">
              <w:rPr>
                <w:color w:val="000000"/>
              </w:rPr>
              <w:t>68000-103HLF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000000"/>
            </w:pPr>
            <w:r>
              <w:t>FCI</w:t>
            </w:r>
          </w:p>
        </w:tc>
      </w:tr>
      <w:tr w:rsidR="00B25197" w:rsidTr="00B25197">
        <w:trPr>
          <w:cnfStyle w:val="000000100000"/>
          <w:trHeight w:val="280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4-Pin Header</w:t>
            </w:r>
          </w:p>
        </w:tc>
        <w:tc>
          <w:tcPr>
            <w:tcW w:w="2176" w:type="dxa"/>
          </w:tcPr>
          <w:p w:rsidR="00B25197" w:rsidRDefault="00B25197" w:rsidP="00B25197">
            <w:pPr>
              <w:pStyle w:val="ListParagraph"/>
              <w:ind w:left="0"/>
              <w:cnfStyle w:val="000000100000"/>
            </w:pPr>
            <w:r w:rsidRPr="00AC2B04">
              <w:t>68002-404HLF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100000"/>
            </w:pPr>
            <w:r>
              <w:t>FCI</w:t>
            </w:r>
          </w:p>
        </w:tc>
      </w:tr>
      <w:tr w:rsidR="00B25197" w:rsidTr="00B25197">
        <w:trPr>
          <w:trHeight w:val="280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Board Mount Screw</w:t>
            </w:r>
          </w:p>
        </w:tc>
        <w:tc>
          <w:tcPr>
            <w:tcW w:w="2176" w:type="dxa"/>
          </w:tcPr>
          <w:p w:rsidR="00B25197" w:rsidRPr="00AC2B04" w:rsidRDefault="00B25197" w:rsidP="00B25197">
            <w:pPr>
              <w:pStyle w:val="ListParagraph"/>
              <w:ind w:left="0"/>
              <w:cnfStyle w:val="000000000000"/>
            </w:pPr>
            <w:r w:rsidRPr="007B33E7">
              <w:t>#4-40 x 3/16"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000000"/>
            </w:pPr>
            <w:r>
              <w:t>N/A</w:t>
            </w:r>
          </w:p>
        </w:tc>
      </w:tr>
      <w:tr w:rsidR="00B25197" w:rsidTr="00B25197">
        <w:trPr>
          <w:cnfStyle w:val="000000100000"/>
          <w:trHeight w:val="280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t>Taller Vert. MXP Connector</w:t>
            </w:r>
          </w:p>
        </w:tc>
        <w:tc>
          <w:tcPr>
            <w:tcW w:w="2176" w:type="dxa"/>
          </w:tcPr>
          <w:p w:rsidR="00B25197" w:rsidRPr="007B33E7" w:rsidRDefault="00B25197" w:rsidP="00B25197">
            <w:pPr>
              <w:pStyle w:val="ListParagraph"/>
              <w:ind w:left="0"/>
              <w:cnfStyle w:val="000000100000"/>
            </w:pPr>
            <w:r w:rsidRPr="00A42A32">
              <w:t>ESW-117-23-L-D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100000"/>
            </w:pPr>
            <w:proofErr w:type="spellStart"/>
            <w:r>
              <w:t>Samtec</w:t>
            </w:r>
            <w:proofErr w:type="spellEnd"/>
          </w:p>
        </w:tc>
      </w:tr>
      <w:tr w:rsidR="00B25197" w:rsidTr="00B25197">
        <w:trPr>
          <w:trHeight w:val="280"/>
          <w:jc w:val="center"/>
        </w:trPr>
        <w:tc>
          <w:tcPr>
            <w:cnfStyle w:val="001000000000"/>
            <w:tcW w:w="2718" w:type="dxa"/>
          </w:tcPr>
          <w:p w:rsidR="00B25197" w:rsidRDefault="00B25197" w:rsidP="00B25197">
            <w:pPr>
              <w:pStyle w:val="ListParagraph"/>
              <w:ind w:left="0"/>
            </w:pPr>
            <w:r>
              <w:lastRenderedPageBreak/>
              <w:t>Spacer for Taller Connector</w:t>
            </w:r>
          </w:p>
        </w:tc>
        <w:tc>
          <w:tcPr>
            <w:tcW w:w="2176" w:type="dxa"/>
          </w:tcPr>
          <w:p w:rsidR="00B25197" w:rsidRPr="007B33E7" w:rsidRDefault="00B25197" w:rsidP="00B25197">
            <w:pPr>
              <w:pStyle w:val="ListParagraph"/>
              <w:ind w:left="0"/>
              <w:cnfStyle w:val="000000000000"/>
            </w:pPr>
            <w:r w:rsidRPr="00A42A32">
              <w:t>4500-440-AL-7</w:t>
            </w:r>
          </w:p>
        </w:tc>
        <w:tc>
          <w:tcPr>
            <w:tcW w:w="2774" w:type="dxa"/>
          </w:tcPr>
          <w:p w:rsidR="00B25197" w:rsidRDefault="00B25197" w:rsidP="00B25197">
            <w:pPr>
              <w:pStyle w:val="ListParagraph"/>
              <w:ind w:left="0"/>
              <w:cnfStyle w:val="000000000000"/>
            </w:pPr>
            <w:r>
              <w:t>RAF Electronic Hardware</w:t>
            </w:r>
          </w:p>
        </w:tc>
      </w:tr>
    </w:tbl>
    <w:p w:rsidR="00B25197" w:rsidRDefault="00B25197" w:rsidP="00B25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A010C" w:rsidRDefault="006E1678" w:rsidP="00B25197">
      <w:pPr>
        <w:pStyle w:val="Heading2"/>
      </w:pPr>
      <w:r>
        <w:lastRenderedPageBreak/>
        <w:t>MXP Pinout</w:t>
      </w:r>
    </w:p>
    <w:p w:rsidR="00AA010C" w:rsidRPr="00D33246" w:rsidRDefault="00212E5D" w:rsidP="00AA010C">
      <w:r>
        <w:br/>
        <w:t xml:space="preserve">The RoboRIO uses the standard myRIO </w:t>
      </w:r>
      <w:proofErr w:type="spellStart"/>
      <w:r>
        <w:t>eXpansion</w:t>
      </w:r>
      <w:proofErr w:type="spellEnd"/>
      <w:r>
        <w:t xml:space="preserve"> Port (MXP), which is can be seen in Figure 1</w:t>
      </w:r>
      <w:r w:rsidR="00283A94">
        <w:t>, and</w:t>
      </w:r>
      <w:r>
        <w:t xml:space="preserve"> comes with a pre-flashed FPGA image which provides </w:t>
      </w:r>
      <w:r w:rsidR="00B25197">
        <w:t>additional</w:t>
      </w:r>
      <w:r>
        <w:t xml:space="preserve"> </w:t>
      </w:r>
      <w:r w:rsidR="00475BF4">
        <w:t>functionality</w:t>
      </w:r>
      <w:r>
        <w:t xml:space="preserve"> on certain pins; these pins and peripherals can be found in Figure 2</w:t>
      </w:r>
      <w:r w:rsidR="00283A94">
        <w:t xml:space="preserve"> below.</w:t>
      </w:r>
      <w:r w:rsidR="00D33246">
        <w:t xml:space="preserve"> It is important to note that </w:t>
      </w:r>
      <w:r w:rsidR="00D33246">
        <w:rPr>
          <w:u w:val="single"/>
        </w:rPr>
        <w:t>any</w:t>
      </w:r>
      <w:r w:rsidR="00D33246">
        <w:t xml:space="preserve"> DIO line can generate simple PWM signals and decode quadrature encoders.</w:t>
      </w:r>
    </w:p>
    <w:p w:rsidR="00AA010C" w:rsidRPr="00AA010C" w:rsidRDefault="00394026" w:rsidP="00AA010C">
      <w:pPr>
        <w:pStyle w:val="Heading2"/>
        <w:rPr>
          <w:sz w:val="16"/>
          <w:szCs w:val="16"/>
        </w:rPr>
      </w:pPr>
      <w:r w:rsidRPr="003940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3pt;margin-top:253.15pt;width:135.3pt;height:.05pt;z-index:251665408" stroked="f">
            <v:textbox style="mso-fit-shape-to-text:t" inset="0,0,0,0">
              <w:txbxContent>
                <w:p w:rsidR="00AA010C" w:rsidRPr="0006341D" w:rsidRDefault="00AA010C" w:rsidP="00AA010C">
                  <w:pPr>
                    <w:pStyle w:val="Caption"/>
                    <w:rPr>
                      <w:noProof/>
                      <w:sz w:val="16"/>
                      <w:szCs w:val="16"/>
                    </w:rPr>
                  </w:pPr>
                  <w:r>
                    <w:t xml:space="preserve">Figure 2 - RoboRIO </w:t>
                  </w:r>
                  <w:r w:rsidR="00B25197">
                    <w:t>Additional</w:t>
                  </w:r>
                  <w:r>
                    <w:t xml:space="preserve"> Pin Functionality</w:t>
                  </w:r>
                </w:p>
              </w:txbxContent>
            </v:textbox>
          </v:shape>
        </w:pict>
      </w:r>
      <w:r w:rsidR="00AA010C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41275</wp:posOffset>
            </wp:positionV>
            <wp:extent cx="1718310" cy="311658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A50" w:rsidRDefault="00394026" w:rsidP="006E1678">
      <w:r>
        <w:rPr>
          <w:noProof/>
        </w:rPr>
        <w:pict>
          <v:shape id="_x0000_s1027" type="#_x0000_t202" style="position:absolute;margin-left:59.7pt;margin-top:243.55pt;width:138.3pt;height:.05pt;z-index:251663360" stroked="f">
            <v:textbox style="mso-fit-shape-to-text:t" inset="0,0,0,0">
              <w:txbxContent>
                <w:p w:rsidR="00AA010C" w:rsidRPr="0028547E" w:rsidRDefault="00AA010C" w:rsidP="00AA010C">
                  <w:pPr>
                    <w:pStyle w:val="Caption"/>
                    <w:rPr>
                      <w:noProof/>
                    </w:rPr>
                  </w:pPr>
                  <w:r>
                    <w:t>Figure 1 - MXP Connector Standard Pinout</w:t>
                  </w:r>
                </w:p>
              </w:txbxContent>
            </v:textbox>
          </v:shape>
        </w:pict>
      </w:r>
      <w:r w:rsidR="00AA010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-95885</wp:posOffset>
            </wp:positionV>
            <wp:extent cx="1756410" cy="313182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-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Default="00AA010C" w:rsidP="006E1678"/>
    <w:p w:rsidR="00AA010C" w:rsidRPr="006E1678" w:rsidRDefault="00AA010C" w:rsidP="006E1678"/>
    <w:p w:rsidR="00430445" w:rsidRDefault="004E1637" w:rsidP="004E1637">
      <w:pPr>
        <w:pStyle w:val="Heading2"/>
      </w:pPr>
      <w:r>
        <w:t>Notes</w:t>
      </w:r>
      <w:r w:rsidR="00B25197">
        <w:br/>
      </w:r>
    </w:p>
    <w:p w:rsidR="004E1637" w:rsidRDefault="004E1637" w:rsidP="004E1637">
      <w:pPr>
        <w:pStyle w:val="ListParagraph"/>
        <w:numPr>
          <w:ilvl w:val="0"/>
          <w:numId w:val="3"/>
        </w:numPr>
      </w:pPr>
      <w:r>
        <w:t>You may widen the module</w:t>
      </w:r>
      <w:r w:rsidR="0038731A">
        <w:t xml:space="preserve"> beyond 2.230”</w:t>
      </w:r>
      <w:r>
        <w:t>, but the relative placement of screw holes and the connector must remain the same.</w:t>
      </w:r>
    </w:p>
    <w:p w:rsidR="004E1637" w:rsidRDefault="004E1637" w:rsidP="004E1637">
      <w:pPr>
        <w:pStyle w:val="ListParagraph"/>
        <w:numPr>
          <w:ilvl w:val="0"/>
          <w:numId w:val="3"/>
        </w:numPr>
      </w:pPr>
      <w:r>
        <w:t>Be careful to obey the .065” maximum component height on the bottom of the board.</w:t>
      </w:r>
    </w:p>
    <w:p w:rsidR="00170252" w:rsidRDefault="00170252" w:rsidP="004E1637">
      <w:pPr>
        <w:pStyle w:val="ListParagraph"/>
        <w:numPr>
          <w:ilvl w:val="0"/>
          <w:numId w:val="3"/>
        </w:numPr>
      </w:pPr>
      <w:r>
        <w:t xml:space="preserve">If you </w:t>
      </w:r>
      <w:r w:rsidR="00D512AA">
        <w:t xml:space="preserve">need more room for tall components on the bottom of the board, you may </w:t>
      </w:r>
      <w:r>
        <w:t>use a</w:t>
      </w:r>
      <w:r w:rsidR="0086370E">
        <w:t>n</w:t>
      </w:r>
      <w:r>
        <w:t xml:space="preserve"> MXP connector which is taller than the recommended one, </w:t>
      </w:r>
      <w:r w:rsidR="00D512AA">
        <w:t xml:space="preserve">but </w:t>
      </w:r>
      <w:r>
        <w:t>be sure to place spacers between the</w:t>
      </w:r>
      <w:r w:rsidR="0086370E">
        <w:t xml:space="preserve"> module and the RoboRIO in order to keep the board mounted level.</w:t>
      </w:r>
    </w:p>
    <w:p w:rsidR="00274328" w:rsidRPr="004E1637" w:rsidRDefault="00AF6D41" w:rsidP="00274328">
      <w:pPr>
        <w:pStyle w:val="ListParagraph"/>
        <w:numPr>
          <w:ilvl w:val="0"/>
          <w:numId w:val="3"/>
        </w:numPr>
      </w:pPr>
      <w:r>
        <w:t xml:space="preserve">DIO14 </w:t>
      </w:r>
      <w:r w:rsidRPr="00AF6D41">
        <w:t>and DIO15 each have an internal 2.21kΩ pull up resistor that can be utilized for applications such as I2C</w:t>
      </w:r>
      <w:r w:rsidR="00B25197">
        <w:t>.</w:t>
      </w:r>
    </w:p>
    <w:sectPr w:rsidR="00274328" w:rsidRPr="004E1637" w:rsidSect="0070218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54C" w:rsidRDefault="0001454C" w:rsidP="00236ABF">
      <w:pPr>
        <w:spacing w:after="0" w:line="240" w:lineRule="auto"/>
      </w:pPr>
      <w:r>
        <w:separator/>
      </w:r>
    </w:p>
  </w:endnote>
  <w:endnote w:type="continuationSeparator" w:id="0">
    <w:p w:rsidR="0001454C" w:rsidRDefault="0001454C" w:rsidP="0023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54C" w:rsidRDefault="0001454C" w:rsidP="00236ABF">
      <w:pPr>
        <w:spacing w:after="0" w:line="240" w:lineRule="auto"/>
      </w:pPr>
      <w:r>
        <w:separator/>
      </w:r>
    </w:p>
  </w:footnote>
  <w:footnote w:type="continuationSeparator" w:id="0">
    <w:p w:rsidR="0001454C" w:rsidRDefault="0001454C" w:rsidP="0023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604258"/>
      <w:docPartObj>
        <w:docPartGallery w:val="Page Numbers (Top of Page)"/>
        <w:docPartUnique/>
      </w:docPartObj>
    </w:sdtPr>
    <w:sdtContent>
      <w:p w:rsidR="00E14E48" w:rsidRDefault="00E14E48" w:rsidP="00E14E48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236ABF" w:rsidRDefault="00236A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709"/>
    <w:multiLevelType w:val="hybridMultilevel"/>
    <w:tmpl w:val="4024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27B4"/>
    <w:multiLevelType w:val="hybridMultilevel"/>
    <w:tmpl w:val="B5E2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36938"/>
    <w:multiLevelType w:val="hybridMultilevel"/>
    <w:tmpl w:val="AD1C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C8A"/>
    <w:rsid w:val="0001454C"/>
    <w:rsid w:val="00151177"/>
    <w:rsid w:val="0016513A"/>
    <w:rsid w:val="00170252"/>
    <w:rsid w:val="001F1DFB"/>
    <w:rsid w:val="001F6630"/>
    <w:rsid w:val="00212E5D"/>
    <w:rsid w:val="00236ABF"/>
    <w:rsid w:val="00274328"/>
    <w:rsid w:val="00283A94"/>
    <w:rsid w:val="003231E9"/>
    <w:rsid w:val="00331C8A"/>
    <w:rsid w:val="0035493B"/>
    <w:rsid w:val="0038731A"/>
    <w:rsid w:val="0039159E"/>
    <w:rsid w:val="00394026"/>
    <w:rsid w:val="003C7B4A"/>
    <w:rsid w:val="003D0E3B"/>
    <w:rsid w:val="00430445"/>
    <w:rsid w:val="00475BF4"/>
    <w:rsid w:val="00480B78"/>
    <w:rsid w:val="004E1637"/>
    <w:rsid w:val="00500920"/>
    <w:rsid w:val="006E1678"/>
    <w:rsid w:val="0070122C"/>
    <w:rsid w:val="00702188"/>
    <w:rsid w:val="00731396"/>
    <w:rsid w:val="00764E56"/>
    <w:rsid w:val="007A75DA"/>
    <w:rsid w:val="007B33E7"/>
    <w:rsid w:val="0086043A"/>
    <w:rsid w:val="0086370E"/>
    <w:rsid w:val="008B488E"/>
    <w:rsid w:val="008C2E91"/>
    <w:rsid w:val="00947EE4"/>
    <w:rsid w:val="00992A35"/>
    <w:rsid w:val="009F2DFB"/>
    <w:rsid w:val="00A42A32"/>
    <w:rsid w:val="00A80D80"/>
    <w:rsid w:val="00AA010C"/>
    <w:rsid w:val="00AC2B04"/>
    <w:rsid w:val="00AF6D41"/>
    <w:rsid w:val="00B25197"/>
    <w:rsid w:val="00B61788"/>
    <w:rsid w:val="00B803E1"/>
    <w:rsid w:val="00BC2999"/>
    <w:rsid w:val="00BF63E1"/>
    <w:rsid w:val="00CB11B4"/>
    <w:rsid w:val="00CD32AD"/>
    <w:rsid w:val="00D03D98"/>
    <w:rsid w:val="00D33246"/>
    <w:rsid w:val="00D512AA"/>
    <w:rsid w:val="00D639F6"/>
    <w:rsid w:val="00DB3A50"/>
    <w:rsid w:val="00E01880"/>
    <w:rsid w:val="00E14E48"/>
    <w:rsid w:val="00F84736"/>
    <w:rsid w:val="00F871A4"/>
    <w:rsid w:val="00F96868"/>
    <w:rsid w:val="00FE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AD"/>
  </w:style>
  <w:style w:type="paragraph" w:styleId="Heading1">
    <w:name w:val="heading 1"/>
    <w:basedOn w:val="Normal"/>
    <w:next w:val="Normal"/>
    <w:link w:val="Heading1Char"/>
    <w:uiPriority w:val="9"/>
    <w:qFormat/>
    <w:rsid w:val="0015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3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4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1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E01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0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3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43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1">
    <w:name w:val="Light Shading1"/>
    <w:basedOn w:val="TableNormal"/>
    <w:uiPriority w:val="60"/>
    <w:rsid w:val="007012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01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BF"/>
  </w:style>
  <w:style w:type="paragraph" w:styleId="Footer">
    <w:name w:val="footer"/>
    <w:basedOn w:val="Normal"/>
    <w:link w:val="FooterChar"/>
    <w:uiPriority w:val="99"/>
    <w:semiHidden/>
    <w:unhideWhenUsed/>
    <w:rsid w:val="0023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dcollott</dc:creator>
  <cp:lastModifiedBy>Hunter Smith</cp:lastModifiedBy>
  <cp:revision>3</cp:revision>
  <dcterms:created xsi:type="dcterms:W3CDTF">2014-09-22T22:33:00Z</dcterms:created>
  <dcterms:modified xsi:type="dcterms:W3CDTF">2014-09-22T22:35:00Z</dcterms:modified>
</cp:coreProperties>
</file>