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4.png" ContentType="image/png"/>
  <Override PartName="/word/media/rId76.png" ContentType="image/png"/>
  <Override PartName="/word/media/rId82.png" ContentType="image/png"/>
  <Override PartName="/word/media/rId39.png" ContentType="image/png"/>
  <Override PartName="/word/media/rId50.png" ContentType="image/png"/>
  <Override PartName="/word/media/rId59.png" ContentType="image/png"/>
  <Override PartName="/word/media/rId26.png" ContentType="image/png"/>
  <Override PartName="/word/media/rId108.png" ContentType="image/png"/>
  <Override PartName="/word/media/rId112.png" ContentType="image/png"/>
  <Override PartName="/word/media/rId103.png" ContentType="image/png"/>
  <Override PartName="/word/media/rId99.png" ContentType="image/png"/>
  <Override PartName="/word/media/rId94.png" ContentType="image/png"/>
  <Override PartName="/word/media/rId54.png" ContentType="image/png"/>
  <Override PartName="/word/media/rId43.png" ContentType="image/png"/>
  <Override PartName="/word/media/rId86.png" ContentType="image/png"/>
  <Override PartName="/word/media/rId70.png" ContentType="image/png"/>
  <Override PartName="/word/media/rId169.png" ContentType="image/png"/>
  <Override PartName="/word/media/rId173.png" ContentType="image/png"/>
  <Override PartName="/word/media/rId177.png" ContentType="image/png"/>
  <Override PartName="/word/media/rId181.png" ContentType="image/png"/>
  <Override PartName="/word/media/rId157.png" ContentType="image/png"/>
  <Override PartName="/word/media/rId152.png" ContentType="image/png"/>
  <Override PartName="/word/media/rId144.png" ContentType="image/png"/>
  <Override PartName="/word/media/rId148.png" ContentType="image/png"/>
  <Override PartName="/word/media/rId140.png" ContentType="image/png"/>
  <Override PartName="/word/media/rId133.png" ContentType="image/png"/>
  <Override PartName="/word/media/rId129.png" ContentType="image/png"/>
  <Override PartName="/word/media/rId125.png" ContentType="image/png"/>
  <Override PartName="/word/media/rId121.png" ContentType="image/png"/>
  <Override PartName="/word/media/rId117.png" ContentType="image/png"/>
  <Override PartName="/word/media/rId1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w:t>
      </w:r>
    </w:p>
    <w:p>
      <w:pPr>
        <w:pStyle w:val="Subtitle"/>
      </w:pPr>
      <w:r>
        <w:t xml:space="preserve">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2026-10-10</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33" w:name="introducción"/>
    <w:p>
      <w:pPr>
        <w:pStyle w:val="Heading2"/>
      </w:pPr>
      <w:r>
        <w:t xml:space="preserve">1 Introducción</w:t>
      </w:r>
    </w:p>
    <w:bookmarkStart w:id="31" w:name="nearshoring-en-méxico"/>
    <w:p>
      <w:pPr>
        <w:pStyle w:val="Heading3"/>
      </w:pPr>
      <w:r>
        <w:t xml:space="preserve">1.1 ¿Nearshoring? ¿En México?</w:t>
      </w:r>
    </w:p>
    <w:p>
      <w:pPr>
        <w:pStyle w:val="FirstParagraph"/>
      </w:pPr>
      <w:r>
        <w:t xml:space="preserve">La reconfiguración de las cadenas globales de valor fue un fue un tema que se empezó a discutir tras el inicio de la guerra comercial entre Estados Unidos y China: para ciertos productos, el cálculo económico que había llevado a establecer operaciones de manufactura en China y exportar desde allí hacia los EUA se modificó con los nuevos aranceles. La pandemia del COVID-19 en 2020 añadió urgencia a la discusión, ya que la fragilidad de las cadenas de suministro que se extendían por todo el planeta y concentraban las operaciones de manufactura en China quedó en evidencia, como un factor de riesgo adicional e independiente de los conflictos meramente comerciales. A todo esto se sumaron pronto consideraciones de seguridad nacional como argumento en favor de</w:t>
      </w:r>
      <w:r>
        <w:t xml:space="preserve"> </w:t>
      </w:r>
      <w:r>
        <w:t xml:space="preserve">“acercar”</w:t>
      </w:r>
      <w:r>
        <w:t xml:space="preserve"> </w:t>
      </w:r>
      <w:r>
        <w:t xml:space="preserve">las cadenas de valor (</w:t>
      </w:r>
      <w:r>
        <w:t xml:space="preserve">“nearshoring”</w:t>
      </w:r>
      <w:r>
        <w:t xml:space="preserve">, en adelante NS) o incluso de traer ciertas actividades de manufactura de vuelta a los EUA (</w:t>
      </w:r>
      <w:r>
        <w:t xml:space="preserve">“reshoring”</w:t>
      </w:r>
      <w:r>
        <w:t xml:space="preserve">). No es de sorprender, entonces, que las menciones sobre estos dos temas se hicieran cada vez más frecuentes en las comunicaciones entre los gerentes generales (CEOs) de las empresas globalesa partir de 2021, como lo muestra la</w:t>
      </w:r>
      <w:r>
        <w:t xml:space="preserve"> </w:t>
      </w:r>
      <w:hyperlink w:anchor="fig-nearshoring">
        <w:r>
          <w:rPr>
            <w:rStyle w:val="Hyperlink"/>
          </w:rPr>
          <w:t xml:space="preserve">Figura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1" name="Picture"/>
                  <a:graphic>
                    <a:graphicData uri="http://schemas.openxmlformats.org/drawingml/2006/picture">
                      <pic:pic>
                        <pic:nvPicPr>
                          <pic:cNvPr descr="../Images/nearshoring.png" id="22" name="Picture"/>
                          <pic:cNvPicPr>
                            <a:picLocks noChangeArrowheads="1" noChangeAspect="1"/>
                          </pic:cNvPicPr>
                        </pic:nvPicPr>
                        <pic:blipFill>
                          <a:blip r:embed="rId20"/>
                          <a:stretch>
                            <a:fillRect/>
                          </a:stretch>
                        </pic:blipFill>
                        <pic:spPr bwMode="auto">
                          <a:xfrm>
                            <a:off x="0" y="0"/>
                            <a:ext cx="5486400" cy="3116340"/>
                          </a:xfrm>
                          <a:prstGeom prst="rect">
                            <a:avLst/>
                          </a:prstGeom>
                          <a:noFill/>
                          <a:ln w="9525">
                            <a:noFill/>
                            <a:headEnd/>
                            <a:tailEnd/>
                          </a:ln>
                        </pic:spPr>
                      </pic:pic>
                    </a:graphicData>
                  </a:graphic>
                </wp:inline>
              </w:drawing>
            </w:r>
          </w:p>
          <w:bookmarkEnd w:id="23"/>
        </w:tc>
      </w:tr>
    </w:tbl>
    <w:p>
      <w:pPr>
        <w:pStyle w:val="BodyText"/>
      </w:pPr>
      <w:r>
        <w:t xml:space="preserve">Fuente:</w:t>
      </w:r>
      <w:r>
        <w:t xml:space="preserve"> </w:t>
      </w:r>
      <w:hyperlink r:id="rId24">
        <w:r>
          <w:rPr>
            <w:rStyle w:val="Hyperlink"/>
          </w:rPr>
          <w:t xml:space="preserve">https://iot-analytics.com/what-ceos-talked-about-in-q4-2024-tariffs-reshoring-agentic-ai/</w:t>
        </w:r>
      </w:hyperlink>
    </w:p>
    <w:p>
      <w:pPr>
        <w:pStyle w:val="BodyText"/>
      </w:pPr>
      <w:r>
        <w:t xml:space="preserve">Mientras tanto, en la prensa mexicana, particularmente la prensa financiera, el tema adquiere prominencia a partir de 2022, año en el que alcanzas 2,104 menciones. Ese es, por supuesto, el año en el que se inicia la guerra en Ucrania, el segundo gran evento, tras la pandemia de 2020, que puso en evidencia la fragilidad de las CGV</w:t>
      </w:r>
      <w:r>
        <w:t xml:space="preserve"> </w:t>
      </w:r>
      <w:r>
        <w:rPr>
          <w:rStyle w:val="FootnoteReference"/>
        </w:rPr>
        <w:footnoteReference w:id="25"/>
      </w:r>
      <w:r>
        <w:t xml:space="preserve">.</w:t>
      </w:r>
    </w:p>
    <w:p>
      <w:pPr>
        <w:pStyle w:val="BodyText"/>
      </w:pPr>
      <w:r>
        <w:t xml:space="preserve">El interés alcanza su punto más alto en los años 2023-2024, con 13 mil menciones por año, y luego se reduce rápidamente, con 3,781 menciones en 2025 y 1,636 en la primera mitad del 2026, lo que equivale a un ritmo anual parecido al de 2025. Los datos se muestran en la</w:t>
      </w:r>
      <w:r>
        <w:t xml:space="preserve"> </w:t>
      </w:r>
      <w:hyperlink w:anchor="fig-nearshoringMX">
        <w:r>
          <w:rPr>
            <w:rStyle w:val="Hyperlink"/>
          </w:rPr>
          <w:t xml:space="preserve">Figura 2</w:t>
        </w:r>
      </w:hyperlink>
      <w:r>
        <w:t xml:space="preserve">. Al parecer, al iniciarse el segundo gobierno del presidente Trump el interés - o las expectativas - con relación al</w:t>
      </w:r>
      <w:r>
        <w:t xml:space="preserve"> </w:t>
      </w:r>
      <w:r>
        <w:t xml:space="preserve">“nearshoring”</w:t>
      </w:r>
      <w:r>
        <w:t xml:space="preserve"> </w:t>
      </w:r>
      <w:r>
        <w:t xml:space="preserve">decrecieron.con la llegada del presidente Trump.</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en la prensa mexicana, por año</w:t>
            </w:r>
          </w:p>
          <w:p>
            <w:pPr>
              <w:pStyle w:val="Compact"/>
              <w:jc w:val="center"/>
            </w:pPr>
            <w:r>
              <w:drawing>
                <wp:inline>
                  <wp:extent cx="5486400" cy="2743200"/>
                  <wp:effectExtent b="0" l="0" r="0" t="0"/>
                  <wp:docPr descr="" title="" id="27" name="Picture"/>
                  <a:graphic>
                    <a:graphicData uri="http://schemas.openxmlformats.org/drawingml/2006/picture">
                      <pic:pic>
                        <pic:nvPicPr>
                          <pic:cNvPr descr="../Plots/fig_media_cloud_menciones.png" id="28" name="Picture"/>
                          <pic:cNvPicPr>
                            <a:picLocks noChangeArrowheads="1" noChangeAspect="1"/>
                          </pic:cNvPicPr>
                        </pic:nvPicPr>
                        <pic:blipFill>
                          <a:blip r:embed="rId26"/>
                          <a:stretch>
                            <a:fillRect/>
                          </a:stretch>
                        </pic:blipFill>
                        <pic:spPr bwMode="auto">
                          <a:xfrm>
                            <a:off x="0" y="0"/>
                            <a:ext cx="5486400" cy="27432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Había algunas razones para ser escépticos sobre la magnitud del cambio en las CGV cuando el tema se empezó a discutir. En el caso de las importaciones provenientes de China sujetas a aranceles a partir de 2018, había un incentivo económico para abastecerse desde países que no estuvieran sujetos a aranceles semejantes, pero para todos los demás productos, el NS era una inversión para protegerse de (eventuales) disrupciones futuras en las CGV. Siendo así, el NS creaba una</w:t>
      </w:r>
      <w:r>
        <w:t xml:space="preserve"> </w:t>
      </w:r>
      <w:r>
        <w:t xml:space="preserve">“desventaja para el primero en moverse”</w:t>
      </w:r>
      <w:r>
        <w:t xml:space="preserve"> </w:t>
      </w:r>
      <w:r>
        <w:rPr>
          <w:rStyle w:val="FootnoteReference"/>
        </w:rPr>
        <w:footnoteReference w:id="30"/>
      </w:r>
      <w:r>
        <w:t xml:space="preserve">, ya que sus costos se incrementaban de manera inmediata, mientras que los beneficios se realizarían únicamente cuando tuviera lugar una nueva disrupción de gran escala, momento en el cual las empresas que hubiesen invertido en NS tendrían una ventaja competitiva con respecto a las que no lo hubieran hecho.</w:t>
      </w:r>
    </w:p>
    <w:p>
      <w:pPr>
        <w:pStyle w:val="BodyText"/>
      </w:pPr>
      <w:r>
        <w:t xml:space="preserve">En tal situación ¿quién será el primero en moverse? 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sin embargo,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 mientras que Durán y Stein</w:t>
      </w:r>
      <w:r>
        <w:t xml:space="preserve"> </w:t>
      </w:r>
      <w:r>
        <w:t xml:space="preserve">(</w:t>
      </w:r>
      <w:hyperlink w:anchor="ref-durán-fernández2025">
        <w:r>
          <w:rPr>
            <w:rStyle w:val="Hyperlink"/>
          </w:rPr>
          <w:t xml:space="preserve">Durán-Fernández y Stein 2025</w:t>
        </w:r>
      </w:hyperlink>
      <w:r>
        <w:t xml:space="preserve">)</w:t>
      </w:r>
      <w:r>
        <w:t xml:space="preserve"> </w:t>
      </w:r>
      <w:r>
        <w:t xml:space="preserve">propusieron una nueva taxonomía del NS, que se describió con detalle en el capítulo anterior.</w:t>
      </w:r>
    </w:p>
    <w:p>
      <w:pPr>
        <w:pStyle w:val="BodyText"/>
      </w:pPr>
      <w:r>
        <w:t xml:space="preserve">Desde esta nueva taxonomía se argumenta, como se explicó en detalle en el capítulo anterior, que la reorganización de las CGV no es sinónimo de la construcción de nuevas plantas (</w:t>
      </w:r>
      <w:r>
        <w:t xml:space="preserve">“greenfield”</w:t>
      </w:r>
      <w:r>
        <w:t xml:space="preserve"> </w:t>
      </w:r>
      <w:r>
        <w:t xml:space="preserve">puro) y que la ampliación de capacidad productiva en plantas ya existentes (</w:t>
      </w:r>
      <w:r>
        <w:t xml:space="preserve">“brownfield expansion”</w:t>
      </w:r>
      <w:r>
        <w:t xml:space="preserve">) puede servir exactamente para el mismo propósito: desde el punto de vista del NS, la construcción de nuevas plantas y la ampliación de plantas existentes tiene exactamente el mismo efecto, y la distinción irrelevante, como lo es el mecanismo de financiamiento: da exactamente igual si la expansión se financia mediante ingreso de capital</w:t>
      </w:r>
      <w:r>
        <w:t xml:space="preserve"> </w:t>
      </w:r>
      <w:r>
        <w:t xml:space="preserve">“fresco”</w:t>
      </w:r>
      <w:r>
        <w:t xml:space="preserve"> </w:t>
      </w:r>
      <w:r>
        <w:t xml:space="preserve">o mediante la reinversión de utilidades. El caso de Flex, que se presenta más adelante, ilustra con claridad como la reasignación de líneas de producción entre plantas en distintas ubicaciones y la ampliación de capacidad productiva en México han sido usados como mecanismo directo para el NS.</w:t>
      </w:r>
    </w:p>
    <w:p>
      <w:pPr>
        <w:pStyle w:val="BodyText"/>
      </w:pPr>
      <w:r>
        <w:t xml:space="preserve">Además, el NS no está asociado únicamente con la IED: la inversión de empresas domésticas también es un mecanismo para el NS cuando está orientada ya sea a la exportación directa o bien para incrementar el volumen y la complejidad de productos y servicios brindados a empresas exportadoras y existe amplia evidencia de que este mecanismo está siendo utilizado en México. En el Capítulo 4 se presentan varios estudios de caso que ilustran su operación.</w:t>
      </w:r>
    </w:p>
    <w:p>
      <w:pPr>
        <w:pStyle w:val="BodyText"/>
      </w:pPr>
      <w:r>
        <w:t xml:space="preserve">Por todo lo anterior cabe esperar que el NS se manifieste primero en cambios en los flujos comerciales, apoyados en la reasignación de líneas de producción entre plantas y la ampliación de plantas existentes, y solo con rezago en cambios en las construcción de nuevas plantas y los anuncios de grandes inversiones, que son los que suele capturar los titulares de la prensa.</w:t>
      </w:r>
    </w:p>
    <w:p>
      <w:pPr>
        <w:pStyle w:val="BodyText"/>
      </w:pPr>
      <w:r>
        <w:t xml:space="preserve">En este capítulo mostramos que el examen de los flujos comerciales entre México y Estados Unidos arroja evidencia contundente de un proceso de reorganización de CGV, favorable a México en muchos casos, aunque no en todos. Este cambio no es, quizás, de la magnitud que se hubiera podido esperar, y tal vez las expectativas desmedidas iniciales son una de las razones por las que se ha reducido la prominencia del tema.</w:t>
      </w:r>
    </w:p>
    <w:p>
      <w:pPr>
        <w:pStyle w:val="BodyText"/>
      </w:pPr>
      <w:r>
        <w:t xml:space="preserve">Aun así, la evidencia que resulta tanto del examen descriptivo como del análisis econométrico coincide en señalar un cambio claro en la organización geográfica de las CGV.</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2" w:name="alcance-del-capítulo"/>
    <w:p>
      <w:pPr>
        <w:pStyle w:val="Heading3"/>
      </w:pPr>
      <w:r>
        <w:t xml:space="preserve">1.2 Alcance del capítulo</w:t>
      </w:r>
    </w:p>
    <w:p>
      <w:pPr>
        <w:pStyle w:val="FirstParagraph"/>
      </w:pPr>
      <w:r>
        <w:t xml:space="preserve">En este capítulo, tal y como se indica en su título, se hace una presentación minuciosa de los</w:t>
      </w:r>
      <w:r>
        <w:t xml:space="preserve"> </w:t>
      </w:r>
      <w:r>
        <w:rPr>
          <w:b/>
          <w:bCs/>
        </w:rPr>
        <w:t xml:space="preserve">datos</w:t>
      </w:r>
      <w:r>
        <w:t xml:space="preserve"> </w:t>
      </w:r>
      <w:r>
        <w:t xml:space="preserve">que informan el debate sobre el NS, y específicamente el NS en México. El enfoque es fundamentalmente descriptivo: se aspira a identificar y caracterizar los hechos y con ello sentar la base fáctica para las discusiones que se abordan en los demás capítulo del libro, pero también se hace una síntesis, no técnica, de los principales econométricos que explorarn los cambios en las relaciones comerciales entre EUA y México durante la primara fase del NS, que se inicia con el primer gobierno del presidente Trump</w:t>
      </w:r>
      <w:r>
        <w:t xml:space="preserve"> </w:t>
      </w:r>
      <w:r>
        <w:rPr>
          <w:b/>
          <w:bCs/>
        </w:rPr>
        <w:t xml:space="preserve">REFERENCIAS</w:t>
      </w:r>
    </w:p>
    <w:p>
      <w:pPr>
        <w:pStyle w:val="BodyText"/>
      </w:pPr>
      <w:r>
        <w:t xml:space="preserve">Los dos períodos de interés central para el capítulo son, justamente, eso que acabamos de llamar la primera fase del NS, que va desde el primero gobierno de Trump hasta el final del gobierno de Biden, y una nueva fase que se inicia con el segundo gobierno de Trump, que obviamente se encuentra en rápida evolución y cuyos contornos finales aún no se conocen. Como telón de fondo, el análisis de los datos frecuentemente incluye también información para el período 2010-2018, es decir, los últimos años del período en que la globalización, cada vez con menos restricciones, constituyó la tendencia fundamental de las relaciones económicas internacionales.</w:t>
      </w:r>
    </w:p>
    <w:p>
      <w:pPr>
        <w:pStyle w:val="BodyText"/>
      </w:pPr>
      <w:r>
        <w:t xml:space="preserve">El capítulo se organiza en cuatro secciones, además de esta introducción.</w:t>
      </w:r>
    </w:p>
    <w:p>
      <w:pPr>
        <w:pStyle w:val="BodyText"/>
      </w:pPr>
      <w:r>
        <w:t xml:space="preserve">En la Sección 2, se discuten los cambios en la distribución por origen de las importaciones de los Estados Unidos. Como se verá, países ganadores y perdedores (es decir, países que aumentan o ver disminuir su participación en ese mercado) son diferentes en cada uno de los períodos que se analizarán. Este período culmina con el ascenso de México, que desde 2024 se convierte en el mayor exportador al mercado de EUA.</w:t>
      </w:r>
    </w:p>
    <w:p>
      <w:pPr>
        <w:pStyle w:val="BodyText"/>
      </w:pPr>
      <w:r>
        <w:t xml:space="preserve">En la Sección 3 el foco se traslada a los cambios en la composición de las exportaciones mexicanas a EUA. Empezando con un análisis al mayor nivel de agregación, las Secciones del SA armonizado, esta sección, tras una rápida mirada a la composición de esas exportaciones por Capítulo, identifica las Partidas más importantes y dinámicas del portafolio exportador de México.</w:t>
      </w:r>
    </w:p>
    <w:p>
      <w:pPr>
        <w:pStyle w:val="BodyText"/>
      </w:pPr>
      <w:r>
        <w:t xml:space="preserve">La Sección 4 aborda el impacto regional del NS. A pesar de que por razones de confidencialidad la información de accesso pública es limitada, los datos disponibles permiten establecer patrones claramente diferenciados en la participación de diversos estados y regiones mexicanas; la división entre</w:t>
      </w:r>
      <w:r>
        <w:t xml:space="preserve"> </w:t>
      </w:r>
      <w:r>
        <w:t xml:space="preserve">“dos Méxicos”</w:t>
      </w:r>
      <w:r>
        <w:t xml:space="preserve">, ampliamente discutida en los estudios sobre el desarrollo económico del país, no se está reduciendo [</w:t>
      </w:r>
      <w:r>
        <w:t xml:space="preserve">Aroca, Bosch, y Maloney (</w:t>
      </w:r>
      <w:hyperlink w:anchor="ref-aroca2005">
        <w:r>
          <w:rPr>
            <w:rStyle w:val="Hyperlink"/>
          </w:rPr>
          <w:t xml:space="preserve">2005</w:t>
        </w:r>
      </w:hyperlink>
      <w:r>
        <w:t xml:space="preserve">)</w:t>
      </w:r>
      <w:r>
        <w:t xml:space="preserve">]</w:t>
      </w:r>
      <w:r>
        <w:t xml:space="preserve">(</w:t>
      </w:r>
      <w:hyperlink w:anchor="ref-chiquiar2005">
        <w:r>
          <w:rPr>
            <w:rStyle w:val="Hyperlink"/>
          </w:rPr>
          <w:t xml:space="preserve">Chiquiar 2005</w:t>
        </w:r>
      </w:hyperlink>
      <w:r>
        <w:t xml:space="preserve">)</w:t>
      </w:r>
      <w:r>
        <w:t xml:space="preserve">(</w:t>
      </w:r>
      <w:hyperlink w:anchor="ref-gómez2009">
        <w:r>
          <w:rPr>
            <w:rStyle w:val="Hyperlink"/>
          </w:rPr>
          <w:t xml:space="preserve">Gómez y Ventosa-Sataularia 2009</w:t>
        </w:r>
      </w:hyperlink>
      <w:r>
        <w:t xml:space="preserve">)</w:t>
      </w:r>
      <w:r>
        <w:t xml:space="preserve">.</w:t>
      </w:r>
    </w:p>
    <w:p>
      <w:pPr>
        <w:pStyle w:val="BodyText"/>
      </w:pPr>
      <w:r>
        <w:t xml:space="preserve">En la Sección 5 se abordan dos temas complementarios: los flujos y distribución sectorial de la IED en México, y la evolución de la demanda de suelos de uso industrial, que se ve afectacada, claro está, no solo por la llegada de nuevos inversionistas, sino también por la expansión o contracción de las actividades de empresas que ya operan en México.</w:t>
      </w:r>
    </w:p>
    <w:p>
      <w:pPr>
        <w:pStyle w:val="BodyText"/>
      </w:pPr>
      <w:r>
        <w:t xml:space="preserve">En la Sección 6, se hace un primer intento de identificar desafíos clave que México debe superar para obtener mayores beneficios del proceso de reorganización de las cadenas globales de valor en curso.</w:t>
      </w:r>
    </w:p>
    <w:p>
      <w:pPr>
        <w:pStyle w:val="BodyText"/>
      </w:pPr>
      <w:r>
        <w:t xml:space="preserve">, de los que se derivan tanto oportunidades como desafíos se presenta, con bastante detalle, la evidencia disponible sobre el NS en México. Temáticamente, el capítulo se organiza en cuatro secciones:</w:t>
      </w:r>
    </w:p>
    <w:p>
      <w:pPr>
        <w:pStyle w:val="Compact"/>
        <w:numPr>
          <w:ilvl w:val="0"/>
          <w:numId w:val="1001"/>
        </w:numPr>
      </w:pPr>
      <w:r>
        <w:t xml:space="preserve">El cambio en la composición de las importaciones de EUA por país de origen, que lleva a México a convertirse en el principal proveedor de ese mercado a partir de 2024.</w:t>
      </w:r>
    </w:p>
    <w:p>
      <w:pPr>
        <w:pStyle w:val="Compact"/>
        <w:numPr>
          <w:ilvl w:val="0"/>
          <w:numId w:val="1001"/>
        </w:numPr>
      </w:pPr>
      <w:r>
        <w:t xml:space="preserve">El cambio en la composición de las exportaciones mexicanas a EUA en tres distintos niveles de granularidad: Sección primero, y luego los Capítulos y Partidas de mayor importancia.</w:t>
      </w:r>
    </w:p>
    <w:p>
      <w:pPr>
        <w:pStyle w:val="Compact"/>
        <w:numPr>
          <w:ilvl w:val="0"/>
          <w:numId w:val="1001"/>
        </w:numPr>
      </w:pPr>
      <w:r>
        <w:t xml:space="preserve">Las dimensiones regionales del NS en México.</w:t>
      </w:r>
    </w:p>
    <w:p>
      <w:pPr>
        <w:pStyle w:val="Compact"/>
        <w:numPr>
          <w:ilvl w:val="0"/>
          <w:numId w:val="1001"/>
        </w:numPr>
      </w:pPr>
      <w:r>
        <w:t xml:space="preserve">El análisis de los flujos de IED y de la demanda de suelo de uso industrial.</w:t>
      </w:r>
    </w:p>
    <w:p>
      <w:pPr>
        <w:pStyle w:val="FirstParagraph"/>
      </w:pPr>
      <w:r>
        <w:t xml:space="preserve">El examen de la evidencia estadística se concentra en dos períodos:</w:t>
      </w:r>
    </w:p>
    <w:p>
      <w:pPr>
        <w:numPr>
          <w:ilvl w:val="0"/>
          <w:numId w:val="1002"/>
        </w:numPr>
      </w:pPr>
      <w:r>
        <w:t xml:space="preserve">2018 - 2024, que corresponde al inicio de la primera guerra comercial entre Estados Unidos y China durante el primero gobierno del presidente Trump, así como el gobierno del presidente Biden, que mantuvo los aranceles a las importaciones provenientes de China y lanzó además la Inflation Reduction Act y la Chips and Science Act, ambas con el propósito expreso de acercar (nearshoring) o retornar a EUA (reshoring) actividades industriales críticas</w:t>
      </w:r>
    </w:p>
    <w:p>
      <w:pPr>
        <w:numPr>
          <w:ilvl w:val="0"/>
          <w:numId w:val="1002"/>
        </w:numPr>
      </w:pPr>
      <w:r>
        <w:t xml:space="preserve">2024-2025, el período de</w:t>
      </w:r>
      <w:r>
        <w:t xml:space="preserve"> </w:t>
      </w:r>
      <w:r>
        <w:t xml:space="preserve">“turbulencia”</w:t>
      </w:r>
      <w:r>
        <w:t xml:space="preserve"> </w:t>
      </w:r>
      <w:r>
        <w:t xml:space="preserve">que da su título a este libro, durante el cual se lanza una nueva política comercial en EUA, todavía volátil e impredecible, y cuya configuración final dista aún de estar claramente definida.</w:t>
      </w:r>
    </w:p>
    <w:p>
      <w:pPr>
        <w:pStyle w:val="FirstParagraph"/>
      </w:pPr>
      <w:r>
        <w:t xml:space="preserve">Un período anterior, 2010 - 2018, que corresponde a los últimos años de la globalización ascendente, se incluye como punto de referencia: nos permite identificar los cambios que tuvieron lugar a partir de 2018.</w:t>
      </w:r>
    </w:p>
    <w:p>
      <w:pPr>
        <w:pStyle w:val="BodyText"/>
      </w:pPr>
      <w:r>
        <w:t xml:space="preserve">El impacto del segundo gobierno del presidente Trump debe analizarse con cautela. Cuantitativamente, como se verá en la sección 3 de este capítulo, los efectos son notorios: en muchos rubros, las exportaciones (o al menos su tasa de crecimiento) se reducen con respecto a lo observado entre 2010 y 2018.</w:t>
      </w:r>
    </w:p>
    <w:p>
      <w:pPr>
        <w:pStyle w:val="BodyText"/>
      </w:pPr>
      <w:r>
        <w:t xml:space="preserve">Sin embargo, la razón de señal a ruido puede ser alta: aunque el giro proteccionista de la política arancelaria de EUAl está firmemente establecido, no sucede lo mismo con la estructura tarifaria, que ha estado sujeta a fuertes ajustes como resultado de negociaciones comerciales y resoluciones judiciales, y que aún a mediados de 2026 no tiene un perfil estable y predecible. Ni siquiera países que cuentan con acuerdos comerciales bilaterales o regionales con EUA, como México, Canadá y Centroamérica están protegidos contra cambios bruscos en los aranceles de base o para productos específicos, que pueden ser</w:t>
      </w:r>
      <w:r>
        <w:t xml:space="preserve"> </w:t>
      </w:r>
      <w:r>
        <w:t xml:space="preserve">“gatillados”</w:t>
      </w:r>
      <w:r>
        <w:t xml:space="preserve"> </w:t>
      </w:r>
      <w:r>
        <w:t xml:space="preserve">por muy diversas razones.</w:t>
      </w:r>
    </w:p>
    <w:p>
      <w:pPr>
        <w:pStyle w:val="BodyText"/>
      </w:pPr>
      <w:r>
        <w:t xml:space="preserve">Hecha esa acotación, es claro que el impacto de la política predominante en cada uno de estos períodos ha sido distinto tanto para México como para otros exportadores al mercado de EUA en términos del volumen y la composición de las exportaciones. A pesar de estas diferencias, hay una constante en términos del impacto regional en México: un pequeño conjunto de estados ha visto disminuir su participación en la economía exportadora en todos ellos, como se muestra en la Sección 4. La división entre</w:t>
      </w:r>
      <w:r>
        <w:t xml:space="preserve"> </w:t>
      </w:r>
      <w:r>
        <w:t xml:space="preserve">“dos Méxicos”</w:t>
      </w:r>
      <w:r>
        <w:t xml:space="preserve">, que ha sido objeto de amplia discusión en la literatura sobre el desarrollo mexicano .</w:t>
      </w:r>
    </w:p>
    <w:bookmarkEnd w:id="32"/>
    <w:bookmarkEnd w:id="33"/>
    <w:bookmarkStart w:id="48" w:name="X067df60ca32cc8002502336b6e3fe6d57a629a1"/>
    <w:p>
      <w:pPr>
        <w:pStyle w:val="Heading2"/>
      </w:pPr>
      <w:r>
        <w:t xml:space="preserve">2 El ascenso de México en el mercado de EUA.</w:t>
      </w:r>
    </w:p>
    <w:bookmarkStart w:id="38" w:name="X13c9f3aea16b83116c09b32b81bfc1712376537"/>
    <w:p>
      <w:pPr>
        <w:pStyle w:val="Heading3"/>
      </w:pPr>
      <w:r>
        <w:t xml:space="preserve">2.1 Cambio en las posiciones relativas de México y China</w:t>
      </w:r>
    </w:p>
    <w:p>
      <w:pPr>
        <w:pStyle w:val="FirstParagraph"/>
      </w:pPr>
      <w:r>
        <w:t xml:space="preserve">La manifestación más obvia de que los CGV centradas en Estados Unidos se están reorganizando, surge del examen de la evolución de sus importaciones según su país de origen. Este examen pone de manifiesto, de manera contundente, el impacto del NS sobre México y cómo este ha logrado aprovechar las oportunidades que se derivan de este fenómeno, pero también muestra que otros países están cerrando la brecha que los separa de México, y que mantener el liderazgo en ese mercado demandará de una política comercial calibrada con precisión, de negociaciones delicadas con los EUA, y de políticas públicas que permiten superar</w:t>
      </w:r>
      <w:r>
        <w:t xml:space="preserve"> </w:t>
      </w:r>
      <w:r>
        <w:t xml:space="preserve">“cuellos de botella”</w:t>
      </w:r>
      <w:r>
        <w:t xml:space="preserve"> </w:t>
      </w:r>
      <w:r>
        <w:t xml:space="preserve">que ha impedido un crecimiento más acelerado de las exportaciones mexicanas.</w:t>
      </w:r>
    </w:p>
    <w:p>
      <w:pPr>
        <w:pStyle w:val="BodyText"/>
      </w:pPr>
      <w:r>
        <w:t xml:space="preserve">En la</w:t>
      </w:r>
      <w:r>
        <w:t xml:space="preserve"> </w:t>
      </w:r>
      <w:hyperlink w:anchor="fig-ImpEUA-CHN-MEX">
        <w:r>
          <w:rPr>
            <w:rStyle w:val="Hyperlink"/>
          </w:rPr>
          <w:t xml:space="preserve">Figura 3</w:t>
        </w:r>
      </w:hyperlink>
      <w:r>
        <w:t xml:space="preserve"> </w:t>
      </w:r>
      <w:r>
        <w:t xml:space="preserve">se muestra la evolución de la participación en el mercado de importaciones de EUA de los sus dos principales proveedores: México y China.</w:t>
      </w:r>
    </w:p>
    <w:p>
      <w:pPr>
        <w:numPr>
          <w:ilvl w:val="0"/>
          <w:numId w:val="1003"/>
        </w:numPr>
      </w:pPr>
      <w:r>
        <w:t xml:space="preserve">Antes del inicio de la guerra comercial entre EUA y China, las exportaciones de México y China hacia ese país venían creciendo a un ritmo muy parecido: 5.1 y 5%, respectivamente. Aunque la tasa de crecimiento de las exportaciones mexicanas es ligeramente superior, no es suficiente para cerrar la brecha con China que, por el contrario, se amplía en este período.</w:t>
      </w:r>
    </w:p>
    <w:p>
      <w:pPr>
        <w:numPr>
          <w:ilvl w:val="0"/>
          <w:numId w:val="1003"/>
        </w:numPr>
      </w:pPr>
      <w:r>
        <w:t xml:space="preserve">Las cosas cambian de manera drástica entre 2018 y 2024: la tasa compuesta anual de crecimiento (TCAC) de China se contrae y alcanza un valor negativo, -3.4%, mientras que la TCAC de las exportaciones mexicanas sube a un 6.6%. El conflicto comercial entre EUA y China, y la imposición por parte de EUA de aranceles diferenciados a las importaciones provenientes de China, permitió a México, cuyas exportaciones durante este período se rigen por las reglas del T-MEC, superar a China y convertirse en el primer exportador de bienes a EUA.</w:t>
      </w:r>
    </w:p>
    <w:p>
      <w:pPr>
        <w:numPr>
          <w:ilvl w:val="0"/>
          <w:numId w:val="1003"/>
        </w:numPr>
      </w:pPr>
      <w:r>
        <w:t xml:space="preserve">Entre 2024 y 2025 el crecimiento de las exportaciones mexicanas sigue siendo notable, de 6.3%, apenas inferior al del período anterior, mientras que las exportaciones chinas colapsan, y se contraen en casi un 30%.</w:t>
      </w:r>
    </w:p>
    <w:p>
      <w:pPr>
        <w:pStyle w:val="FirstParagraph"/>
      </w:pPr>
      <w:r>
        <w:t xml:space="preserve">Una primera impresión, entonces, es que México se ha beneficiado tanto de la tendencia a la liberalización del comercio internacional que predominó hasta 2018 y de su participación en el NAFTA (hoy T-MEC) como del conflicto comercial entre EUA y China y de la nueva política arancelaria de EUA a partir de 2025, aunque con diferencias importantes en cada período.</w:t>
      </w:r>
    </w:p>
    <w:tbl>
      <w:tblPr>
        <w:tblStyle w:val="Table"/>
        <w:tblW w:type="pct" w:w="5000"/>
        <w:tblLayout w:type="fixed"/>
        <w:tblLook w:firstRow="0" w:lastRow="0" w:firstColumn="0" w:lastColumn="0" w:noHBand="0" w:noVBand="0" w:val="0000"/>
      </w:tblPr>
      <w:tblGrid>
        <w:gridCol w:w="7920"/>
      </w:tblGrid>
      <w:tr>
        <w:tc>
          <w:tcPr/>
          <w:bookmarkStart w:id="37" w:name="fig-ImpEUA-CHN-MEX"/>
          <w:p>
            <w:pPr>
              <w:jc w:val="center"/>
            </w:pPr>
            <w:pPr>
              <w:jc w:val="left"/>
              <w:spacing w:before="200"/>
              <w:pStyle w:val="ImageCaption"/>
            </w:pPr>
            <w:r>
              <w:t xml:space="preserve">Figura 3: EUA: importaciones mensuales desde China y México, 2010-2025</w:t>
            </w:r>
            <w:r>
              <w:t xml:space="preserve"> </w:t>
            </w:r>
            <w:r>
              <w:t xml:space="preserve">Miles de millones de dólares</w:t>
            </w:r>
          </w:p>
          <w:p>
            <w:pPr>
              <w:pStyle w:val="Compact"/>
              <w:jc w:val="center"/>
            </w:pPr>
            <w:r>
              <w:drawing>
                <wp:inline>
                  <wp:extent cx="5486400" cy="2992581"/>
                  <wp:effectExtent b="0" l="0" r="0" t="0"/>
                  <wp:docPr descr="" title="" id="35" name="Picture"/>
                  <a:graphic>
                    <a:graphicData uri="http://schemas.openxmlformats.org/drawingml/2006/picture">
                      <pic:pic>
                        <pic:nvPicPr>
                          <pic:cNvPr descr="../Plots/fig-ImpEUA-CHN-MEX.png" id="36" name="Picture"/>
                          <pic:cNvPicPr>
                            <a:picLocks noChangeArrowheads="1" noChangeAspect="1"/>
                          </pic:cNvPicPr>
                        </pic:nvPicPr>
                        <pic:blipFill>
                          <a:blip r:embed="rId34"/>
                          <a:stretch>
                            <a:fillRect/>
                          </a:stretch>
                        </pic:blipFill>
                        <pic:spPr bwMode="auto">
                          <a:xfrm>
                            <a:off x="0" y="0"/>
                            <a:ext cx="5486400" cy="2992581"/>
                          </a:xfrm>
                          <a:prstGeom prst="rect">
                            <a:avLst/>
                          </a:prstGeom>
                          <a:noFill/>
                          <a:ln w="9525">
                            <a:noFill/>
                            <a:headEnd/>
                            <a:tailEnd/>
                          </a:ln>
                        </pic:spPr>
                      </pic:pic>
                    </a:graphicData>
                  </a:graphic>
                </wp:inline>
              </w:drawing>
            </w:r>
          </w:p>
          <w:bookmarkEnd w:id="37"/>
        </w:tc>
      </w:tr>
    </w:tbl>
    <w:p>
      <w:pPr>
        <w:pStyle w:val="BodyText"/>
      </w:pPr>
      <w:r>
        <w:t xml:space="preserve">Es necesario hacer tres acotaciones para no dar un peso injustificadamente elevado a estos primeros datos:</w:t>
      </w:r>
    </w:p>
    <w:p>
      <w:pPr>
        <w:numPr>
          <w:ilvl w:val="0"/>
          <w:numId w:val="1004"/>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4"/>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4"/>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38"/>
    <w:bookmarkStart w:id="47" w:name="Xd58849e47162042bab17231fd758cc62705dc1c"/>
    <w:p>
      <w:pPr>
        <w:pStyle w:val="Heading3"/>
      </w:pPr>
      <w:r>
        <w:t xml:space="preserve">2.2 Otros participantes y estrellas emergentes</w:t>
      </w:r>
    </w:p>
    <w:p>
      <w:pPr>
        <w:pStyle w:val="FirstParagraph"/>
      </w:pPr>
      <w:r>
        <w:t xml:space="preserve">China y México son los dos exportadores más importantes a los EUA, pero no los únicos. Más importante: salvo que hubiese un cambio radical en el estado de las relaciones comerciales entre EUA y China, los principales retos competitivos para México en el mercado de EUA no vendrán de China, sino de otros países cuyas exportaciones están creciendo rápidamente, y en algunos casos justamente en los productos más importantes dentro de las exportaciones mexicanas.</w:t>
      </w:r>
    </w:p>
    <w:p>
      <w:pPr>
        <w:pStyle w:val="BodyText"/>
      </w:pPr>
      <w:r>
        <w:t xml:space="preserve">Es necesario, pues, ampliar la mirada. Con este propósito, se han identificado los 20 orígenes más importantes de las importaciones de Estados Unidos[^4] y los cambios en la participación de cada uno de ellos en los años finales de la globalización.</w:t>
      </w:r>
    </w:p>
    <w:p>
      <w:pPr>
        <w:pStyle w:val="BodyText"/>
      </w:pPr>
      <w:r>
        <w:t xml:space="preserve">Los ganadores y perdedores de cada unos de estos tres períodos se muestran en la</w:t>
      </w:r>
      <w:r>
        <w:t xml:space="preserve"> </w:t>
      </w:r>
      <w:hyperlink w:anchor="fig-imp-cambio-pais">
        <w:r>
          <w:rPr>
            <w:rStyle w:val="Hyperlink"/>
          </w:rPr>
          <w:t xml:space="preserve">Figura 4</w:t>
        </w:r>
      </w:hyperlink>
      <w:r>
        <w:t xml:space="preserve">:</w:t>
      </w:r>
    </w:p>
    <w:p>
      <w:pPr>
        <w:numPr>
          <w:ilvl w:val="0"/>
          <w:numId w:val="1005"/>
        </w:numPr>
      </w:pPr>
      <w:r>
        <w:t xml:space="preserve">En los años finales de la globalización, China,México y Vietnam son los principales ganadores. Las pérdidas de participación en el mercado de EUA tienen un pequeño impacto sobre Gran Bretaña y Japón, y un impacto considerable sobre Canadá, a pesar de su acceso preferencial a ese mercado.</w:t>
      </w:r>
    </w:p>
    <w:p>
      <w:pPr>
        <w:numPr>
          <w:ilvl w:val="0"/>
          <w:numId w:val="1005"/>
        </w:numPr>
      </w:pPr>
      <w:r>
        <w:t xml:space="preserve">Durante la primera fase del NS, Vietnam logra incrementar su participación a un ritmo mayor que México, y Taiwán pisa sus talones. El gran perdedor es, por supuesto, China.</w:t>
      </w:r>
    </w:p>
    <w:p>
      <w:pPr>
        <w:numPr>
          <w:ilvl w:val="0"/>
          <w:numId w:val="1005"/>
        </w:numPr>
      </w:pPr>
      <w:r>
        <w:t xml:space="preserve">Durante la segunda fase de la globalización, Taiwán y Vietnam siguen aumentando su participación y, bastante detrás de ellos, Tailandia. Las exportaciones suizas e irlandesas también se incrementan, pero principalmente en productos que no compiten directamente con las exportaciones mexicanas, por lo que resultan de menos interés para nuestro estudio. En términos relativos, la participación mexicana no sufre alteraciones.</w:t>
      </w:r>
    </w:p>
    <w:tbl>
      <w:tblPr>
        <w:tblStyle w:val="Table"/>
        <w:tblW w:type="pct" w:w="5000"/>
        <w:tblLayout w:type="fixed"/>
        <w:tblLook w:firstRow="0" w:lastRow="0" w:firstColumn="0" w:lastColumn="0" w:noHBand="0" w:noVBand="0" w:val="0000"/>
      </w:tblPr>
      <w:tblGrid>
        <w:gridCol w:w="7920"/>
      </w:tblGrid>
      <w:tr>
        <w:tc>
          <w:tcPr/>
          <w:bookmarkStart w:id="42" w:name="fig-imp-cambio-pais"/>
          <w:p>
            <w:pPr>
              <w:jc w:val="center"/>
            </w:pPr>
            <w:pPr>
              <w:jc w:val="left"/>
              <w:spacing w:before="200"/>
              <w:pStyle w:val="ImageCaption"/>
            </w:pPr>
            <w:r>
              <w:t xml:space="preserve">Figura 4: Cambios en la participación porcentual de los principales exportadores al mercado de EUA, 2010-2018, 2018-2024 y 2024-2025</w:t>
            </w:r>
          </w:p>
          <w:p>
            <w:pPr>
              <w:pStyle w:val="Compact"/>
              <w:jc w:val="center"/>
            </w:pPr>
            <w:r>
              <w:drawing>
                <wp:inline>
                  <wp:extent cx="5486400" cy="5143499"/>
                  <wp:effectExtent b="0" l="0" r="0" t="0"/>
                  <wp:docPr descr="" title="" id="40" name="Picture"/>
                  <a:graphic>
                    <a:graphicData uri="http://schemas.openxmlformats.org/drawingml/2006/picture">
                      <pic:pic>
                        <pic:nvPicPr>
                          <pic:cNvPr descr="../Plots/fig-imp-cambio-pais.png" id="41" name="Picture"/>
                          <pic:cNvPicPr>
                            <a:picLocks noChangeArrowheads="1" noChangeAspect="1"/>
                          </pic:cNvPicPr>
                        </pic:nvPicPr>
                        <pic:blipFill>
                          <a:blip r:embed="rId39"/>
                          <a:stretch>
                            <a:fillRect/>
                          </a:stretch>
                        </pic:blipFill>
                        <pic:spPr bwMode="auto">
                          <a:xfrm>
                            <a:off x="0" y="0"/>
                            <a:ext cx="5486400" cy="5143499"/>
                          </a:xfrm>
                          <a:prstGeom prst="rect">
                            <a:avLst/>
                          </a:prstGeom>
                          <a:noFill/>
                          <a:ln w="9525">
                            <a:noFill/>
                            <a:headEnd/>
                            <a:tailEnd/>
                          </a:ln>
                        </pic:spPr>
                      </pic:pic>
                    </a:graphicData>
                  </a:graphic>
                </wp:inline>
              </w:drawing>
            </w:r>
          </w:p>
          <w:bookmarkEnd w:id="42"/>
        </w:tc>
      </w:tr>
    </w:tbl>
    <w:p>
      <w:pPr>
        <w:pStyle w:val="BodyText"/>
      </w:pPr>
      <w:r>
        <w:t xml:space="preserve">Una última mirada al cambio en las importaciones de EUA por país de origen se presenta en la</w:t>
      </w:r>
      <w:r>
        <w:t xml:space="preserve"> </w:t>
      </w:r>
      <w:hyperlink w:anchor="fig-ImpEUA-shares">
        <w:r>
          <w:rPr>
            <w:rStyle w:val="Hyperlink"/>
          </w:rPr>
          <w:t xml:space="preserve">Figura 5</w:t>
        </w:r>
      </w:hyperlink>
      <w:r>
        <w:t xml:space="preserve">, en la que se incluye información únicamente para México, Taiwán y Vietnam. La participación tanto de Taiwán como de Vietnam es de aproximadamente 2% del mercado en 2018, mientras que la de México es de aproximadamente 12.5%. La participación de México alcanza el 15% en 2023 y se ha incrementado muy levemente desde entonces. En cambio, tanto Vietnam como Taiwán triplicaron su participación, que alcanza el 6% en 2025.</w:t>
      </w:r>
    </w:p>
    <w:p>
      <w:pPr>
        <w:pStyle w:val="BodyText"/>
      </w:pPr>
      <w:r>
        <w:t xml:space="preserve">Estos datos bastan para sugerir que estos dos países serán los principales rivales de México en el mercado de los EUA, pero la intensidad de esa rivalidad dependerá de si están compitiendo en los mismos mercados (es decir, si están exportando los mismos productos) en los que compite México. Este tema se aborda en el Capítulo 3. Allí también se examina la cuestión de el impacto diferenciado de las nuevos aranceles de EUA, por país y producto, que en muchos casos han resultado favorables para México, pero en otros lo han puesto en una situación de desventaja competitiva.</w:t>
      </w:r>
    </w:p>
    <w:p>
      <w:pPr>
        <w:pStyle w:val="BodyText"/>
      </w:pPr>
      <w:r>
        <w:t xml:space="preserve">El relativo estancamiento de las exportaciones mexicanas a EUA también puede ser explicado, en parte, por restricciones internas que le impiden sacar pleno provecho de sus oportunidades comerciales. Dos de estas posibles restricciones, acceso a energía y acceso a agua se examinan en los capítulos 6 y 7, respectivamente.</w:t>
      </w:r>
    </w:p>
    <w:tbl>
      <w:tblPr>
        <w:tblStyle w:val="Table"/>
        <w:tblW w:type="pct" w:w="5000"/>
        <w:tblLayout w:type="fixed"/>
        <w:tblLook w:firstRow="0" w:lastRow="0" w:firstColumn="0" w:lastColumn="0" w:noHBand="0" w:noVBand="0" w:val="0000"/>
      </w:tblPr>
      <w:tblGrid>
        <w:gridCol w:w="7920"/>
      </w:tblGrid>
      <w:tr>
        <w:tc>
          <w:tcPr/>
          <w:bookmarkStart w:id="46"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2010-2025</w:t>
            </w:r>
          </w:p>
          <w:p>
            <w:pPr>
              <w:pStyle w:val="Compact"/>
              <w:jc w:val="center"/>
            </w:pPr>
            <w:r>
              <w:drawing>
                <wp:inline>
                  <wp:extent cx="5486400" cy="2992581"/>
                  <wp:effectExtent b="0" l="0" r="0" t="0"/>
                  <wp:docPr descr="" title="" id="44" name="Picture"/>
                  <a:graphic>
                    <a:graphicData uri="http://schemas.openxmlformats.org/drawingml/2006/picture">
                      <pic:pic>
                        <pic:nvPicPr>
                          <pic:cNvPr descr="../Plots/imp_pais_perc.png" id="45" name="Picture"/>
                          <pic:cNvPicPr>
                            <a:picLocks noChangeArrowheads="1" noChangeAspect="1"/>
                          </pic:cNvPicPr>
                        </pic:nvPicPr>
                        <pic:blipFill>
                          <a:blip r:embed="rId43"/>
                          <a:stretch>
                            <a:fillRect/>
                          </a:stretch>
                        </pic:blipFill>
                        <pic:spPr bwMode="auto">
                          <a:xfrm>
                            <a:off x="0" y="0"/>
                            <a:ext cx="5486400" cy="2992581"/>
                          </a:xfrm>
                          <a:prstGeom prst="rect">
                            <a:avLst/>
                          </a:prstGeom>
                          <a:noFill/>
                          <a:ln w="9525">
                            <a:noFill/>
                            <a:headEnd/>
                            <a:tailEnd/>
                          </a:ln>
                        </pic:spPr>
                      </pic:pic>
                    </a:graphicData>
                  </a:graphic>
                </wp:inline>
              </w:drawing>
            </w:r>
          </w:p>
          <w:bookmarkEnd w:id="46"/>
        </w:tc>
      </w:tr>
    </w:tbl>
    <w:bookmarkEnd w:id="47"/>
    <w:bookmarkEnd w:id="48"/>
    <w:bookmarkStart w:id="69" w:name="X11fd1e698064750b7a2e21836c5a4f9897b1ccf"/>
    <w:p>
      <w:pPr>
        <w:pStyle w:val="Heading2"/>
      </w:pPr>
      <w:r>
        <w:t xml:space="preserve">3 Cambios en la composición de Las exportaciones mexicanas a EUA</w:t>
      </w:r>
    </w:p>
    <w:bookmarkStart w:id="58" w:name="por-sección-del-sa"/>
    <w:p>
      <w:pPr>
        <w:pStyle w:val="Heading3"/>
      </w:pPr>
      <w:r>
        <w:t xml:space="preserve">3.1 Por Sección del SA</w:t>
      </w:r>
    </w:p>
    <w:p>
      <w:pPr>
        <w:pStyle w:val="FirstParagraph"/>
      </w:pPr>
      <w:r>
        <w:t xml:space="preserve">El crecimiento de las exportaciones mexicanas a EUA quedó documentado en la sección anterior. Este crecimiento ha sido acompañado por un cambio sustancial de la composición de esas exportaciones, con diferentes sectores</w:t>
      </w:r>
      <w:r>
        <w:t xml:space="preserve"> </w:t>
      </w:r>
      <w:r>
        <w:t xml:space="preserve">“ganadores”</w:t>
      </w:r>
      <w:r>
        <w:t xml:space="preserve"> </w:t>
      </w:r>
      <w:r>
        <w:t xml:space="preserve">o</w:t>
      </w:r>
      <w:r>
        <w:t xml:space="preserve"> </w:t>
      </w:r>
      <w:r>
        <w:t xml:space="preserve">“perdedores”</w:t>
      </w:r>
      <w:r>
        <w:t xml:space="preserve"> </w:t>
      </w:r>
      <w:r>
        <w:t xml:space="preserve">(en el sentido de sectores cuya participación porcentual dentro del total de exportaciones mexicanas período aumentó o disminuyó) en cada período.</w:t>
      </w:r>
    </w:p>
    <w:p>
      <w:pPr>
        <w:pStyle w:val="BodyText"/>
      </w:pPr>
      <w:r>
        <w:t xml:space="preserve">La</w:t>
      </w:r>
      <w:r>
        <w:t xml:space="preserve"> </w:t>
      </w:r>
      <w:hyperlink w:anchor="fig-imp-cambio-sec-mex">
        <w:r>
          <w:rPr>
            <w:rStyle w:val="Hyperlink"/>
          </w:rPr>
          <w:t xml:space="preserve">Figura 6</w:t>
        </w:r>
      </w:hyperlink>
      <w:r>
        <w:t xml:space="preserve"> </w:t>
      </w:r>
      <w:r>
        <w:t xml:space="preserve">permite visualizar claramente estos cambios.</w:t>
      </w:r>
    </w:p>
    <w:p>
      <w:pPr>
        <w:numPr>
          <w:ilvl w:val="0"/>
          <w:numId w:val="1006"/>
        </w:numPr>
      </w:pPr>
      <w:r>
        <w:t xml:space="preserve">Entre 2010 y 2018, Las exportaciones de la Sección XVI, Material de transporte, ganan casi 10 puntos porcentuales de participación, mientras que las de la Sección V, Productos Minerales, se contraer casi exactamente en la misma proporción.</w:t>
      </w:r>
    </w:p>
    <w:p>
      <w:pPr>
        <w:numPr>
          <w:ilvl w:val="0"/>
          <w:numId w:val="1006"/>
        </w:numPr>
      </w:pPr>
      <w:r>
        <w:t xml:space="preserve">La dinámica cambia en el período siguiente: el crecimiento en participación porcentual es liderado por la Sección XVII, Máquinas y aparatos eléctricos y por la IV, Alimentos.La Sección V, Productos minerales, continúa disminuyendo su participación.</w:t>
      </w:r>
    </w:p>
    <w:p>
      <w:pPr>
        <w:numPr>
          <w:ilvl w:val="0"/>
          <w:numId w:val="1006"/>
        </w:numPr>
      </w:pPr>
      <w:r>
        <w:t xml:space="preserve">En el último período, 2024-2025, se acelera notoriamente el crecimiento de la Sección XVI, Máquinas y aparatos eléctricos, mientras que la Seccion XVII, Material de transporte, acuso un duro golpe.</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49"/>
      </w:r>
      <w:r>
        <w:t xml:space="preserve">. A priori, no hubiera parecido probable que el giro proteccionista en la politica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53" w:name="fig-imp-cambio-sec-mex"/>
          <w:p>
            <w:pPr>
              <w:jc w:val="center"/>
            </w:pPr>
            <w:pPr>
              <w:jc w:val="left"/>
              <w:spacing w:before="200"/>
              <w:pStyle w:val="ImageCaption"/>
            </w:pPr>
            <w:r>
              <w:t xml:space="preserve">Figura 6: Cambios en la participación porcentual por Secciones de las exportaciones mexicanas a EUA, 2010-2018, 2018-2024, y 2024-2025</w:t>
            </w:r>
          </w:p>
          <w:p>
            <w:pPr>
              <w:pStyle w:val="Compact"/>
              <w:jc w:val="center"/>
            </w:pPr>
            <w:r>
              <w:drawing>
                <wp:inline>
                  <wp:extent cx="5486400" cy="5143499"/>
                  <wp:effectExtent b="0" l="0" r="0" t="0"/>
                  <wp:docPr descr="" title="" id="51" name="Picture"/>
                  <a:graphic>
                    <a:graphicData uri="http://schemas.openxmlformats.org/drawingml/2006/picture">
                      <pic:pic>
                        <pic:nvPicPr>
                          <pic:cNvPr descr="../Plots/fig-imp-cambio-sec-mex.png" id="52" name="Picture"/>
                          <pic:cNvPicPr>
                            <a:picLocks noChangeArrowheads="1" noChangeAspect="1"/>
                          </pic:cNvPicPr>
                        </pic:nvPicPr>
                        <pic:blipFill>
                          <a:blip r:embed="rId50"/>
                          <a:stretch>
                            <a:fillRect/>
                          </a:stretch>
                        </pic:blipFill>
                        <pic:spPr bwMode="auto">
                          <a:xfrm>
                            <a:off x="0" y="0"/>
                            <a:ext cx="5486400" cy="5143499"/>
                          </a:xfrm>
                          <a:prstGeom prst="rect">
                            <a:avLst/>
                          </a:prstGeom>
                          <a:noFill/>
                          <a:ln w="9525">
                            <a:noFill/>
                            <a:headEnd/>
                            <a:tailEnd/>
                          </a:ln>
                        </pic:spPr>
                      </pic:pic>
                    </a:graphicData>
                  </a:graphic>
                </wp:inline>
              </w:drawing>
            </w:r>
          </w:p>
          <w:bookmarkEnd w:id="53"/>
        </w:tc>
      </w:tr>
    </w:tbl>
    <w:p>
      <w:pPr>
        <w:pStyle w:val="BodyText"/>
      </w:pPr>
      <w:r>
        <w:t xml:space="preserve">El resultado de este proceso es un portafolio exportador concentrado en las secciones XVI y XVII del Sistema Armonizado, que representan el 69% del total de exportaciones mexicanas en 2025, sequidas por la sección VIII, que representa un 5% adicional, para un total de 74%. Las demás secciones tienen una participación pequeña y en general su evolución no está relacionada con el NS. La</w:t>
      </w:r>
      <w:r>
        <w:t xml:space="preserve"> </w:t>
      </w:r>
      <w:hyperlink w:anchor="fig-tree-sec">
        <w:r>
          <w:rPr>
            <w:rStyle w:val="Hyperlink"/>
          </w:rPr>
          <w:t xml:space="preserve">Figura 7</w:t>
        </w:r>
      </w:hyperlink>
      <w:r>
        <w:t xml:space="preserve"> </w:t>
      </w:r>
      <w:r>
        <w:t xml:space="preserve">permite visualizar esta distribución.</w:t>
      </w:r>
    </w:p>
    <w:tbl>
      <w:tblPr>
        <w:tblStyle w:val="Table"/>
        <w:tblW w:type="pct" w:w="5000"/>
        <w:tblLayout w:type="fixed"/>
        <w:tblLook w:firstRow="0" w:lastRow="0" w:firstColumn="0" w:lastColumn="0" w:noHBand="0" w:noVBand="0" w:val="0000"/>
      </w:tblPr>
      <w:tblGrid>
        <w:gridCol w:w="7920"/>
      </w:tblGrid>
      <w:tr>
        <w:tc>
          <w:tcPr/>
          <w:bookmarkStart w:id="57" w:name="fig-tree-sec"/>
          <w:p>
            <w:pPr>
              <w:jc w:val="center"/>
            </w:pPr>
            <w:pPr>
              <w:jc w:val="left"/>
              <w:spacing w:before="200"/>
              <w:pStyle w:val="ImageCaption"/>
            </w:pPr>
            <w:r>
              <w:t xml:space="preserve">Figura 7: Distribución porcentual de las exportaciones de México a EUA, 2025</w:t>
            </w:r>
          </w:p>
          <w:p>
            <w:pPr>
              <w:pStyle w:val="Compact"/>
              <w:jc w:val="center"/>
            </w:pPr>
            <w:r>
              <w:drawing>
                <wp:inline>
                  <wp:extent cx="5486400" cy="2992581"/>
                  <wp:effectExtent b="0" l="0" r="0" t="0"/>
                  <wp:docPr descr="" title="" id="55" name="Picture"/>
                  <a:graphic>
                    <a:graphicData uri="http://schemas.openxmlformats.org/drawingml/2006/picture">
                      <pic:pic>
                        <pic:nvPicPr>
                          <pic:cNvPr descr="../Plots/impMex_sec_perc.png" id="56" name="Picture"/>
                          <pic:cNvPicPr>
                            <a:picLocks noChangeArrowheads="1" noChangeAspect="1"/>
                          </pic:cNvPicPr>
                        </pic:nvPicPr>
                        <pic:blipFill>
                          <a:blip r:embed="rId54"/>
                          <a:stretch>
                            <a:fillRect/>
                          </a:stretch>
                        </pic:blipFill>
                        <pic:spPr bwMode="auto">
                          <a:xfrm>
                            <a:off x="0" y="0"/>
                            <a:ext cx="5486400" cy="2992581"/>
                          </a:xfrm>
                          <a:prstGeom prst="rect">
                            <a:avLst/>
                          </a:prstGeom>
                          <a:noFill/>
                          <a:ln w="9525">
                            <a:noFill/>
                            <a:headEnd/>
                            <a:tailEnd/>
                          </a:ln>
                        </pic:spPr>
                      </pic:pic>
                    </a:graphicData>
                  </a:graphic>
                </wp:inline>
              </w:drawing>
            </w:r>
          </w:p>
          <w:bookmarkEnd w:id="57"/>
        </w:tc>
      </w:tr>
    </w:tbl>
    <w:bookmarkEnd w:id="58"/>
    <w:bookmarkStart w:id="67" w:name="por-capítulo-y-partida-del-sa"/>
    <w:p>
      <w:pPr>
        <w:pStyle w:val="Heading3"/>
      </w:pPr>
      <w:r>
        <w:t xml:space="preserve">3.2 Por Capítulo y Partida del SA</w:t>
      </w:r>
    </w:p>
    <w:p>
      <w:pPr>
        <w:pStyle w:val="FirstParagraph"/>
      </w:pPr>
      <w:r>
        <w:t xml:space="preserve">El siguiente nivel de desagregación en el SA, tras las Secciones, son los Capítulos. Sin embargo, como lo muestra la</w:t>
      </w:r>
      <w:r>
        <w:t xml:space="preserve"> </w:t>
      </w:r>
      <w:hyperlink w:anchor="fig-treemap-caps-seccion">
        <w:r>
          <w:rPr>
            <w:rStyle w:val="Hyperlink"/>
          </w:rPr>
          <w:t xml:space="preserve">Figura 8</w:t>
        </w:r>
      </w:hyperlink>
      <w:r>
        <w:t xml:space="preserve">, las exportaciones de las tres Secciones en las que se concentran las exportaciones mexicanas a EUA se distribuyen en tan solo cuatro Capítulos, de manera que más informativo que detenernos en el examen de la distribución de las exportaciones por Capítulo, dentro de cada Sección, procederemos directamente al análisis de la evolución de las exportaciones por Partida, dentro de cada uno de esos cuatro capítulos.</w:t>
      </w:r>
    </w:p>
    <w:tbl>
      <w:tblPr>
        <w:tblStyle w:val="Table"/>
        <w:tblW w:type="pct" w:w="5000"/>
        <w:tblLayout w:type="fixed"/>
        <w:tblLook w:firstRow="0" w:lastRow="0" w:firstColumn="0" w:lastColumn="0" w:noHBand="0" w:noVBand="0" w:val="0000"/>
      </w:tblPr>
      <w:tblGrid>
        <w:gridCol w:w="7920"/>
      </w:tblGrid>
      <w:tr>
        <w:tc>
          <w:tcPr/>
          <w:bookmarkStart w:id="62" w:name="fig-treemap-caps-seccion"/>
          <w:p>
            <w:pPr>
              <w:jc w:val="center"/>
            </w:pPr>
            <w:pPr>
              <w:jc w:val="left"/>
              <w:spacing w:before="200"/>
              <w:pStyle w:val="ImageCaption"/>
            </w:pPr>
            <w:r>
              <w:t xml:space="preserve">Figura 8: México: distribución por capítulo de las exportaciones de Maquinaria, Transporte e Instrumentos, 2025</w:t>
            </w:r>
          </w:p>
          <w:p>
            <w:pPr>
              <w:pStyle w:val="Compact"/>
              <w:jc w:val="center"/>
            </w:pPr>
            <w:r>
              <w:drawing>
                <wp:inline>
                  <wp:extent cx="5486400" cy="2992581"/>
                  <wp:effectExtent b="0" l="0" r="0" t="0"/>
                  <wp:docPr descr="" title="" id="60" name="Picture"/>
                  <a:graphic>
                    <a:graphicData uri="http://schemas.openxmlformats.org/drawingml/2006/picture">
                      <pic:pic>
                        <pic:nvPicPr>
                          <pic:cNvPr descr="../Plots/fig-treemap-caps-seccion.png" id="61" name="Picture"/>
                          <pic:cNvPicPr>
                            <a:picLocks noChangeArrowheads="1" noChangeAspect="1"/>
                          </pic:cNvPicPr>
                        </pic:nvPicPr>
                        <pic:blipFill>
                          <a:blip r:embed="rId59"/>
                          <a:stretch>
                            <a:fillRect/>
                          </a:stretch>
                        </pic:blipFill>
                        <pic:spPr bwMode="auto">
                          <a:xfrm>
                            <a:off x="0" y="0"/>
                            <a:ext cx="5486400" cy="2992581"/>
                          </a:xfrm>
                          <a:prstGeom prst="rect">
                            <a:avLst/>
                          </a:prstGeom>
                          <a:noFill/>
                          <a:ln w="9525">
                            <a:noFill/>
                            <a:headEnd/>
                            <a:tailEnd/>
                          </a:ln>
                        </pic:spPr>
                      </pic:pic>
                    </a:graphicData>
                  </a:graphic>
                </wp:inline>
              </w:drawing>
            </w:r>
          </w:p>
          <w:bookmarkEnd w:id="62"/>
        </w:tc>
      </w:tr>
    </w:tbl>
    <w:p>
      <w:pPr>
        <w:pStyle w:val="BodyText"/>
      </w:pPr>
      <w:r>
        <w:t xml:space="preserve">Con ese propósito, se procedió de la siguiente manera: se identificaron las 50 partidas de exportación de México más importantes de México en 2024-2025. Se eliminaron las que correspondían a Secciones que no son de interés desde el punto de vista de NS, con el resultado de una lista de 30 partidas, distribuidas en cuatro capítulos del SA: Maquinaria, Eléctrico, Automóviles y Óptica.</w:t>
      </w:r>
    </w:p>
    <w:p>
      <w:pPr>
        <w:pStyle w:val="BodyText"/>
      </w:pPr>
      <w:r>
        <w:t xml:space="preserve">Se identificaron además las 50 partidas que mostraron el mayor crecimiento entre 2010 y 2025. En todos los casos, el punto de partida era muy baja, y el volumen aún en 2025 aún muy pequeño, por lo que ninguna de ellas se incluyó en el análisis.</w:t>
      </w:r>
    </w:p>
    <w:p>
      <w:pPr>
        <w:pStyle w:val="BodyText"/>
      </w:pPr>
      <w:r>
        <w:t xml:space="preserve">Los resultados de este proceso de selección se resumen en las tablas siguientes, una por capítulo. Las Partidas identificadas de manera individual representan el 83.9% de las exportaciones del capitulo 85, el 82.5% de las exportaciones del Capítulo 85, el 91.9% de las exportaciones del Capítulo 87, y el 83.3% de las exportaciones del Capítulo 90. Sumadas, equivalen al 64.5% de las exportaciones mexicanas a EUA en 2025. En el Anexo 7.1 se presenta esta misma información gráficamente, pero en términos de índices en vez de valores absolutos, y se identifican los puntos de quiebre de tendencia para cada Partida.</w:t>
      </w:r>
    </w:p>
    <w:p>
      <w:pPr>
        <w:pStyle w:val="BodyText"/>
      </w:pPr>
      <w:r>
        <w:t xml:space="preserve">En las tablas se destacan en amarillo las partidas que crecieron más rápidamente en 2024-2025 que en 2018-2024. Solo seis partidas tienen este atributo:</w:t>
      </w:r>
    </w:p>
    <w:p>
      <w:pPr>
        <w:pStyle w:val="Compact"/>
        <w:numPr>
          <w:ilvl w:val="0"/>
          <w:numId w:val="1007"/>
        </w:numPr>
      </w:pPr>
      <w:r>
        <w:t xml:space="preserve">8471, Computadoras</w:t>
      </w:r>
    </w:p>
    <w:p>
      <w:pPr>
        <w:pStyle w:val="Compact"/>
        <w:numPr>
          <w:ilvl w:val="0"/>
          <w:numId w:val="1007"/>
        </w:numPr>
      </w:pPr>
      <w:r>
        <w:t xml:space="preserve">8418, Equipo de refrigeración</w:t>
      </w:r>
    </w:p>
    <w:p>
      <w:pPr>
        <w:pStyle w:val="Compact"/>
        <w:numPr>
          <w:ilvl w:val="0"/>
          <w:numId w:val="1007"/>
        </w:numPr>
      </w:pPr>
      <w:r>
        <w:t xml:space="preserve">8407, Motores</w:t>
      </w:r>
    </w:p>
    <w:p>
      <w:pPr>
        <w:pStyle w:val="Compact"/>
        <w:numPr>
          <w:ilvl w:val="0"/>
          <w:numId w:val="1007"/>
        </w:numPr>
      </w:pPr>
      <w:r>
        <w:t xml:space="preserve">8517, Teléfonos</w:t>
      </w:r>
    </w:p>
    <w:p>
      <w:pPr>
        <w:pStyle w:val="Compact"/>
        <w:numPr>
          <w:ilvl w:val="0"/>
          <w:numId w:val="1007"/>
        </w:numPr>
      </w:pPr>
      <w:r>
        <w:t xml:space="preserve">8543, Maquinaria Eléctrica</w:t>
      </w:r>
    </w:p>
    <w:p>
      <w:pPr>
        <w:pStyle w:val="Compact"/>
        <w:numPr>
          <w:ilvl w:val="0"/>
          <w:numId w:val="1007"/>
        </w:numPr>
      </w:pPr>
      <w:r>
        <w:t xml:space="preserve">8544, Cables eléctricos</w:t>
      </w:r>
    </w:p>
    <w:p>
      <w:pPr>
        <w:pStyle w:val="FirstParagraph"/>
      </w:pPr>
      <w:r>
        <w:t xml:space="preserve">Las tres primeras partidas equivalen al 18.8% de las exportaciones mexicanas a EUA en 2025, y las tres últimas al 6.8%. Las demás partidas, equivalentes al 38.9% de las exportaciones mexicanas en 2025, vieron su crecimiento</w:t>
      </w:r>
      <w:r>
        <w:t xml:space="preserve"> </w:t>
      </w:r>
      <w:r>
        <w:rPr>
          <w:b/>
          <w:bCs/>
        </w:rPr>
        <w:t xml:space="preserve">reducirse</w:t>
      </w:r>
      <w:r>
        <w:t xml:space="preserve"> </w:t>
      </w:r>
      <w:r>
        <w:t xml:space="preserve">en 2024-2025 con respecto a 2018-2024. casi el 90% de las exportaciones de Maquinaria, el 83% de las de Eléctrico, 99% de Automóviles y 53% de Óptica. En conjunto representan aproximadamente el 63% de las exportaciones mexicanas a EUA en 2024-2025.</w:t>
      </w:r>
    </w:p>
    <w:p>
      <w:pPr>
        <w:pStyle w:val="BodyText"/>
      </w:pPr>
      <w:r>
        <w:t xml:space="preserve">Una acotación importante es que en este capítulo nos limitamos a registrar los cambios en las exportaciones por Partida, y si bien se identifican los casos en que esos cambios están correlacionados con cambios en la política comercial de los EUA, no se identifican los cambios en las tarifas específicas enfrentadas por cada producto. Esa tarea se aborda en el Capítulo 3.</w:t>
      </w:r>
    </w:p>
    <w:p>
      <w:pPr>
        <w:pStyle w:val="BodyText"/>
      </w:pPr>
      <w:r>
        <w:t xml:space="preserve">Empezamos con el</w:t>
      </w:r>
      <w:r>
        <w:t xml:space="preserve"> </w:t>
      </w:r>
      <w:r>
        <w:rPr>
          <w:b/>
          <w:bCs/>
        </w:rPr>
        <w:t xml:space="preserve">Capítulo 84</w:t>
      </w:r>
      <w:r>
        <w:t xml:space="preserve">, Maquinaria.</w:t>
      </w:r>
    </w:p>
    <w:p>
      <w:pPr>
        <w:numPr>
          <w:ilvl w:val="0"/>
          <w:numId w:val="1008"/>
        </w:numPr>
      </w:pPr>
      <w:r>
        <w:t xml:space="preserve">Tres partidas individuales, más la partida residual (Resto), que en conjunto representan el 83.1% de las exportaciones del Capítulo, crecen más rápidamente en 2024-2025 que en el período anterior. Este Capítulo es el gran ganador de la nueva politica arancelaria de EUA. La estructura arancelaria que facilita este crecimiento se examina con detalla en el Capítulo 3 de este libro.</w:t>
      </w:r>
    </w:p>
    <w:p>
      <w:pPr>
        <w:numPr>
          <w:ilvl w:val="0"/>
          <w:numId w:val="1008"/>
        </w:numPr>
      </w:pPr>
      <w:r>
        <w:t xml:space="preserve">Las exportaciones del capítulo están altamente concentradas: la partida 8471 representa prácticamente el 60% de las exportaciones del Capítulo, y tuvo un crecimiento extraordinario, del 86%, en el último período.</w:t>
      </w:r>
    </w:p>
    <w:p>
      <w:pPr>
        <w:numPr>
          <w:ilvl w:val="0"/>
          <w:numId w:val="1008"/>
        </w:numPr>
      </w:pPr>
      <w:r>
        <w:t xml:space="preserve">Las partidas 8481 y 8409, aunque de menor preso, tienen un crecimiento superior al 4%, y al igual que las tres primeras partidas y la categoría residual, crecen en los tres períodos incluidos en la tabla.</w:t>
      </w:r>
    </w:p>
    <w:tbl>
      <w:tblPr>
        <w:tblStyle w:val="Table"/>
        <w:tblW w:type="pct" w:w="5000"/>
        <w:tblLayout w:type="fixed"/>
        <w:tblLook w:firstRow="0" w:lastRow="0" w:firstColumn="0" w:lastColumn="0" w:noHBand="0" w:noVBand="0" w:val="0000"/>
      </w:tblPr>
      <w:tblGrid>
        <w:gridCol w:w="7920"/>
      </w:tblGrid>
      <w:tr>
        <w:tc>
          <w:tcPr/>
          <w:bookmarkStart w:id="63" w:name="tbl-cap84"/>
          <w:p>
            <w:pPr>
              <w:jc w:val="center"/>
            </w:pPr>
            <w:pPr>
              <w:jc w:val="left"/>
              <w:spacing w:before="200"/>
              <w:pStyle w:val="ImageCaption"/>
            </w:pPr>
            <w:r>
              <w:t xml:space="preserve">Tabla 1: Capítulo 84: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92"/>
              <w:gridCol w:w="1554"/>
              <w:gridCol w:w="937"/>
              <w:gridCol w:w="937"/>
              <w:gridCol w:w="937"/>
              <w:gridCol w:w="683"/>
              <w:gridCol w:w="789"/>
              <w:gridCol w:w="683"/>
              <w:gridCol w:w="789"/>
            </w:tblGrid>
            <w:tr>
              <w:trPr>
                <w:trHeight w:val="359"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Total, 2025</w:t>
                  </w:r>
                </w:p>
              </w:tc>
            </w:tr>
            <w:tr>
              <w:trPr>
                <w:trHeight w:val="359"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8471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Computadoras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9.7%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10.6%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86.0%</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59.9%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59.9%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16.8%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16.8%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18.0%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Motores a gasolina</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67.0%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18.8%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19.5%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Partes de motores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23.6%</w:t>
                  </w:r>
                </w:p>
              </w:tc>
            </w:tr>
            <w:tr>
              <w:trPr>
                <w:trHeight w:val="359"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5.5%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10.9%</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16.1%</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28.1%</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3"/>
        </w:tc>
      </w:tr>
    </w:tbl>
    <w:p>
      <w:pPr>
        <w:pStyle w:val="BodyText"/>
      </w:pPr>
      <w:r>
        <w:t xml:space="preserve">Continuamos con el</w:t>
      </w:r>
      <w:r>
        <w:t xml:space="preserve"> </w:t>
      </w:r>
      <w:r>
        <w:rPr>
          <w:b/>
          <w:bCs/>
        </w:rPr>
        <w:t xml:space="preserve">Capítulo 85</w:t>
      </w:r>
      <w:r>
        <w:t xml:space="preserve">, Maquinaria y equipo eléctrico.</w:t>
      </w:r>
    </w:p>
    <w:p>
      <w:pPr>
        <w:numPr>
          <w:ilvl w:val="0"/>
          <w:numId w:val="1009"/>
        </w:numPr>
      </w:pPr>
      <w:r>
        <w:t xml:space="preserve">Aunque el peso de las partidas individuales es relativamente bajo, el capítulo representó el 17% de las exportaciones mexicanas a EUA en 2025.</w:t>
      </w:r>
    </w:p>
    <w:p>
      <w:pPr>
        <w:numPr>
          <w:ilvl w:val="0"/>
          <w:numId w:val="1009"/>
        </w:numPr>
      </w:pPr>
      <w:r>
        <w:t xml:space="preserve">Es un Capitulo cuyas exportaciones por Partida están mucho menos concentradas que las del Capítulo 84. Solo hay tres Partidas con uns participación mayor al 10% del total del Capítulo y ninguna de ellas alcanza el 20% del total.</w:t>
      </w:r>
    </w:p>
    <w:p>
      <w:pPr>
        <w:numPr>
          <w:ilvl w:val="0"/>
          <w:numId w:val="1009"/>
        </w:numPr>
      </w:pPr>
      <w:r>
        <w:t xml:space="preserve">Tres partidas exhiben un crecimiento notable en 2024-2025: 8517, Teléfonos; 8543, Maquinaria eléctrica especial, un 17.5%, y Cables eléctricos, un 9.1%.</w:t>
      </w:r>
    </w:p>
    <w:p>
      <w:pPr>
        <w:numPr>
          <w:ilvl w:val="0"/>
          <w:numId w:val="1009"/>
        </w:numPr>
      </w:pPr>
      <w:r>
        <w:t xml:space="preserve">El 83% de las exportaciones del Capítulo muestran una tasa de crecimiento positiva en 2024-2025.</w:t>
      </w:r>
    </w:p>
    <w:tbl>
      <w:tblPr>
        <w:tblStyle w:val="Table"/>
        <w:tblW w:type="pct" w:w="5000"/>
        <w:tblLayout w:type="fixed"/>
        <w:tblLook w:firstRow="0" w:lastRow="0" w:firstColumn="0" w:lastColumn="0" w:noHBand="0" w:noVBand="0" w:val="0000"/>
      </w:tblPr>
      <w:tblGrid>
        <w:gridCol w:w="7920"/>
      </w:tblGrid>
      <w:tr>
        <w:tc>
          <w:tcPr/>
          <w:bookmarkStart w:id="64" w:name="tbl-cap85"/>
          <w:p>
            <w:pPr>
              <w:jc w:val="center"/>
            </w:pPr>
            <w:pPr>
              <w:jc w:val="left"/>
              <w:spacing w:before="200"/>
              <w:pStyle w:val="ImageCaption"/>
            </w:pPr>
            <w:r>
              <w:t xml:space="preserve">Tabla 2: Capítulo 85: Maquinaria y equipo eléctrico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92"/>
              <w:gridCol w:w="1680"/>
              <w:gridCol w:w="937"/>
              <w:gridCol w:w="937"/>
              <w:gridCol w:w="937"/>
              <w:gridCol w:w="683"/>
              <w:gridCol w:w="789"/>
              <w:gridCol w:w="599"/>
              <w:gridCol w:w="789"/>
            </w:tblGrid>
            <w:tr>
              <w:trPr>
                <w:trHeight w:val="359"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Total, 2025</w:t>
                  </w:r>
                </w:p>
              </w:tc>
            </w:tr>
            <w:tr>
              <w:trPr>
                <w:trHeight w:val="359"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8517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Teléfonos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0.1%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24.6%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14.5%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14.5%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3.4%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6.8%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Transformadores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13.5%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14.0%</w:t>
                  </w:r>
                </w:p>
              </w:tc>
            </w:tr>
            <w:tr>
              <w:trPr>
                <w:trHeight w:val="35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17.0%</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4"/>
        </w:tc>
      </w:tr>
    </w:tbl>
    <w:p>
      <w:pPr>
        <w:pStyle w:val="BodyText"/>
      </w:pPr>
      <w:r>
        <w:t xml:space="preserve">El panorama es muy distinto para el</w:t>
      </w:r>
      <w:r>
        <w:t xml:space="preserve"> </w:t>
      </w:r>
      <w:r>
        <w:rPr>
          <w:b/>
          <w:bCs/>
        </w:rPr>
        <w:t xml:space="preserve">Capitulo 87</w:t>
      </w:r>
      <w:r>
        <w:t xml:space="preserve">. Como vimos antes, la Sección XVII, Material de Transporte, fue la de más rápido crecimiento en el período 2010-2018, y el Capítulo 87, que comprende autopartes, cambios y automóviles, representa casi la totalidad de las exportaciones de esta Sección. En contraste con lo sucedido en 2010-2018, todas las partidas del Capítulo 87 se contraen en 2024 - 2025.</w:t>
      </w:r>
    </w:p>
    <w:tbl>
      <w:tblPr>
        <w:tblStyle w:val="Table"/>
        <w:tblW w:type="pct" w:w="5000"/>
        <w:tblLayout w:type="fixed"/>
        <w:tblLook w:firstRow="0" w:lastRow="0" w:firstColumn="0" w:lastColumn="0" w:noHBand="0" w:noVBand="0" w:val="0000"/>
      </w:tblPr>
      <w:tblGrid>
        <w:gridCol w:w="7920"/>
      </w:tblGrid>
      <w:tr>
        <w:tc>
          <w:tcPr/>
          <w:bookmarkStart w:id="65" w:name="tbl-cap87"/>
          <w:p>
            <w:pPr>
              <w:jc w:val="center"/>
            </w:pPr>
            <w:pPr>
              <w:jc w:val="left"/>
              <w:spacing w:before="200"/>
              <w:pStyle w:val="ImageCaption"/>
            </w:pPr>
            <w:r>
              <w:t xml:space="preserve">Tabla 3: Capítulo 87: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1133"/>
              <w:gridCol w:w="1049"/>
              <w:gridCol w:w="1049"/>
              <w:gridCol w:w="1049"/>
              <w:gridCol w:w="711"/>
              <w:gridCol w:w="877"/>
              <w:gridCol w:w="622"/>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2025</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Autopartes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Camiones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12.9%</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Automóviles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21.2%</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23.1%</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5"/>
        </w:tc>
      </w:tr>
    </w:tbl>
    <w:p>
      <w:pPr>
        <w:pStyle w:val="BodyText"/>
      </w:pPr>
      <w:r>
        <w:t xml:space="preserve">Finalmente, exploramos el comportamiento del</w:t>
      </w:r>
      <w:r>
        <w:t xml:space="preserve"> </w:t>
      </w:r>
      <w:r>
        <w:rPr>
          <w:b/>
          <w:bCs/>
        </w:rPr>
        <w:t xml:space="preserve">Capítulo 90</w:t>
      </w:r>
      <w:r>
        <w:t xml:space="preserve">. Al igual que en el caso del Capítulo 84, las exportaciones están fuertemente concentradas en una única partida, 9018, Instrumentos médicos, que representa el 53.7% de sus exportaciones. Únicamente esta partida, y la 9019, Aparatos para terapia, muestran un crecimiento fuerte en el último período. En las demas, el crecimiento es o muy cercando a cero, o en la mayor parte de los casos, negativo, como se muestra en la</w:t>
      </w:r>
      <w:r>
        <w:t xml:space="preserve"> </w:t>
      </w:r>
      <w:hyperlink w:anchor="tbl-cap90">
        <w:r>
          <w:rPr>
            <w:rStyle w:val="Hyperlink"/>
          </w:rPr>
          <w:t xml:space="preserve">Tabla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tbl-cap90"/>
          <w:p>
            <w:pPr>
              <w:jc w:val="center"/>
            </w:pPr>
            <w:pPr>
              <w:jc w:val="left"/>
              <w:spacing w:before="200"/>
              <w:pStyle w:val="ImageCaption"/>
            </w:pPr>
            <w:r>
              <w:t xml:space="preserve">Tabla 4: Capítulo 90: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92"/>
              <w:gridCol w:w="1603"/>
              <w:gridCol w:w="937"/>
              <w:gridCol w:w="937"/>
              <w:gridCol w:w="937"/>
              <w:gridCol w:w="683"/>
              <w:gridCol w:w="789"/>
              <w:gridCol w:w="599"/>
              <w:gridCol w:w="789"/>
            </w:tblGrid>
            <w:tr>
              <w:trPr>
                <w:trHeight w:val="359"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Total, 2025</w:t>
                  </w:r>
                </w:p>
              </w:tc>
            </w:tr>
            <w:tr>
              <w:trPr>
                <w:trHeight w:val="359"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 acum.</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Aparatos de terapia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Instrumentos médicos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Flujo, nivel y 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Ortopedia y audífonos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3.7%</w:t>
                  </w:r>
                </w:p>
              </w:tc>
            </w:tr>
            <w:tr>
              <w:trPr>
                <w:trHeight w:val="359"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14.0%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15.5%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0.8%</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2"/>
                      <w:szCs w:val="12"/>
                      <w:color w:val="000000"/>
                    </w:rPr>
                    <w:t xml:space="preserve">4.5%</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6"/>
        </w:tc>
      </w:tr>
    </w:tbl>
    <w:bookmarkEnd w:id="67"/>
    <w:bookmarkStart w:id="68" w:name="la-evidencia-econométrica"/>
    <w:p>
      <w:pPr>
        <w:pStyle w:val="Heading3"/>
      </w:pPr>
      <w:r>
        <w:t xml:space="preserve">3.3 La evidencia econométrica</w:t>
      </w:r>
    </w:p>
    <w:p>
      <w:pPr>
        <w:pStyle w:val="FirstParagraph"/>
      </w:pPr>
      <w:r>
        <w:t xml:space="preserve">ERNESTO: ESTA SECCIÓN NO LA TOQUE PORQUE ME DIJISTE QUE VOS LA QUERÍAS REVISAR</w:t>
      </w:r>
    </w:p>
    <w:p>
      <w:pPr>
        <w:pStyle w:val="BodyText"/>
      </w:pPr>
      <w:r>
        <w:rPr>
          <w:b/>
          <w:bCs/>
        </w:rPr>
        <w:t xml:space="preserve">Laura Alfaro y Davin Chor</w:t>
      </w:r>
    </w:p>
    <w:p>
      <w:pPr>
        <w:pStyle w:val="BodyText"/>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p>
      <w:pPr>
        <w:pStyle w:val="BodyText"/>
      </w:pPr>
      <w:r>
        <w:rPr>
          <w:b/>
          <w:bCs/>
        </w:rPr>
        <w:t xml:space="preserve">Daniel Chiquiar y Martin Tobal</w:t>
      </w:r>
    </w:p>
    <w:p>
      <w:pPr>
        <w:pStyle w:val="BodyText"/>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p>
      <w:pPr>
        <w:pStyle w:val="BodyText"/>
      </w:pPr>
      <w:r>
        <w:rPr>
          <w:b/>
          <w:bCs/>
        </w:rPr>
        <w:t xml:space="preserve">Utar, Zurita y Torres</w:t>
      </w:r>
    </w:p>
    <w:p>
      <w:pPr>
        <w:pStyle w:val="BodyText"/>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i/>
          <w:i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i/>
          <w:i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i/>
          <w:i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p>
      <w:pPr>
        <w:pStyle w:val="BodyText"/>
      </w:pPr>
      <w:r>
        <w:rPr>
          <w:b/>
          <w:bCs/>
        </w:rPr>
        <w:t xml:space="preserve">Freund, Mattoo, Mulabdic y Ruta</w:t>
      </w:r>
    </w:p>
    <w:p>
      <w:pPr>
        <w:pStyle w:val="BodyText"/>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 el desacoplamiento bilateral EE.UU.-China es real, pero las cadenas de valor siguen entrelazadas con China.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 países en desarrollo de mayor tamaño con ventaja comparativa revelada en los productos afectados. Un resultado contraintuitivo: la distancia geográfica a EE.UU. tiene signo positivo — favorece a países lejanos tanto como a países fronterizos —, lo que es inconsistente con la narrativa del nearshoring como fenómeno generalizado. El nearshoring aparece exclusivamente en países con frontera terrestre con EE.UU. (México y Canadá), sin extensión a países cercanos pero no fronterizos.</w:t>
      </w:r>
    </w:p>
    <w:p>
      <w:pPr>
        <w:pStyle w:val="BodyText"/>
      </w:pPr>
      <w:r>
        <w:t xml:space="preserve">El resultado más provocador del paper es el rol de la integración con cadenas de suministro chinas: los países que más exportaron a EE.UU. son precisamente los que más profundizaron su integración con China. El índice de comercio intraindustrial con China (Grubel-Lloyd) es el predictor más robusto del crecimiento exportador hacia EE.UU. en industrias estratégicas. Dicho de otro modo, para desplazar a China en el mercado estadounidense, los países tuvieron que abrazar las cadenas de suministro chinas. En electrónica — el sector con mayor recomposición — la correlación entre crecimiento de importaciones desde China y crecimiento de exportaciones a EE.UU. es positiva y significativa, con evidencia adicional de posible triangulación (transshipment) en bienes estratégicos.</w:t>
      </w:r>
    </w:p>
    <w:p>
      <w:pPr>
        <w:pStyle w:val="BodyText"/>
      </w:pPr>
      <w:r>
        <w:t xml:space="preserve">El patrón de diversificación es consistente con una estrategia</w:t>
      </w:r>
      <w:r>
        <w:t xml:space="preserve"> </w:t>
      </w:r>
      <w: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 sigue siendo proveedor top-3* en más del 60% de los productos donde perdió cuota de mercado.</w:t>
      </w:r>
    </w:p>
    <w:bookmarkEnd w:id="68"/>
    <w:bookmarkEnd w:id="69"/>
    <w:bookmarkStart w:id="91"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w:t>
      </w:r>
      <w:r>
        <w:t xml:space="preserve">Chiquiar (</w:t>
      </w:r>
      <w:hyperlink w:anchor="ref-chiquiar2005">
        <w:r>
          <w:rPr>
            <w:rStyle w:val="Hyperlink"/>
          </w:rPr>
          <w:t xml:space="preserve">2005</w:t>
        </w:r>
      </w:hyperlink>
      <w:r>
        <w:t xml:space="preserve">)</w:t>
      </w:r>
      <w:r>
        <w:t xml:space="preserve">]</w:t>
      </w:r>
      <w:r>
        <w:t xml:space="preserve">(</w:t>
      </w:r>
      <w:hyperlink w:anchor="ref-gómez2009">
        <w:r>
          <w:rPr>
            <w:rStyle w:val="Hyperlink"/>
          </w:rPr>
          <w:t xml:space="preserve">Gómez y Ventosa-Sataularia 2009</w:t>
        </w:r>
      </w:hyperlink>
      <w:r>
        <w:t xml:space="preserve">)</w:t>
      </w:r>
      <w:r>
        <w:t xml:space="preserve">.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75"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Trump-Biden y Trump 2.</w:t>
      </w:r>
    </w:p>
    <w:p>
      <w:pPr>
        <w:pStyle w:val="BodyText"/>
      </w:pPr>
      <w:r>
        <w:t xml:space="preserve">Durante los últimos 8 años de la</w:t>
      </w:r>
      <w:r>
        <w:t xml:space="preserve"> </w:t>
      </w:r>
      <w:r>
        <w:t xml:space="preserve">“normalidad globalizadora”</w:t>
      </w:r>
      <w:r>
        <w:t xml:space="preserve">, la tasa de crecimiento de las exportaciones de Campeche, Chiapas, y Tabasco fue negativa, mientras que en el resto del país no solo fue positiva, sino que en numerosos estados superó los dos dígitos (ver el panel superior izquierdo de la</w:t>
      </w:r>
      <w:r>
        <w:t xml:space="preserve"> </w:t>
      </w:r>
      <w:hyperlink w:anchor="fig-tcac-estados">
        <w:r>
          <w:rPr>
            <w:rStyle w:val="Hyperlink"/>
          </w:rPr>
          <w:t xml:space="preserve">Figura 9</w:t>
        </w:r>
      </w:hyperlink>
      <w:r>
        <w:t xml:space="preserve">).</w:t>
      </w:r>
    </w:p>
    <w:p>
      <w:pPr>
        <w:pStyle w:val="BodyText"/>
      </w:pPr>
      <w:r>
        <w:t xml:space="preserve">Durante Trump-Biden, el panorama cambia favorablemente desde el punto de vista de su distribución geográfica: las exportaciones de prácticamente todos los estados crecen, aunque generalmente a un ritmo inferior al de período anterior. Las dos excepciones, los dos únicos estados cuyas exportaciones se contraen, son Campeche y Quintana Roo.</w:t>
      </w:r>
    </w:p>
    <w:p>
      <w:pPr>
        <w:pStyle w:val="BodyText"/>
      </w:pPr>
      <w:r>
        <w:t xml:space="preserve">Trump 2 tiene un impacto negativo bastante generalizado, pero se caracteriza además por la intensificación de las disparidades entre regiones: las exportaciones de 16 estados se contraen y en seis casos la contracción es de dos dígitos, pero al mismo tiempo, las exportaciones de Chihuahua, Jalisco, Yucatán, Zacatecas, Chiapas, Colima y Potosí crecen a un ritmo de dos dígitos. Particularmente notables son los casos de Chihuahua, con un crecimiento de 45%, y Jalisco, con un crecimiento de 66%.</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la sección siguiente.</w:t>
      </w:r>
    </w:p>
    <w:tbl>
      <w:tblPr>
        <w:tblStyle w:val="Table"/>
        <w:tblW w:type="pct" w:w="5000"/>
        <w:tblLayout w:type="fixed"/>
        <w:tblLook w:firstRow="0" w:lastRow="0" w:firstColumn="0" w:lastColumn="0" w:noHBand="0" w:noVBand="0" w:val="0000"/>
      </w:tblPr>
      <w:tblGrid>
        <w:gridCol w:w="7920"/>
      </w:tblGrid>
      <w:tr>
        <w:tc>
          <w:tcPr/>
          <w:bookmarkStart w:id="73" w:name="fig-tcac-estados"/>
          <w:p>
            <w:pPr>
              <w:jc w:val="center"/>
            </w:pPr>
            <w:pPr>
              <w:jc w:val="left"/>
              <w:spacing w:before="200"/>
              <w:pStyle w:val="ImageCaption"/>
            </w:pPr>
            <w:r>
              <w:t xml:space="preserve">Figura 9: Tasas de crecimiento de las exportaciones por estado, 2010-2018, 2018-2024 y 2024-2025</w:t>
            </w:r>
          </w:p>
          <w:p>
            <w:pPr>
              <w:pStyle w:val="Compact"/>
              <w:jc w:val="center"/>
            </w:pPr>
            <w:r>
              <w:drawing>
                <wp:inline>
                  <wp:extent cx="5486400" cy="4488872"/>
                  <wp:effectExtent b="0" l="0" r="0" t="0"/>
                  <wp:docPr descr="" title="" id="71" name="Picture"/>
                  <a:graphic>
                    <a:graphicData uri="http://schemas.openxmlformats.org/drawingml/2006/picture">
                      <pic:pic>
                        <pic:nvPicPr>
                          <pic:cNvPr descr="../Plots/mapa_xmex_3periodos_tcac.png" id="72" name="Picture"/>
                          <pic:cNvPicPr>
                            <a:picLocks noChangeArrowheads="1" noChangeAspect="1"/>
                          </pic:cNvPicPr>
                        </pic:nvPicPr>
                        <pic:blipFill>
                          <a:blip r:embed="rId70"/>
                          <a:stretch>
                            <a:fillRect/>
                          </a:stretch>
                        </pic:blipFill>
                        <pic:spPr bwMode="auto">
                          <a:xfrm>
                            <a:off x="0" y="0"/>
                            <a:ext cx="5486400" cy="4488872"/>
                          </a:xfrm>
                          <a:prstGeom prst="rect">
                            <a:avLst/>
                          </a:prstGeom>
                          <a:noFill/>
                          <a:ln w="9525">
                            <a:noFill/>
                            <a:headEnd/>
                            <a:tailEnd/>
                          </a:ln>
                        </pic:spPr>
                      </pic:pic>
                    </a:graphicData>
                  </a:graphic>
                </wp:inline>
              </w:drawing>
            </w:r>
          </w:p>
          <w:bookmarkEnd w:id="73"/>
        </w:tc>
      </w:tr>
    </w:tbl>
    <w:tbl>
      <w:tblPr>
        <w:tblStyle w:val="Table"/>
        <w:tblW w:type="pct" w:w="5000"/>
        <w:tblLayout w:type="fixed"/>
        <w:tblLook w:firstRow="0" w:lastRow="0" w:firstColumn="0" w:lastColumn="0" w:noHBand="0" w:noVBand="0" w:val="0000"/>
      </w:tblPr>
      <w:tblGrid>
        <w:gridCol w:w="7920"/>
      </w:tblGrid>
      <w:tr>
        <w:tc>
          <w:tcPr/>
          <w:bookmarkStart w:id="74" w:name="tbl-tcac-estados"/>
          <w:p>
            <w:pPr>
              <w:jc w:val="center"/>
            </w:pPr>
            <w:pPr>
              <w:jc w:val="left"/>
              <w:spacing w:before="200"/>
              <w:pStyle w:val="ImageCaption"/>
            </w:pPr>
            <w:r>
              <w:t xml:space="preserve">Tabla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79"/>
              <w:gridCol w:w="937"/>
              <w:gridCol w:w="937"/>
              <w:gridCol w:w="937"/>
              <w:gridCol w:w="1170"/>
              <w:gridCol w:w="937"/>
              <w:gridCol w:w="937"/>
              <w:gridCol w:w="937"/>
            </w:tblGrid>
            <w:tr>
              <w:trPr>
                <w:trHeight w:val="455" w:hRule="auto"/>
                <w:tblHeader/>
              </w:trPr>
              <w:tc>
                <w:tcPr>
                  <w:gridSpan w:val="8"/>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TCAC de las exportaciones estatales por subperíodo</w:t>
                  </w:r>
                </w:p>
              </w:tc>
            </w:tr>
            <w:tr>
              <w:trPr>
                <w:trHeight w:val="344" w:hRule="auto"/>
                <w:tblHeader/>
              </w:trPr>
              <w:tc>
                <w:tcPr>
                  <w:gridSpan w:val="8"/>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Tasa de crecimiento anual compuesto (%), por entidad federativa</w:t>
                  </w:r>
                </w:p>
              </w:tc>
            </w:tr>
            <w:tr>
              <w:trPr>
                <w:trHeight w:val="359"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c>
                <w:tcPr>
                  <w:tcBorders>
                    <w:bottom w:val="single" w:sz="12" w:space="0" w:color="666666"/>
                    <w:top w:val="none" w:sz="0"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r>
            <w:tr>
              <w:trPr>
                <w:trHeight w:val="18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7.5%</w:t>
                  </w:r>
                </w:p>
              </w:tc>
              <w:tc>
                <w:tcPr>
                  <w:tcBorders>
                    <w:bottom w:val="none" w:sz="0" w:space="0" w:color="000000"/>
                    <w:top w:val="single" w:sz="12" w:space="0" w:color="666666"/>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-7.8%</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Morelos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-9.2%</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5.4%</w:t>
                  </w:r>
                </w:p>
              </w:tc>
              <w:tc>
                <w:tcPr>
                  <w:tcBorders>
                    <w:bottom w:val="none" w:sz="0" w:space="0" w:color="000000"/>
                    <w:top w:val="none" w:sz="0" w:space="0" w:color="000000"/>
                    <w:left w:val="none" w:sz="0" w:space="0" w:color="000000"/>
                    <w:right w:val="single" w:sz="8" w:space="0" w:color="666666"/>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5.6%</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7.7%</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-23.0%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0.8%</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-6.2%</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-33.3%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0.4%</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5.4%</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-9.4%</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45.1%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2.2%</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4.1%</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-32.5%</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c>
                <w:tcPr>
                  <w:tcBorders>
                    <w:bottom w:val="none" w:sz="0" w:space="0" w:color="000000"/>
                    <w:top w:val="none" w:sz="0" w:space="0" w:color="000000"/>
                    <w:left w:val="none" w:sz="0" w:space="0" w:color="000000"/>
                    <w:right w:val="single" w:sz="8" w:space="0" w:color="666666"/>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11.7%</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9.8%</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27.8%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5.1%</w:t>
                  </w:r>
                </w:p>
              </w:tc>
              <w:tc>
                <w:tcPr>
                  <w:tcBorders>
                    <w:bottom w:val="none" w:sz="0" w:space="0" w:color="000000"/>
                    <w:top w:val="none" w:sz="0" w:space="0" w:color="000000"/>
                    <w:left w:val="none" w:sz="0" w:space="0" w:color="000000"/>
                    <w:right w:val="single" w:sz="8" w:space="0" w:color="666666"/>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0.5%</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3.1%</w:t>
                  </w:r>
                </w:p>
              </w:tc>
              <w:tc>
                <w:tcPr>
                  <w:tcBorders>
                    <w:bottom w:val="none" w:sz="0" w:space="0" w:color="000000"/>
                    <w:top w:val="none" w:sz="0" w:space="0" w:color="000000"/>
                    <w:left w:val="none" w:sz="0" w:space="0" w:color="000000"/>
                    <w:right w:val="single" w:sz="8" w:space="0" w:color="666666"/>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-32.5%</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0.1%</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-40.9%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-8.1%</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66.2%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21.1%</w:t>
                  </w:r>
                </w:p>
              </w:tc>
            </w:tr>
            <w:tr>
              <w:trPr>
                <w:trHeight w:val="19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Michoacán</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3.8%</w:t>
                  </w:r>
                </w:p>
              </w:tc>
              <w:tc>
                <w:tcPr>
                  <w:tcBorders>
                    <w:bottom w:val="single" w:sz="12" w:space="0" w:color="666666"/>
                    <w:top w:val="none" w:sz="0" w:space="0" w:color="000000"/>
                    <w:left w:val="none" w:sz="0" w:space="0" w:color="000000"/>
                    <w:right w:val="single" w:sz="8" w:space="0" w:color="666666"/>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w:t>
                  </w:r>
                </w:p>
              </w:tc>
              <w:tc>
                <w:tcPr>
                  <w:tcBorders>
                    <w:bottom w:val="single" w:sz="12"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6.1%</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22.6%</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74"/>
        </w:tc>
      </w:tr>
    </w:tbl>
    <w:bookmarkEnd w:id="75"/>
    <w:bookmarkStart w:id="80"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10"/>
        </w:numPr>
      </w:pPr>
      <w:r>
        <w:t xml:space="preserve">En primer lugar, la información por entidad federativa no está disponible utilizando el SA, sino únicamente el SCIAN a 3 dígitos, lo que nos da</w:t>
      </w:r>
      <w:r>
        <w:t xml:space="preserve"> </w:t>
      </w:r>
      <w:r>
        <w:t xml:space="preserve">“sectores”</w:t>
      </w:r>
      <w:r>
        <w:t xml:space="preserve"> </w:t>
      </w:r>
      <w:r>
        <w:t xml:space="preserve">más agregados que los que utilizamos en la sección 3.2 de este capítulo.</w:t>
      </w:r>
    </w:p>
    <w:p>
      <w:pPr>
        <w:numPr>
          <w:ilvl w:val="0"/>
          <w:numId w:val="1010"/>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w:t>
      </w:r>
      <w:r>
        <w:t xml:space="preserve"> </w:t>
      </w:r>
      <w:hyperlink w:anchor="fig-scian-frontera">
        <w:r>
          <w:rPr>
            <w:rStyle w:val="Hyperlink"/>
          </w:rPr>
          <w:t xml:space="preserve">Figura 10</w:t>
        </w:r>
      </w:hyperlink>
      <w:r>
        <w:t xml:space="preserve">.</w:t>
      </w:r>
    </w:p>
    <w:p>
      <w:pPr>
        <w:pStyle w:val="BodyText"/>
      </w:pPr>
      <w:r>
        <w:t xml:space="preserve">Destacan, en primer lugar, el predominio de Nuevo León en Maquinaria y equipo (Sector 333) y en Accesorios y equipo eléctrico (Sector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(Sector 334) son notables el predominio de Chihuahua y Jalisco, y la aceleración que tiene lugar a partir de 2024. La evolución de estas exportaciones se examina con detalle en el próximo capítulo.</w:t>
      </w:r>
    </w:p>
    <w:p>
      <w:pPr>
        <w:pStyle w:val="BodyText"/>
      </w:pPr>
      <w:r>
        <w:t xml:space="preserve">Finalmente, los problemas de Equipo de Transporte (Sección 336) quedan en evidencia, con efectos particularmente fuertes en Coahuila y Guanajuato, los principales estados exportadores de este sector.</w:t>
      </w:r>
    </w:p>
    <w:tbl>
      <w:tblPr>
        <w:tblStyle w:val="Table"/>
        <w:tblW w:type="pct" w:w="5000"/>
        <w:tblLayout w:type="fixed"/>
        <w:tblLook w:firstRow="0" w:lastRow="0" w:firstColumn="0" w:lastColumn="0" w:noHBand="0" w:noVBand="0" w:val="0000"/>
      </w:tblPr>
      <w:tblGrid>
        <w:gridCol w:w="7920"/>
      </w:tblGrid>
      <w:tr>
        <w:tc>
          <w:tcPr/>
          <w:bookmarkStart w:id="79" w:name="fig-scian-frontera"/>
          <w:p>
            <w:pPr>
              <w:jc w:val="center"/>
            </w:pPr>
            <w:pPr>
              <w:jc w:val="left"/>
              <w:spacing w:before="200"/>
              <w:pStyle w:val="ImageCaption"/>
            </w:pPr>
            <w:r>
              <w:t xml:space="preserve">Figura 10: Exportaciones trimestrales desestacionalizadas por entidad federativa, sectores SCIAN</w:t>
            </w:r>
            <w:r>
              <w:t xml:space="preserve"> </w:t>
            </w:r>
            <w:r>
              <w:t xml:space="preserve">333, 334, 335 y 336. Miles de USD, solo estados sin datos suprimidos por confidencialidad</w:t>
            </w:r>
          </w:p>
          <w:p>
            <w:pPr>
              <w:pStyle w:val="Compact"/>
              <w:jc w:val="center"/>
            </w:pPr>
            <w:r>
              <w:drawing>
                <wp:inline>
                  <wp:extent cx="5486400" cy="4239490"/>
                  <wp:effectExtent b="0" l="0" r="0" t="0"/>
                  <wp:docPr descr="" title="" id="77" name="Picture"/>
                  <a:graphic>
                    <a:graphicData uri="http://schemas.openxmlformats.org/drawingml/2006/picture">
                      <pic:pic>
                        <pic:nvPicPr>
                          <pic:cNvPr descr="../Plots/fig-etef-sectores-sa.png" id="78" name="Picture"/>
                          <pic:cNvPicPr>
                            <a:picLocks noChangeArrowheads="1" noChangeAspect="1"/>
                          </pic:cNvPicPr>
                        </pic:nvPicPr>
                        <pic:blipFill>
                          <a:blip r:embed="rId76"/>
                          <a:stretch>
                            <a:fillRect/>
                          </a:stretch>
                        </pic:blipFill>
                        <pic:spPr bwMode="auto">
                          <a:xfrm>
                            <a:off x="0" y="0"/>
                            <a:ext cx="5486400" cy="4239490"/>
                          </a:xfrm>
                          <a:prstGeom prst="rect">
                            <a:avLst/>
                          </a:prstGeom>
                          <a:noFill/>
                          <a:ln w="9525">
                            <a:noFill/>
                            <a:headEnd/>
                            <a:tailEnd/>
                          </a:ln>
                        </pic:spPr>
                      </pic:pic>
                    </a:graphicData>
                  </a:graphic>
                </wp:inline>
              </w:drawing>
            </w:r>
          </w:p>
          <w:bookmarkEnd w:id="79"/>
        </w:tc>
      </w:tr>
    </w:tbl>
    <w:bookmarkEnd w:id="80"/>
    <w:bookmarkStart w:id="90"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11</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w:t>
      </w:r>
    </w:p>
    <w:p>
      <w:pPr>
        <w:pStyle w:val="BodyText"/>
      </w:pPr>
      <w:r>
        <w:t xml:space="preserve">A pesar del aumento de las exportaciones mexicanas, el empleo IMMEX modera su crecimiento durante Trump-Biden con respecto al que se observó durante la normalidad globalizadora y decrece durante Trump 2. Esta disminución está en parte asociada con una imperfecta asociación entre empleo exportador y empleo IMMEX: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81"/>
      </w:r>
      <w:r>
        <w:t xml:space="preserve">.</w:t>
      </w:r>
    </w:p>
    <w:p>
      <w:pPr>
        <w:pStyle w:val="BodyText"/>
      </w:pPr>
      <w:r>
        <w:t xml:space="preserve">Sin embargo, debe tomarse nota de que la caída está claramente asociada a la disminución del empleo IMMEX en la ZLFN a partir de 2022. El resto del empleo IMMEX tiene una tasa de crecimiento del 5.4% durante la normalidad globalizadora, que solo se reduce en 0.4 pp durante Trump-Biden. Durante Trump 2, ese empleo se contrae en 1.4%, mientras que el empleo IMMEX en la ZLFN se contrae 3.5%, lo que pone en evidencia que existen factores específicos que afectan el empleo IMMEX en esta zona: la política diferenciada de salario mínimo para la ZLFN y el resto de México puede ser uno de ellos. Este tema se aborda en el capítulo dedicado al análisis de la IED china en México.</w:t>
      </w:r>
    </w:p>
    <w:tbl>
      <w:tblPr>
        <w:tblStyle w:val="Table"/>
        <w:tblW w:type="pct" w:w="5000"/>
        <w:tblLayout w:type="fixed"/>
        <w:tblLook w:firstRow="0" w:lastRow="0" w:firstColumn="0" w:lastColumn="0" w:noHBand="0" w:noVBand="0" w:val="0000"/>
      </w:tblPr>
      <w:tblGrid>
        <w:gridCol w:w="7920"/>
      </w:tblGrid>
      <w:tr>
        <w:tc>
          <w:tcPr/>
          <w:bookmarkStart w:id="85" w:name="fig-immex-empleo"/>
          <w:p>
            <w:pPr>
              <w:jc w:val="center"/>
            </w:pPr>
            <w:pPr>
              <w:jc w:val="left"/>
              <w:spacing w:before="200"/>
              <w:pStyle w:val="ImageCaption"/>
            </w:pPr>
            <w:r>
              <w:t xml:space="preserve">Figura 11: Empleo IMMEX en manufactura: Total, ZLFN y Resto, 2010-2025 (miles de personas, diciembre)</w:t>
            </w:r>
          </w:p>
          <w:p>
            <w:pPr>
              <w:pStyle w:val="Compact"/>
              <w:jc w:val="center"/>
            </w:pPr>
            <w:r>
              <w:drawing>
                <wp:inline>
                  <wp:extent cx="5486400" cy="3291840"/>
                  <wp:effectExtent b="0" l="0" r="0" t="0"/>
                  <wp:docPr descr="" title="" id="83" name="Picture"/>
                  <a:graphic>
                    <a:graphicData uri="http://schemas.openxmlformats.org/drawingml/2006/picture">
                      <pic:pic>
                        <pic:nvPicPr>
                          <pic:cNvPr descr="../Plots/fig-immex-empleo.png" id="84" name="Picture"/>
                          <pic:cNvPicPr>
                            <a:picLocks noChangeArrowheads="1" noChangeAspect="1"/>
                          </pic:cNvPicPr>
                        </pic:nvPicPr>
                        <pic:blipFill>
                          <a:blip r:embed="rId82"/>
                          <a:stretch>
                            <a:fillRect/>
                          </a:stretch>
                        </pic:blipFill>
                        <pic:spPr bwMode="auto">
                          <a:xfrm>
                            <a:off x="0" y="0"/>
                            <a:ext cx="5486400" cy="3291840"/>
                          </a:xfrm>
                          <a:prstGeom prst="rect">
                            <a:avLst/>
                          </a:prstGeom>
                          <a:noFill/>
                          <a:ln w="9525">
                            <a:noFill/>
                            <a:headEnd/>
                            <a:tailEnd/>
                          </a:ln>
                        </pic:spPr>
                      </pic:pic>
                    </a:graphicData>
                  </a:graphic>
                </wp:inline>
              </w:drawing>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mapa-immex-4periodos"/>
          <w:p>
            <w:pPr>
              <w:jc w:val="center"/>
            </w:pPr>
            <w:pPr>
              <w:jc w:val="left"/>
              <w:spacing w:before="200"/>
              <w:pStyle w:val="ImageCaption"/>
            </w:pPr>
            <w:r>
              <w:t xml:space="preserve">Figura 12: Cambio en la participación porcentual del empleo IMMEX por entidad federativa, cuatro períodos seleccionados</w:t>
            </w:r>
          </w:p>
          <w:p>
            <w:pPr>
              <w:pStyle w:val="Compact"/>
              <w:jc w:val="center"/>
            </w:pPr>
            <w:r>
              <w:drawing>
                <wp:inline>
                  <wp:extent cx="5486400" cy="1995054"/>
                  <wp:effectExtent b="0" l="0" r="0" t="0"/>
                  <wp:docPr descr="" title="" id="87" name="Picture"/>
                  <a:graphic>
                    <a:graphicData uri="http://schemas.openxmlformats.org/drawingml/2006/picture">
                      <pic:pic>
                        <pic:nvPicPr>
                          <pic:cNvPr descr="../Plots/mapa_immex_4periodos.png" id="88" name="Picture"/>
                          <pic:cNvPicPr>
                            <a:picLocks noChangeArrowheads="1" noChangeAspect="1"/>
                          </pic:cNvPicPr>
                        </pic:nvPicPr>
                        <pic:blipFill>
                          <a:blip r:embed="rId86"/>
                          <a:stretch>
                            <a:fillRect/>
                          </a:stretch>
                        </pic:blipFill>
                        <pic:spPr bwMode="auto">
                          <a:xfrm>
                            <a:off x="0" y="0"/>
                            <a:ext cx="5486400" cy="1995054"/>
                          </a:xfrm>
                          <a:prstGeom prst="rect">
                            <a:avLst/>
                          </a:prstGeom>
                          <a:noFill/>
                          <a:ln w="9525">
                            <a:noFill/>
                            <a:headEnd/>
                            <a:tailEnd/>
                          </a:ln>
                        </pic:spPr>
                      </pic:pic>
                    </a:graphicData>
                  </a:graphic>
                </wp:inline>
              </w:drawing>
            </w:r>
          </w:p>
          <w:bookmarkEnd w:id="89"/>
        </w:tc>
      </w:tr>
    </w:tbl>
    <w:bookmarkEnd w:id="90"/>
    <w:bookmarkEnd w:id="91"/>
    <w:bookmarkStart w:id="167" w:name="la-inversión-extranjera-directa"/>
    <w:p>
      <w:pPr>
        <w:pStyle w:val="Heading2"/>
      </w:pPr>
      <w:r>
        <w:t xml:space="preserve">5 La inversión extranjera directa</w:t>
      </w:r>
    </w:p>
    <w:p>
      <w:pPr>
        <w:pStyle w:val="FirstParagraph"/>
      </w:pPr>
      <w:r>
        <w:t xml:space="preserve">Como ya se explicó anteriormente, es un error identificar el NS con los anuncios de construcción de nuevas plantas por parte de EMNs. Más aún, se señaló que la IED es tan solo un componente del proceso de NS, y que las inversiones domésticas (o el redireccionamiento de la producción) por parte de empresas domésticas también juega un papel importante.</w:t>
      </w:r>
    </w:p>
    <w:p>
      <w:pPr>
        <w:pStyle w:val="BodyText"/>
      </w:pPr>
      <w:r>
        <w:t xml:space="preserve">Aun así, la IED es</w:t>
      </w:r>
      <w:r>
        <w:t xml:space="preserve"> </w:t>
      </w:r>
      <w:r>
        <w:rPr>
          <w:b/>
          <w:bCs/>
        </w:rPr>
        <w:t xml:space="preserve">uno</w:t>
      </w:r>
      <w:r>
        <w:t xml:space="preserve"> </w:t>
      </w:r>
      <w:r>
        <w:t xml:space="preserve">de los componentes del proceso, cuyo comportamiento examinamos en esta sección.</w:t>
      </w:r>
    </w:p>
    <w:bookmarkStart w:id="98"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13</w:t>
        </w:r>
      </w:hyperlink>
      <w:r>
        <w:t xml:space="preserve"> </w:t>
      </w:r>
      <w:r>
        <w:t xml:space="preserve">se muestra la evolución de la IED en México de 2010 al tercer trimestre de 2025. De 2010 a 2020 la IED oscila entre los 50 mil y los 75 mil millones de USD, con la única excepción de 2013, que refleja la adquisición del Grupo Modelo por parte de AB InBev</w:t>
      </w:r>
      <w:r>
        <w:rPr>
          <w:rStyle w:val="FootnoteReference"/>
        </w:rPr>
        <w:footnoteReference w:id="92"/>
      </w:r>
      <w:r>
        <w:t xml:space="preserve">.</w:t>
      </w:r>
    </w:p>
    <w:p>
      <w:pPr>
        <w:pStyle w:val="BodyText"/>
      </w:pPr>
      <w:r>
        <w:t xml:space="preserve">Como sucede también con otras variables, el impacto de Trump-Biden se hace evidente después de la pandemia: mientras que entre 2014 y 2019 la IED se mantiene fundamentalmente estable, de 2020 en adelante la tendencia es positiva, y se acelera entre 2024 y 2025.</w:t>
      </w:r>
    </w:p>
    <w:tbl>
      <w:tblPr>
        <w:tblStyle w:val="Table"/>
        <w:tblW w:type="pct" w:w="5000"/>
        <w:tblLayout w:type="fixed"/>
        <w:tblLook w:firstRow="0" w:lastRow="0" w:firstColumn="0" w:lastColumn="0" w:noHBand="0" w:noVBand="0" w:val="0000"/>
      </w:tblPr>
      <w:tblGrid>
        <w:gridCol w:w="7920"/>
      </w:tblGrid>
      <w:tr>
        <w:tc>
          <w:tcPr/>
          <w:bookmarkStart w:id="97" w:name="fig-ied-total-origen"/>
          <w:p>
            <w:pPr>
              <w:jc w:val="center"/>
            </w:pPr>
            <w:pPr>
              <w:jc w:val="left"/>
              <w:spacing w:before="200"/>
              <w:pStyle w:val="ImageCaption"/>
            </w:pPr>
            <w:r>
              <w:t xml:space="preserve">Figura 13: Inversión extranjera directa en México</w:t>
            </w:r>
          </w:p>
          <w:p>
            <w:pPr>
              <w:pStyle w:val="Compact"/>
              <w:jc w:val="center"/>
            </w:pPr>
            <w:r>
              <w:drawing>
                <wp:inline>
                  <wp:extent cx="5486400" cy="4937760"/>
                  <wp:effectExtent b="0" l="0" r="0" t="0"/>
                  <wp:docPr descr="" title="" id="95" name="Picture"/>
                  <a:graphic>
                    <a:graphicData uri="http://schemas.openxmlformats.org/drawingml/2006/picture">
                      <pic:pic>
                        <pic:nvPicPr>
                          <pic:cNvPr descr="../Plots/ied_total_origen.png" id="96" name="Picture"/>
                          <pic:cNvPicPr>
                            <a:picLocks noChangeArrowheads="1" noChangeAspect="1"/>
                          </pic:cNvPicPr>
                        </pic:nvPicPr>
                        <pic:blipFill>
                          <a:blip r:embed="rId94"/>
                          <a:stretch>
                            <a:fillRect/>
                          </a:stretch>
                        </pic:blipFill>
                        <pic:spPr bwMode="auto">
                          <a:xfrm>
                            <a:off x="0" y="0"/>
                            <a:ext cx="5486400" cy="4937760"/>
                          </a:xfrm>
                          <a:prstGeom prst="rect">
                            <a:avLst/>
                          </a:prstGeom>
                          <a:noFill/>
                          <a:ln w="9525">
                            <a:noFill/>
                            <a:headEnd/>
                            <a:tailEnd/>
                          </a:ln>
                        </pic:spPr>
                      </pic:pic>
                    </a:graphicData>
                  </a:graphic>
                </wp:inline>
              </w:drawing>
            </w:r>
          </w:p>
          <w:bookmarkEnd w:id="97"/>
        </w:tc>
      </w:tr>
    </w:tbl>
    <w:bookmarkEnd w:id="98"/>
    <w:bookmarkStart w:id="107"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14</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13</w:t>
        </w:r>
      </w:hyperlink>
      <w:r>
        <w:t xml:space="preserve">, que muestra un repunte a partir de 2020, aquí vemos justamente lo contrario: una tendencia decreciente a partir de ese mismo año (el año 2013 es excepcional, por razones que recién se explicaron).</w:t>
      </w:r>
    </w:p>
    <w:p>
      <w:pPr>
        <w:pStyle w:val="BodyText"/>
      </w:pPr>
      <w:r>
        <w:t xml:space="preserve">Nótese que la importancia de la IED se reduce no solo en términos de la participación en el PIB, sino también como porcentaje de la formación bruta de capital fijo (panel inferior de la</w:t>
      </w:r>
      <w:r>
        <w:t xml:space="preserve"> </w:t>
      </w:r>
      <w:hyperlink w:anchor="fig-ied-ratios">
        <w:r>
          <w:rPr>
            <w:rStyle w:val="Hyperlink"/>
          </w:rPr>
          <w:t xml:space="preserve">Figura 14</w:t>
        </w:r>
      </w:hyperlink>
      <w:r>
        <w:t xml:space="preserv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pobre desempeño.</w:t>
      </w:r>
    </w:p>
    <w:tbl>
      <w:tblPr>
        <w:tblStyle w:val="Table"/>
        <w:tblW w:type="pct" w:w="5000"/>
        <w:tblLayout w:type="fixed"/>
        <w:tblLook w:firstRow="0" w:lastRow="0" w:firstColumn="0" w:lastColumn="0" w:noHBand="0" w:noVBand="0" w:val="0000"/>
      </w:tblPr>
      <w:tblGrid>
        <w:gridCol w:w="7920"/>
      </w:tblGrid>
      <w:tr>
        <w:tc>
          <w:tcPr/>
          <w:bookmarkStart w:id="102" w:name="fig-ied-ratios"/>
          <w:p>
            <w:pPr>
              <w:jc w:val="center"/>
            </w:pPr>
            <w:pPr>
              <w:jc w:val="left"/>
              <w:spacing w:before="200"/>
              <w:pStyle w:val="ImageCaption"/>
            </w:pPr>
            <w:r>
              <w:t xml:space="preserve">Figura 14: Inversión extranjera directa como porcentaje del PIB (panel superior)</w:t>
            </w:r>
            <w:r>
              <w:t xml:space="preserve"> </w:t>
            </w:r>
            <w:r>
              <w:t xml:space="preserve">y de la formación bruta de capital fijo (panel inferior), 2010–2025.</w:t>
            </w:r>
            <w:r>
              <w:t xml:space="preserve"> </w:t>
            </w:r>
            <w:r>
              <w:t xml:space="preserve">Datos anuales. Fuente: Secretaría de Economía / SE.</w:t>
            </w:r>
          </w:p>
          <w:p>
            <w:pPr>
              <w:pStyle w:val="Compact"/>
              <w:jc w:val="center"/>
            </w:pPr>
            <w:r>
              <w:drawing>
                <wp:inline>
                  <wp:extent cx="5486400" cy="4389120"/>
                  <wp:effectExtent b="0" l="0" r="0" t="0"/>
                  <wp:docPr descr="" title="" id="100" name="Picture"/>
                  <a:graphic>
                    <a:graphicData uri="http://schemas.openxmlformats.org/drawingml/2006/picture">
                      <pic:pic>
                        <pic:nvPicPr>
                          <pic:cNvPr descr="../Plots/ied_ratios.png" id="101" name="Picture"/>
                          <pic:cNvPicPr>
                            <a:picLocks noChangeArrowheads="1" noChangeAspect="1"/>
                          </pic:cNvPicPr>
                        </pic:nvPicPr>
                        <pic:blipFill>
                          <a:blip r:embed="rId99"/>
                          <a:stretch>
                            <a:fillRect/>
                          </a:stretch>
                        </pic:blipFill>
                        <pic:spPr bwMode="auto">
                          <a:xfrm>
                            <a:off x="0" y="0"/>
                            <a:ext cx="5486400" cy="4389120"/>
                          </a:xfrm>
                          <a:prstGeom prst="rect">
                            <a:avLst/>
                          </a:prstGeom>
                          <a:noFill/>
                          <a:ln w="9525">
                            <a:noFill/>
                            <a:headEnd/>
                            <a:tailEnd/>
                          </a:ln>
                        </pic:spPr>
                      </pic:pic>
                    </a:graphicData>
                  </a:graphic>
                </wp:inline>
              </w:drawing>
            </w:r>
          </w:p>
          <w:bookmarkEnd w:id="102"/>
        </w:tc>
      </w:tr>
    </w:tbl>
    <w:p>
      <w:pPr>
        <w:pStyle w:val="BodyText"/>
      </w:pPr>
      <w:r>
        <w:t xml:space="preserve">Este pobre desempeño en atracción de IED no refleja una tendencia general en los países con los que México compite en el mercado de EUA. En la</w:t>
      </w:r>
      <w:r>
        <w:t xml:space="preserve"> </w:t>
      </w:r>
      <w:hyperlink w:anchor="fig-ied-pib-comparadores">
        <w:r>
          <w:rPr>
            <w:rStyle w:val="Hyperlink"/>
          </w:rPr>
          <w:t xml:space="preserve">Figura 15</w:t>
        </w:r>
      </w:hyperlink>
      <w:r>
        <w:t xml:space="preserve"> </w:t>
      </w:r>
      <w:r>
        <w:t xml:space="preserve">se muestra la IED como porcentaje del PIB para Costa Rica, México, R. Dominicana y Vietnam (los puntos en el gráfico) así como su tendencia lineal. De los cuatro países, México es sistemáticamente el que recibe menos inversión como porcentaje del PIB.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06" w:name="fig-ied-pib-comparadores"/>
          <w:p>
            <w:pPr>
              <w:jc w:val="center"/>
            </w:pPr>
            <w:pPr>
              <w:jc w:val="left"/>
              <w:spacing w:before="200"/>
              <w:pStyle w:val="ImageCaption"/>
            </w:pPr>
            <w:r>
              <w:t xml:space="preserve">Figura 15: IED como porcentaje del PIB. Costa Rica, México, R. Dominicana y Vietnam, 2010-2025</w:t>
            </w:r>
          </w:p>
          <w:p>
            <w:pPr>
              <w:pStyle w:val="Compact"/>
              <w:jc w:val="center"/>
            </w:pPr>
            <w:r>
              <w:drawing>
                <wp:inline>
                  <wp:extent cx="5486400" cy="3352800"/>
                  <wp:effectExtent b="0" l="0" r="0" t="0"/>
                  <wp:docPr descr="" title="" id="104" name="Picture"/>
                  <a:graphic>
                    <a:graphicData uri="http://schemas.openxmlformats.org/drawingml/2006/picture">
                      <pic:pic>
                        <pic:nvPicPr>
                          <pic:cNvPr descr="../Plots/ied_pib_comparativo_wdi.png" id="105" name="Picture"/>
                          <pic:cNvPicPr>
                            <a:picLocks noChangeArrowheads="1" noChangeAspect="1"/>
                          </pic:cNvPicPr>
                        </pic:nvPicPr>
                        <pic:blipFill>
                          <a:blip r:embed="rId103"/>
                          <a:stretch>
                            <a:fillRect/>
                          </a:stretch>
                        </pic:blipFill>
                        <pic:spPr bwMode="auto">
                          <a:xfrm>
                            <a:off x="0" y="0"/>
                            <a:ext cx="5486400" cy="3352800"/>
                          </a:xfrm>
                          <a:prstGeom prst="rect">
                            <a:avLst/>
                          </a:prstGeom>
                          <a:noFill/>
                          <a:ln w="9525">
                            <a:noFill/>
                            <a:headEnd/>
                            <a:tailEnd/>
                          </a:ln>
                        </pic:spPr>
                      </pic:pic>
                    </a:graphicData>
                  </a:graphic>
                </wp:inline>
              </w:drawing>
            </w:r>
          </w:p>
          <w:bookmarkEnd w:id="106"/>
        </w:tc>
      </w:tr>
    </w:tbl>
    <w:p>
      <w:pPr>
        <w:pStyle w:val="BodyText"/>
      </w:pPr>
      <w:r>
        <w:t xml:space="preserve">Dado que la IED solo representa alrededor del 12% de la inversión total del país, resulta apropiado analizar el comportamiento de la FBCF. La FBCF privada creció de manera considerable en años recientes tras la recuperación de la pandemia, lo que contrasta además con la caída de la inversión pública. A precios de 2018, la FBCF privada anual promedio pasó de 4,389 mil MDP en 2010-2017 a 5,239 mil MDP en 2022-2024, un crecimiento de 19.4%. En contraste, la FBCF pública cayó de 922 a 647 mil MDP (-29.8%). A pesar de la caída de la inversión pública, la inversión anual promedio total creció 10.8% entre ambos periodos, dado que el sector privado origina alrededor del 84% de la FBCF nacional.</w:t>
      </w:r>
    </w:p>
    <w:p>
      <w:pPr>
        <w:pStyle w:val="BodyText"/>
      </w:pPr>
      <w:r>
        <w:t xml:space="preserve">El crecimiento de la FBCF por tipo de bien sugiere que el sector privado está expandiendo capacidad productiva e importando bienes de capital para nuevos procesos. Por tipo de bien, la FBCF anual promedio privada en construcción (que representa el 55% de la inversión privada) creció 15.1% entre 2010-2017 y 2022-2024, mientras que en Maquinaria y equipo (que representa el otro 45%) creció 23.5%.</w:t>
      </w:r>
    </w:p>
    <w:bookmarkEnd w:id="107"/>
    <w:bookmarkStart w:id="116" w:name="la-distribución-sectorial-de-la-ied"/>
    <w:p>
      <w:pPr>
        <w:pStyle w:val="Heading3"/>
      </w:pPr>
      <w:r>
        <w:t xml:space="preserve">5.3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16</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11" w:name="fig-ied-actividad-combinado"/>
          <w:p>
            <w:pPr>
              <w:jc w:val="center"/>
            </w:pPr>
            <w:pPr>
              <w:jc w:val="left"/>
              <w:spacing w:before="200"/>
              <w:pStyle w:val="ImageCaption"/>
            </w:pPr>
            <w:r>
              <w:t xml:space="preserve">Figura 16: IED en México: total, manufactura (sectores 31–33) y resto, 2010–2025.</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09" name="Picture"/>
                  <a:graphic>
                    <a:graphicData uri="http://schemas.openxmlformats.org/drawingml/2006/picture">
                      <pic:pic>
                        <pic:nvPicPr>
                          <pic:cNvPr descr="../Plots/ied_actividad_combinado.png" id="110" name="Picture"/>
                          <pic:cNvPicPr>
                            <a:picLocks noChangeArrowheads="1" noChangeAspect="1"/>
                          </pic:cNvPicPr>
                        </pic:nvPicPr>
                        <pic:blipFill>
                          <a:blip r:embed="rId108"/>
                          <a:stretch>
                            <a:fillRect/>
                          </a:stretch>
                        </pic:blipFill>
                        <pic:spPr bwMode="auto">
                          <a:xfrm>
                            <a:off x="0" y="0"/>
                            <a:ext cx="5486400" cy="5486400"/>
                          </a:xfrm>
                          <a:prstGeom prst="rect">
                            <a:avLst/>
                          </a:prstGeom>
                          <a:noFill/>
                          <a:ln w="9525">
                            <a:noFill/>
                            <a:headEnd/>
                            <a:tailEnd/>
                          </a:ln>
                        </pic:spPr>
                      </pic:pic>
                    </a:graphicData>
                  </a:graphic>
                </wp:inline>
              </w:drawing>
            </w:r>
          </w:p>
          <w:bookmarkEnd w:id="111"/>
        </w:tc>
      </w:tr>
    </w:tbl>
    <w:p>
      <w:pPr>
        <w:pStyle w:val="BodyText"/>
      </w:pPr>
      <w:r>
        <w:t xml:space="preserve">En la</w:t>
      </w:r>
      <w:r>
        <w:t xml:space="preserve"> </w:t>
      </w:r>
      <w:hyperlink w:anchor="fig-ied-manuf-subsector">
        <w:r>
          <w:rPr>
            <w:rStyle w:val="Hyperlink"/>
          </w:rPr>
          <w:t xml:space="preserve">Figura 17</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15" w:name="fig-ied-manuf-subsector"/>
          <w:p>
            <w:pPr>
              <w:jc w:val="center"/>
            </w:pPr>
            <w:pPr>
              <w:jc w:val="left"/>
              <w:spacing w:before="200"/>
              <w:pStyle w:val="ImageCaption"/>
            </w:pPr>
            <w:r>
              <w:t xml:space="preserve">Figura 17: IED en México: industrias manufactureras (31-33) por subsector, 2006–2024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13" name="Picture"/>
                  <a:graphic>
                    <a:graphicData uri="http://schemas.openxmlformats.org/drawingml/2006/picture">
                      <pic:pic>
                        <pic:nvPicPr>
                          <pic:cNvPr descr="../Plots/ied_manuf_subsector.png" id="114" name="Picture"/>
                          <pic:cNvPicPr>
                            <a:picLocks noChangeArrowheads="1" noChangeAspect="1"/>
                          </pic:cNvPicPr>
                        </pic:nvPicPr>
                        <pic:blipFill>
                          <a:blip r:embed="rId112"/>
                          <a:stretch>
                            <a:fillRect/>
                          </a:stretch>
                        </pic:blipFill>
                        <pic:spPr bwMode="auto">
                          <a:xfrm>
                            <a:off x="0" y="0"/>
                            <a:ext cx="5486400" cy="5486400"/>
                          </a:xfrm>
                          <a:prstGeom prst="rect">
                            <a:avLst/>
                          </a:prstGeom>
                          <a:noFill/>
                          <a:ln w="9525">
                            <a:noFill/>
                            <a:headEnd/>
                            <a:tailEnd/>
                          </a:ln>
                        </pic:spPr>
                      </pic:pic>
                    </a:graphicData>
                  </a:graphic>
                </wp:inline>
              </w:drawing>
            </w:r>
          </w:p>
          <w:bookmarkEnd w:id="115"/>
        </w:tc>
      </w:tr>
    </w:tbl>
    <w:bookmarkEnd w:id="116"/>
    <w:bookmarkStart w:id="137" w:name="los-anuncios-de-inversión"/>
    <w:p>
      <w:pPr>
        <w:pStyle w:val="Heading3"/>
      </w:pPr>
      <w:r>
        <w:t xml:space="preserve">5.4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tbl>
      <w:tblPr>
        <w:tblStyle w:val="Table"/>
        <w:tblW w:type="pct" w:w="5000"/>
        <w:tblLayout w:type="fixed"/>
        <w:tblLook w:firstRow="0" w:lastRow="0" w:firstColumn="0" w:lastColumn="0" w:noHBand="0" w:noVBand="0" w:val="0000"/>
      </w:tblPr>
      <w:tblGrid>
        <w:gridCol w:w="7920"/>
      </w:tblGrid>
      <w:tr>
        <w:tc>
          <w:tcPr/>
          <w:bookmarkStart w:id="120" w:name="fig-capex-tipo-inversion"/>
          <w:p>
            <w:pPr>
              <w:jc w:val="center"/>
            </w:pPr>
            <w:pPr>
              <w:jc w:val="left"/>
              <w:spacing w:before="200"/>
              <w:pStyle w:val="ImageCaption"/>
            </w:pPr>
            <w:r>
              <w:t xml:space="preserve">Figura 18: CAPEX de proyectos de IED de manufactura anunciados en México, por tipo de inversión (MDD)</w:t>
            </w:r>
          </w:p>
          <w:p>
            <w:pPr>
              <w:pStyle w:val="Compact"/>
              <w:jc w:val="center"/>
            </w:pPr>
            <w:r>
              <w:drawing>
                <wp:inline>
                  <wp:extent cx="5256603" cy="3992720"/>
                  <wp:effectExtent b="0" l="0" r="0" t="0"/>
                  <wp:docPr descr="" title="" id="118" name="Picture"/>
                  <a:graphic>
                    <a:graphicData uri="http://schemas.openxmlformats.org/drawingml/2006/picture">
                      <pic:pic>
                        <pic:nvPicPr>
                          <pic:cNvPr descr="../Plots/zafra-capex-tipo.png" id="119" name="Picture"/>
                          <pic:cNvPicPr>
                            <a:picLocks noChangeArrowheads="1" noChangeAspect="1"/>
                          </pic:cNvPicPr>
                        </pic:nvPicPr>
                        <pic:blipFill>
                          <a:blip r:embed="rId117"/>
                          <a:stretch>
                            <a:fillRect/>
                          </a:stretch>
                        </pic:blipFill>
                        <pic:spPr bwMode="auto">
                          <a:xfrm>
                            <a:off x="0" y="0"/>
                            <a:ext cx="5256603" cy="3992720"/>
                          </a:xfrm>
                          <a:prstGeom prst="rect">
                            <a:avLst/>
                          </a:prstGeom>
                          <a:noFill/>
                          <a:ln w="9525">
                            <a:noFill/>
                            <a:headEnd/>
                            <a:tailEnd/>
                          </a:ln>
                        </pic:spPr>
                      </pic:pic>
                    </a:graphicData>
                  </a:graphic>
                </wp:inline>
              </w:drawing>
            </w:r>
          </w:p>
          <w:bookmarkEnd w:id="120"/>
        </w:tc>
      </w:tr>
    </w:tbl>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tbl>
      <w:tblPr>
        <w:tblStyle w:val="Table"/>
        <w:tblW w:type="pct" w:w="5000"/>
        <w:tblLayout w:type="fixed"/>
        <w:tblLook w:firstRow="0" w:lastRow="0" w:firstColumn="0" w:lastColumn="0" w:noHBand="0" w:noVBand="0" w:val="0000"/>
      </w:tblPr>
      <w:tblGrid>
        <w:gridCol w:w="7920"/>
      </w:tblGrid>
      <w:tr>
        <w:tc>
          <w:tcPr/>
          <w:bookmarkStart w:id="124" w:name="fig-capex-sectores"/>
          <w:p>
            <w:pPr>
              <w:jc w:val="center"/>
            </w:pPr>
            <w:pPr>
              <w:jc w:val="left"/>
              <w:spacing w:before="200"/>
              <w:pStyle w:val="ImageCaption"/>
            </w:pPr>
            <w:r>
              <w:t xml:space="preserve">Figura 19: CAPEX de proyectos de IED de manufactura anunciados en México: sectores con incrementos en 2022-2024 (MDD)</w:t>
            </w:r>
          </w:p>
          <w:p>
            <w:pPr>
              <w:pStyle w:val="Compact"/>
              <w:jc w:val="center"/>
            </w:pPr>
            <w:r>
              <w:drawing>
                <wp:inline>
                  <wp:extent cx="5285327" cy="4031019"/>
                  <wp:effectExtent b="0" l="0" r="0" t="0"/>
                  <wp:docPr descr="" title="" id="122" name="Picture"/>
                  <a:graphic>
                    <a:graphicData uri="http://schemas.openxmlformats.org/drawingml/2006/picture">
                      <pic:pic>
                        <pic:nvPicPr>
                          <pic:cNvPr descr="../Plots/zafra-capex-sectores.png" id="123" name="Picture"/>
                          <pic:cNvPicPr>
                            <a:picLocks noChangeArrowheads="1" noChangeAspect="1"/>
                          </pic:cNvPicPr>
                        </pic:nvPicPr>
                        <pic:blipFill>
                          <a:blip r:embed="rId121"/>
                          <a:stretch>
                            <a:fillRect/>
                          </a:stretch>
                        </pic:blipFill>
                        <pic:spPr bwMode="auto">
                          <a:xfrm>
                            <a:off x="0" y="0"/>
                            <a:ext cx="5285327" cy="4031019"/>
                          </a:xfrm>
                          <a:prstGeom prst="rect">
                            <a:avLst/>
                          </a:prstGeom>
                          <a:noFill/>
                          <a:ln w="9525">
                            <a:noFill/>
                            <a:headEnd/>
                            <a:tailEnd/>
                          </a:ln>
                        </pic:spPr>
                      </pic:pic>
                    </a:graphicData>
                  </a:graphic>
                </wp:inline>
              </w:drawing>
            </w:r>
          </w:p>
          <w:bookmarkEnd w:id="124"/>
        </w:tc>
      </w:tr>
    </w:tbl>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tbl>
      <w:tblPr>
        <w:tblStyle w:val="Table"/>
        <w:tblW w:type="pct" w:w="5000"/>
        <w:tblLayout w:type="fixed"/>
        <w:tblLook w:firstRow="0" w:lastRow="0" w:firstColumn="0" w:lastColumn="0" w:noHBand="0" w:noVBand="0" w:val="0000"/>
      </w:tblPr>
      <w:tblGrid>
        <w:gridCol w:w="7920"/>
      </w:tblGrid>
      <w:tr>
        <w:tc>
          <w:tcPr/>
          <w:bookmarkStart w:id="128" w:name="tbl-capex-region"/>
          <w:p>
            <w:pPr>
              <w:jc w:val="center"/>
            </w:pPr>
            <w:pPr>
              <w:jc w:val="left"/>
              <w:spacing w:before="200"/>
              <w:pStyle w:val="ImageCaption"/>
            </w:pPr>
            <w:r>
              <w:t xml:space="preserve">Tabla 6: CAPEX de anuncios de inversión de manufactura en México por región (MDD)</w:t>
            </w:r>
          </w:p>
          <w:p>
            <w:pPr>
              <w:jc w:val="center"/>
            </w:pPr>
            <w:r>
              <w:drawing>
                <wp:inline>
                  <wp:extent cx="5026806" cy="6625809"/>
                  <wp:effectExtent b="0" l="0" r="0" t="0"/>
                  <wp:docPr descr="" title="" id="126" name="Picture"/>
                  <a:graphic>
                    <a:graphicData uri="http://schemas.openxmlformats.org/drawingml/2006/picture">
                      <pic:pic>
                        <pic:nvPicPr>
                          <pic:cNvPr descr="../Plots/zafra-capex-region.png" id="127" name="Picture"/>
                          <pic:cNvPicPr>
                            <a:picLocks noChangeArrowheads="1" noChangeAspect="1"/>
                          </pic:cNvPicPr>
                        </pic:nvPicPr>
                        <pic:blipFill>
                          <a:blip r:embed="rId125"/>
                          <a:stretch>
                            <a:fillRect/>
                          </a:stretch>
                        </pic:blipFill>
                        <pic:spPr bwMode="auto">
                          <a:xfrm>
                            <a:off x="0" y="0"/>
                            <a:ext cx="5026806" cy="6625809"/>
                          </a:xfrm>
                          <a:prstGeom prst="rect">
                            <a:avLst/>
                          </a:prstGeom>
                          <a:noFill/>
                          <a:ln w="9525">
                            <a:noFill/>
                            <a:headEnd/>
                            <a:tailEnd/>
                          </a:ln>
                        </pic:spPr>
                      </pic:pic>
                    </a:graphicData>
                  </a:graphic>
                </wp:inline>
              </w:drawing>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capex-pais-origen"/>
          <w:p>
            <w:pPr>
              <w:jc w:val="center"/>
            </w:pPr>
            <w:pPr>
              <w:jc w:val="left"/>
              <w:spacing w:before="200"/>
              <w:pStyle w:val="ImageCaption"/>
            </w:pPr>
            <w:r>
              <w:t xml:space="preserve">Figura 20: CAPEX de anuncios de inversión en México, principales países de origen</w:t>
            </w:r>
          </w:p>
          <w:p>
            <w:pPr>
              <w:pStyle w:val="Compact"/>
              <w:jc w:val="center"/>
            </w:pPr>
            <w:r>
              <w:drawing>
                <wp:inline>
                  <wp:extent cx="4969357" cy="2642663"/>
                  <wp:effectExtent b="0" l="0" r="0" t="0"/>
                  <wp:docPr descr="" title="" id="130" name="Picture"/>
                  <a:graphic>
                    <a:graphicData uri="http://schemas.openxmlformats.org/drawingml/2006/picture">
                      <pic:pic>
                        <pic:nvPicPr>
                          <pic:cNvPr descr="../Plots/zafra-capex-plotregion.png" id="131" name="Picture"/>
                          <pic:cNvPicPr>
                            <a:picLocks noChangeArrowheads="1" noChangeAspect="1"/>
                          </pic:cNvPicPr>
                        </pic:nvPicPr>
                        <pic:blipFill>
                          <a:blip r:embed="rId129"/>
                          <a:stretch>
                            <a:fillRect/>
                          </a:stretch>
                        </pic:blipFill>
                        <pic:spPr bwMode="auto">
                          <a:xfrm>
                            <a:off x="0" y="0"/>
                            <a:ext cx="4969357" cy="2642663"/>
                          </a:xfrm>
                          <a:prstGeom prst="rect">
                            <a:avLst/>
                          </a:prstGeom>
                          <a:noFill/>
                          <a:ln w="9525">
                            <a:noFill/>
                            <a:headEnd/>
                            <a:tailEnd/>
                          </a:ln>
                        </pic:spPr>
                      </pic:pic>
                    </a:graphicData>
                  </a:graphic>
                </wp:inline>
              </w:drawing>
            </w:r>
          </w:p>
          <w:bookmarkEnd w:id="132"/>
        </w:tc>
      </w:tr>
    </w:tbl>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tbl>
      <w:tblPr>
        <w:tblStyle w:val="Table"/>
        <w:tblW w:type="pct" w:w="5000"/>
        <w:tblLayout w:type="fixed"/>
        <w:tblLook w:firstRow="0" w:lastRow="0" w:firstColumn="0" w:lastColumn="0" w:noHBand="0" w:noVBand="0" w:val="0000"/>
      </w:tblPr>
      <w:tblGrid>
        <w:gridCol w:w="7920"/>
      </w:tblGrid>
      <w:tr>
        <w:tc>
          <w:tcPr/>
          <w:bookmarkStart w:id="136" w:name="fig-capex-pais-origen2"/>
          <w:p>
            <w:pPr>
              <w:jc w:val="center"/>
            </w:pPr>
            <w:pPr>
              <w:jc w:val="left"/>
              <w:spacing w:before="200"/>
              <w:pStyle w:val="ImageCaption"/>
            </w:pPr>
            <w:r>
              <w:t xml:space="preserve">Figura 21: CAPEX de anuncios de inversión en México, principales países de origen</w:t>
            </w:r>
          </w:p>
          <w:p>
            <w:pPr>
              <w:pStyle w:val="Compact"/>
              <w:jc w:val="center"/>
            </w:pPr>
            <w:r>
              <w:drawing>
                <wp:inline>
                  <wp:extent cx="4260816" cy="4749135"/>
                  <wp:effectExtent b="0" l="0" r="0" t="0"/>
                  <wp:docPr descr="" title="" id="134" name="Picture"/>
                  <a:graphic>
                    <a:graphicData uri="http://schemas.openxmlformats.org/drawingml/2006/picture">
                      <pic:pic>
                        <pic:nvPicPr>
                          <pic:cNvPr descr="../Plots/zafra-capex-origen.png" id="135" name="Picture"/>
                          <pic:cNvPicPr>
                            <a:picLocks noChangeArrowheads="1" noChangeAspect="1"/>
                          </pic:cNvPicPr>
                        </pic:nvPicPr>
                        <pic:blipFill>
                          <a:blip r:embed="rId133"/>
                          <a:stretch>
                            <a:fillRect/>
                          </a:stretch>
                        </pic:blipFill>
                        <pic:spPr bwMode="auto">
                          <a:xfrm>
                            <a:off x="0" y="0"/>
                            <a:ext cx="4260816" cy="4749135"/>
                          </a:xfrm>
                          <a:prstGeom prst="rect">
                            <a:avLst/>
                          </a:prstGeom>
                          <a:noFill/>
                          <a:ln w="9525">
                            <a:noFill/>
                            <a:headEnd/>
                            <a:tailEnd/>
                          </a:ln>
                        </pic:spPr>
                      </pic:pic>
                    </a:graphicData>
                  </a:graphic>
                </wp:inline>
              </w:drawing>
            </w:r>
          </w:p>
          <w:bookmarkEnd w:id="136"/>
        </w:tc>
      </w:tr>
    </w:tbl>
    <w:bookmarkEnd w:id="137"/>
    <w:bookmarkStart w:id="161" w:name="desarrollo-inmobiliario-industrial"/>
    <w:p>
      <w:pPr>
        <w:pStyle w:val="Heading3"/>
      </w:pPr>
      <w:r>
        <w:t xml:space="preserve">5.5 Desarrollo inmobiliario industrial</w:t>
      </w:r>
    </w:p>
    <w:p>
      <w:pPr>
        <w:pStyle w:val="FirstParagraph"/>
      </w:pPr>
      <w:r>
        <w:t xml:space="preserve">El impacto del nearshoring también se evidencia en la demanda de suelo industrial. Según CBRE</w:t>
      </w:r>
      <w:r>
        <w:rPr>
          <w:rStyle w:val="FootnoteReference"/>
        </w:rPr>
        <w:footnoteReference w:id="138"/>
      </w:r>
      <w:r>
        <w:t xml:space="preserve">, la demanda anual de bienes raíces industriales atribuida al nearshoring</w:t>
      </w:r>
      <w:r>
        <w:rPr>
          <w:rStyle w:val="FootnoteReference"/>
        </w:rPr>
        <w:footnoteReference w:id="139"/>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43" w:name="fig-absorcion-bruta-nearshoring"/>
          <w:p>
            <w:pPr>
              <w:jc w:val="center"/>
            </w:pPr>
            <w:pPr>
              <w:jc w:val="left"/>
              <w:spacing w:before="200"/>
              <w:pStyle w:val="ImageCaption"/>
            </w:pPr>
            <w:r>
              <w:t xml:space="preserve">Figura 22: Absorción bruta de inmuebles industriales atribuidos al nearshoring (millones de pies cuadrados)</w:t>
            </w:r>
          </w:p>
          <w:p>
            <w:pPr>
              <w:pStyle w:val="Compact"/>
              <w:jc w:val="center"/>
            </w:pPr>
            <w:r>
              <w:drawing>
                <wp:inline>
                  <wp:extent cx="5160854" cy="3111832"/>
                  <wp:effectExtent b="0" l="0" r="0" t="0"/>
                  <wp:docPr descr="" title="" id="141" name="Picture"/>
                  <a:graphic>
                    <a:graphicData uri="http://schemas.openxmlformats.org/drawingml/2006/picture">
                      <pic:pic>
                        <pic:nvPicPr>
                          <pic:cNvPr descr="../Plots/zafra-absorcion.png" id="142" name="Picture"/>
                          <pic:cNvPicPr>
                            <a:picLocks noChangeArrowheads="1" noChangeAspect="1"/>
                          </pic:cNvPicPr>
                        </pic:nvPicPr>
                        <pic:blipFill>
                          <a:blip r:embed="rId140"/>
                          <a:stretch>
                            <a:fillRect/>
                          </a:stretch>
                        </pic:blipFill>
                        <pic:spPr bwMode="auto">
                          <a:xfrm>
                            <a:off x="0" y="0"/>
                            <a:ext cx="5160854" cy="3111832"/>
                          </a:xfrm>
                          <a:prstGeom prst="rect">
                            <a:avLst/>
                          </a:prstGeom>
                          <a:noFill/>
                          <a:ln w="9525">
                            <a:noFill/>
                            <a:headEnd/>
                            <a:tailEnd/>
                          </a:ln>
                        </pic:spPr>
                      </pic:pic>
                    </a:graphicData>
                  </a:graphic>
                </wp:inline>
              </w:drawing>
            </w:r>
          </w:p>
          <w:bookmarkEnd w:id="143"/>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tbl>
      <w:tblPr>
        <w:tblStyle w:val="Table"/>
        <w:tblW w:type="pct" w:w="5000"/>
        <w:tblLayout w:type="fixed"/>
        <w:tblLook w:firstRow="0" w:lastRow="0" w:firstColumn="0" w:lastColumn="0" w:noHBand="0" w:noVBand="0" w:val="0000"/>
      </w:tblPr>
      <w:tblGrid>
        <w:gridCol w:w="7920"/>
      </w:tblGrid>
      <w:tr>
        <w:tc>
          <w:tcPr/>
          <w:bookmarkStart w:id="147" w:name="fig-absorcion-estado"/>
          <w:p>
            <w:pPr>
              <w:jc w:val="center"/>
            </w:pPr>
            <w:pPr>
              <w:jc w:val="left"/>
              <w:spacing w:before="200"/>
              <w:pStyle w:val="ImageCaption"/>
            </w:pPr>
            <w:r>
              <w:t xml:space="preserve">Figura 23: Absorción bruta de inmuebles industriales atribuidos al nearshoring, por estado (% del total): 2022, 2023, 2024</w:t>
            </w:r>
          </w:p>
          <w:p>
            <w:pPr>
              <w:pStyle w:val="Compact"/>
              <w:jc w:val="center"/>
            </w:pPr>
            <w:r>
              <w:drawing>
                <wp:inline>
                  <wp:extent cx="4624661" cy="5333202"/>
                  <wp:effectExtent b="0" l="0" r="0" t="0"/>
                  <wp:docPr descr="" title="" id="145" name="Picture"/>
                  <a:graphic>
                    <a:graphicData uri="http://schemas.openxmlformats.org/drawingml/2006/picture">
                      <pic:pic>
                        <pic:nvPicPr>
                          <pic:cNvPr descr="../Plots/zafra-absorcion-region.png" id="146" name="Picture"/>
                          <pic:cNvPicPr>
                            <a:picLocks noChangeArrowheads="1" noChangeAspect="1"/>
                          </pic:cNvPicPr>
                        </pic:nvPicPr>
                        <pic:blipFill>
                          <a:blip r:embed="rId144"/>
                          <a:stretch>
                            <a:fillRect/>
                          </a:stretch>
                        </pic:blipFill>
                        <pic:spPr bwMode="auto">
                          <a:xfrm>
                            <a:off x="0" y="0"/>
                            <a:ext cx="4624661" cy="5333202"/>
                          </a:xfrm>
                          <a:prstGeom prst="rect">
                            <a:avLst/>
                          </a:prstGeom>
                          <a:noFill/>
                          <a:ln w="9525">
                            <a:noFill/>
                            <a:headEnd/>
                            <a:tailEnd/>
                          </a:ln>
                        </pic:spPr>
                      </pic:pic>
                    </a:graphicData>
                  </a:graphic>
                </wp:inline>
              </w:drawing>
            </w:r>
          </w:p>
          <w:bookmarkEnd w:id="147"/>
        </w:tc>
      </w:tr>
    </w:tbl>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tbl>
      <w:tblPr>
        <w:tblStyle w:val="Table"/>
        <w:tblW w:type="pct" w:w="5000"/>
        <w:tblLayout w:type="fixed"/>
        <w:tblLook w:firstRow="0" w:lastRow="0" w:firstColumn="0" w:lastColumn="0" w:noHBand="0" w:noVBand="0" w:val="0000"/>
      </w:tblPr>
      <w:tblGrid>
        <w:gridCol w:w="7920"/>
      </w:tblGrid>
      <w:tr>
        <w:tc>
          <w:tcPr/>
          <w:bookmarkStart w:id="151" w:name="fig-demanda-sector-origen"/>
          <w:p>
            <w:pPr>
              <w:jc w:val="center"/>
            </w:pPr>
            <w:pPr>
              <w:jc w:val="left"/>
              <w:spacing w:before="200"/>
              <w:pStyle w:val="ImageCaption"/>
            </w:pPr>
            <w:r>
              <w:t xml:space="preserve">Figura 24: Absorción bruta de inmuebles industriales atribuidos al nearshoring por sector, (% del total)</w:t>
            </w:r>
          </w:p>
          <w:p>
            <w:pPr>
              <w:pStyle w:val="Compact"/>
              <w:jc w:val="center"/>
            </w:pPr>
            <w:r>
              <w:drawing>
                <wp:inline>
                  <wp:extent cx="4844883" cy="4701260"/>
                  <wp:effectExtent b="0" l="0" r="0" t="0"/>
                  <wp:docPr descr="" title="" id="149" name="Picture"/>
                  <a:graphic>
                    <a:graphicData uri="http://schemas.openxmlformats.org/drawingml/2006/picture">
                      <pic:pic>
                        <pic:nvPicPr>
                          <pic:cNvPr descr="../Plots/zafra-absorcion-sector.png" id="150" name="Picture"/>
                          <pic:cNvPicPr>
                            <a:picLocks noChangeArrowheads="1" noChangeAspect="1"/>
                          </pic:cNvPicPr>
                        </pic:nvPicPr>
                        <pic:blipFill>
                          <a:blip r:embed="rId148"/>
                          <a:stretch>
                            <a:fillRect/>
                          </a:stretch>
                        </pic:blipFill>
                        <pic:spPr bwMode="auto">
                          <a:xfrm>
                            <a:off x="0" y="0"/>
                            <a:ext cx="4844883" cy="4701260"/>
                          </a:xfrm>
                          <a:prstGeom prst="rect">
                            <a:avLst/>
                          </a:prstGeom>
                          <a:noFill/>
                          <a:ln w="9525">
                            <a:noFill/>
                            <a:headEnd/>
                            <a:tailEnd/>
                          </a:ln>
                        </pic:spPr>
                      </pic:pic>
                    </a:graphicData>
                  </a:graphic>
                </wp:inline>
              </w:drawing>
            </w:r>
          </w:p>
          <w:bookmarkEnd w:id="151"/>
        </w:tc>
      </w:tr>
    </w:tbl>
    <w:p>
      <w:pPr>
        <w:pStyle w:val="BodyText"/>
      </w:pPr>
      <w:r>
        <w:t xml:space="preserve">Por país de origen, China concentró el 37% de la demanda de suelo industrial por nearshoring entre 2019 y 2024, seguido por Estados Unidos (19%), Corea, Taiwán y Alemania (9% cada uno).</w:t>
      </w:r>
    </w:p>
    <w:tbl>
      <w:tblPr>
        <w:tblStyle w:val="Table"/>
        <w:tblW w:type="pct" w:w="5000"/>
        <w:tblLayout w:type="fixed"/>
        <w:tblLook w:firstRow="0" w:lastRow="0" w:firstColumn="0" w:lastColumn="0" w:noHBand="0" w:noVBand="0" w:val="0000"/>
      </w:tblPr>
      <w:tblGrid>
        <w:gridCol w:w="7920"/>
      </w:tblGrid>
      <w:tr>
        <w:tc>
          <w:tcPr/>
          <w:bookmarkStart w:id="155" w:name="fig-demanda-pais-origen"/>
          <w:p>
            <w:pPr>
              <w:jc w:val="center"/>
            </w:pPr>
            <w:pPr>
              <w:jc w:val="left"/>
              <w:spacing w:before="200"/>
              <w:pStyle w:val="ImageCaption"/>
            </w:pPr>
            <w:r>
              <w:t xml:space="preserve">Figura 25: Demanda de inmuebles industriales atribuidos al nearshoring entre 2019 y 2024, por país de origen (% del total)</w:t>
            </w:r>
          </w:p>
          <w:p>
            <w:pPr>
              <w:pStyle w:val="Compact"/>
              <w:jc w:val="center"/>
            </w:pPr>
            <w:r>
              <w:drawing>
                <wp:inline>
                  <wp:extent cx="4174642" cy="1685176"/>
                  <wp:effectExtent b="0" l="0" r="0" t="0"/>
                  <wp:docPr descr="" title="" id="153" name="Picture"/>
                  <a:graphic>
                    <a:graphicData uri="http://schemas.openxmlformats.org/drawingml/2006/picture">
                      <pic:pic>
                        <pic:nvPicPr>
                          <pic:cNvPr descr="../Plots/zafra-absorcion-origen.png" id="154" name="Picture"/>
                          <pic:cNvPicPr>
                            <a:picLocks noChangeArrowheads="1" noChangeAspect="1"/>
                          </pic:cNvPicPr>
                        </pic:nvPicPr>
                        <pic:blipFill>
                          <a:blip r:embed="rId152"/>
                          <a:stretch>
                            <a:fillRect/>
                          </a:stretch>
                        </pic:blipFill>
                        <pic:spPr bwMode="auto">
                          <a:xfrm>
                            <a:off x="0" y="0"/>
                            <a:ext cx="4174642" cy="1685176"/>
                          </a:xfrm>
                          <a:prstGeom prst="rect">
                            <a:avLst/>
                          </a:prstGeom>
                          <a:noFill/>
                          <a:ln w="9525">
                            <a:noFill/>
                            <a:headEnd/>
                            <a:tailEnd/>
                          </a:ln>
                        </pic:spPr>
                      </pic:pic>
                    </a:graphicData>
                  </a:graphic>
                </wp:inline>
              </w:drawing>
            </w:r>
          </w:p>
          <w:bookmarkEnd w:id="155"/>
        </w:tc>
      </w:tr>
    </w:tbl>
    <w:p>
      <w:pPr>
        <w:pStyle w:val="BodyText"/>
      </w:pPr>
      <w:r>
        <w:t xml:space="preserve">Con información de la absorción neta (superficie ocupada menos desalojada) de suelo industrial en principales ciudades provistas por Logan Valuation</w:t>
      </w:r>
      <w:r>
        <w:rPr>
          <w:rStyle w:val="FootnoteReference"/>
        </w:rPr>
        <w:footnoteReference w:id="156"/>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tbl>
      <w:tblPr>
        <w:tblStyle w:val="Table"/>
        <w:tblW w:type="pct" w:w="5000"/>
        <w:tblLayout w:type="fixed"/>
        <w:tblLook w:firstRow="0" w:lastRow="0" w:firstColumn="0" w:lastColumn="0" w:noHBand="0" w:noVBand="0" w:val="0000"/>
      </w:tblPr>
      <w:tblGrid>
        <w:gridCol w:w="7920"/>
      </w:tblGrid>
      <w:tr>
        <w:tc>
          <w:tcPr/>
          <w:bookmarkStart w:id="160" w:name="fig-absorcion-neta-ciudades"/>
          <w:p>
            <w:pPr>
              <w:pStyle w:val="Compact"/>
              <w:jc w:val="center"/>
            </w:pPr>
            <w:r>
              <w:drawing>
                <wp:inline>
                  <wp:extent cx="4643811" cy="4634236"/>
                  <wp:effectExtent b="0" l="0" r="0" t="0"/>
                  <wp:docPr descr="" title="" id="158" name="Picture"/>
                  <a:graphic>
                    <a:graphicData uri="http://schemas.openxmlformats.org/drawingml/2006/picture">
                      <pic:pic>
                        <pic:nvPicPr>
                          <pic:cNvPr descr="../Plots/zafra-absorcion-ciudades.png" id="159" name="Picture"/>
                          <pic:cNvPicPr>
                            <a:picLocks noChangeArrowheads="1" noChangeAspect="1"/>
                          </pic:cNvPicPr>
                        </pic:nvPicPr>
                        <pic:blipFill>
                          <a:blip r:embed="rId157"/>
                          <a:stretch>
                            <a:fillRect/>
                          </a:stretch>
                        </pic:blipFill>
                        <pic:spPr bwMode="auto">
                          <a:xfrm>
                            <a:off x="0" y="0"/>
                            <a:ext cx="4643811" cy="4634236"/>
                          </a:xfrm>
                          <a:prstGeom prst="rect">
                            <a:avLst/>
                          </a:prstGeom>
                          <a:noFill/>
                          <a:ln w="9525">
                            <a:noFill/>
                            <a:headEnd/>
                            <a:tailEnd/>
                          </a:ln>
                        </pic:spPr>
                      </pic:pic>
                    </a:graphicData>
                  </a:graphic>
                </wp:inline>
              </w:drawing>
            </w:r>
          </w:p>
          <w:p>
            <w:pPr>
              <w:jc w:val="center"/>
            </w:pPr>
            <w:pPr>
              <w:jc w:val="left"/>
              <w:spacing w:before="200"/>
              <w:pStyle w:val="ImageCaption"/>
            </w:pPr>
            <w:r>
              <w:t xml:space="preserve">Figura 26: Absorción neta de suelo industrial de principales ciudades del país: por ciudad (m²) y por región (2019=100)</w:t>
            </w:r>
          </w:p>
          <w:bookmarkEnd w:id="160"/>
        </w:tc>
      </w:tr>
    </w:tbl>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61"/>
    <w:bookmarkStart w:id="166" w:name="otros-indicadores"/>
    <w:p>
      <w:pPr>
        <w:pStyle w:val="Heading3"/>
      </w:pPr>
      <w:r>
        <w:t xml:space="preserve">5.6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tbl>
      <w:tblPr>
        <w:tblStyle w:val="Table"/>
        <w:tblW w:type="pct" w:w="5000"/>
        <w:tblLayout w:type="fixed"/>
        <w:tblLook w:firstRow="0" w:lastRow="0" w:firstColumn="0" w:lastColumn="0" w:noHBand="0" w:noVBand="0" w:val="0000"/>
      </w:tblPr>
      <w:tblGrid>
        <w:gridCol w:w="7920"/>
      </w:tblGrid>
      <w:tr>
        <w:tc>
          <w:tcPr/>
          <w:bookmarkStart w:id="165" w:name="tbl-intenciones-ied"/>
          <w:p>
            <w:pPr>
              <w:jc w:val="center"/>
            </w:pPr>
            <w:pPr>
              <w:jc w:val="left"/>
              <w:spacing w:before="200"/>
              <w:pStyle w:val="ImageCaption"/>
            </w:pPr>
            <w:r>
              <w:t xml:space="preserve">Tabla 7: Distribución de intenciones de inversion de EMN manufactureras en países de ALC ceranos a EUA (proporción país-sector del subgrupo)</w:t>
            </w:r>
          </w:p>
          <w:p>
            <w:pPr>
              <w:jc w:val="center"/>
            </w:pPr>
            <w:r>
              <w:drawing>
                <wp:inline>
                  <wp:extent cx="5227878" cy="1752201"/>
                  <wp:effectExtent b="0" l="0" r="0" t="0"/>
                  <wp:docPr descr="" title="" id="163" name="Picture"/>
                  <a:graphic>
                    <a:graphicData uri="http://schemas.openxmlformats.org/drawingml/2006/picture">
                      <pic:pic>
                        <pic:nvPicPr>
                          <pic:cNvPr descr="../Plots/zafra-intenciones.png" id="164" name="Picture"/>
                          <pic:cNvPicPr>
                            <a:picLocks noChangeArrowheads="1" noChangeAspect="1"/>
                          </pic:cNvPicPr>
                        </pic:nvPicPr>
                        <pic:blipFill>
                          <a:blip r:embed="rId162"/>
                          <a:stretch>
                            <a:fillRect/>
                          </a:stretch>
                        </pic:blipFill>
                        <pic:spPr bwMode="auto">
                          <a:xfrm>
                            <a:off x="0" y="0"/>
                            <a:ext cx="5227878" cy="1752201"/>
                          </a:xfrm>
                          <a:prstGeom prst="rect">
                            <a:avLst/>
                          </a:prstGeom>
                          <a:noFill/>
                          <a:ln w="9525">
                            <a:noFill/>
                            <a:headEnd/>
                            <a:tailEnd/>
                          </a:ln>
                        </pic:spPr>
                      </pic:pic>
                    </a:graphicData>
                  </a:graphic>
                </wp:inline>
              </w:drawing>
            </w:r>
          </w:p>
          <w:bookmarkEnd w:id="165"/>
        </w:tc>
      </w:tr>
    </w:tbl>
    <w:bookmarkEnd w:id="166"/>
    <w:bookmarkEnd w:id="167"/>
    <w:bookmarkStart w:id="168" w:name="síntesis-y-conclusiones"/>
    <w:p>
      <w:pPr>
        <w:pStyle w:val="Heading2"/>
      </w:pPr>
      <w:r>
        <w:t xml:space="preserve">6 Síntesis y conclusiones</w:t>
      </w:r>
    </w:p>
    <w:p>
      <w:pPr>
        <w:pStyle w:val="FirstParagraph"/>
      </w:pPr>
      <w:r>
        <w:t xml:space="preserve">México ha tenido un desempeño exportador exitoso, tanto en términos del valor de sus exportaciones como en términos de su capacidad de integrarse en cadenas de valor sofisticada, y de ser, junto con Costa Rica, uno de los dos únicos países en ALC cuyas exportaciones no están concentradas en bienes primarios. Su éxito tiene raíces ya lejanas, pero el desempeño durante la primara fase del NS, entre 2018 y 2024 fue notable, y le permitió convertirse en el primer exportador de bienes al mercado de EUA.</w:t>
      </w:r>
    </w:p>
    <w:p>
      <w:pPr>
        <w:pStyle w:val="BodyText"/>
      </w:pPr>
      <w:r>
        <w:t xml:space="preserve">Aunque las exportaciones mexicanas a EUA han seguido creciendo durante la segunda fase del NS, su participación relativa en ese mercado se ha estabilizado, y nuevos competidores, que aún tienen una participación pequeña, están aumentando rápidamente sus exportaciones. Es posible que Taiwán y Vietnam se conviertan en rivales estratégicos de México en los próximos años. El tema se explora con más detalle en el Capítulo 3 de este libro.</w:t>
      </w:r>
    </w:p>
    <w:p>
      <w:pPr>
        <w:pStyle w:val="BodyText"/>
      </w:pPr>
      <w:r>
        <w:t xml:space="preserve">De manera quizá sorpresiva, uno de los pilares de la integración de México en el mercado de América del Norte, el sector automotriz, ha sido colocado en una posición de desventaja competitiva, y sus exportaciones se han contraido. Este tema también se aborda con más detalle en el Capítulo 3.</w:t>
      </w:r>
    </w:p>
    <w:p>
      <w:pPr>
        <w:pStyle w:val="BodyText"/>
      </w:pPr>
      <w:r>
        <w:t xml:space="preserve">A pesar de estos éxitos, las exportaciones de bienes de México están altamente concentradas, tanto en términos de destinos (EUA absorbe más del 80% del total) como en términos de productos, medidos hasta ahora hasta el nivel de Partida arancelaria, y el crecimiento reciente está aún más concentrado que la distribución total de las exportaciones, como se ha puesto en evidencia en este Capítulo.</w:t>
      </w:r>
    </w:p>
    <w:p>
      <w:pPr>
        <w:pStyle w:val="BodyText"/>
      </w:pPr>
      <w:r>
        <w:t xml:space="preserve">A partir de este análisis es posible identificar cuatro retos importantes que México deberá enfrentar en la próxima década:</w:t>
      </w:r>
    </w:p>
    <w:p>
      <w:pPr>
        <w:numPr>
          <w:ilvl w:val="0"/>
          <w:numId w:val="1011"/>
        </w:numPr>
      </w:pPr>
      <w:r>
        <w:t xml:space="preserve">Profundizar el arraigo de los sectores exportadores más exitosos. La profundización o en su caso la creación de redes de proveedores de alto valor agregado puede contribuir a este arraigo, y en el Capítulo 5 de este libro se presenta una propuesta de cómo hacerlo en el caso del sector exportador que más rápidamente está creciendo en México: el de servidores para centros de datos. Superar los cuellos de botella en infraestructura pública puede ser igualmente importante, y el caso específico del suministro de energía se examina en el Capítulo 6.</w:t>
      </w:r>
    </w:p>
    <w:p>
      <w:pPr>
        <w:numPr>
          <w:ilvl w:val="0"/>
          <w:numId w:val="1011"/>
        </w:numPr>
      </w:pPr>
      <w:r>
        <w:t xml:space="preserve">Diversificar gradualmente el portafolio exportador. Este tema supera el ámbito de este libro, pero otro proyecto del CEPCAN,</w:t>
      </w:r>
      <w:r>
        <w:t xml:space="preserve"> </w:t>
      </w:r>
      <w:r>
        <w:t xml:space="preserve">“Diversificación Productiva de México”</w:t>
      </w:r>
      <w:r>
        <w:t xml:space="preserve"> </w:t>
      </w:r>
      <w:r>
        <w:t xml:space="preserve">está dedicado exclusivamente a este tema. Y en ese mismo proyecto se aborda un reto complementario: el de incorporar a más estados y regiones de México al éxito de la economía exportadora.</w:t>
      </w:r>
    </w:p>
    <w:p>
      <w:pPr>
        <w:numPr>
          <w:ilvl w:val="0"/>
          <w:numId w:val="1011"/>
        </w:numPr>
      </w:pPr>
      <w:r>
        <w:t xml:space="preserve">Finalmente, un reto de más largo plazo, quizá menos urgente pero no menos importante: diversificar los destinos de las exportaciones de México. La turbulencia de la política arancelaria de EUA hace que esta sea una tarea indispensable pero difícil y delicada. Quizá sea el momento oportuno para considerar la (re) creación de una agencia federal dedicada a la promoción de exportaciones mexicanas a nuevos mercados, cuya labor sería doblemente efectiva si se complementa con agencias estatales con una misión semejante. Una red de organizaciones privadas de promoción de las exportaciones, que ya existen en varios estados, sería el complemento indispensable para un proyecto cuyo éxito dependerá, en buena medida, de procesos eficaces de colaboración y co-descubrimiento de oportunidades de exportación entre el sector público y el sector privado.</w:t>
      </w:r>
    </w:p>
    <w:bookmarkEnd w:id="168"/>
    <w:bookmarkStart w:id="188" w:name="anexos"/>
    <w:p>
      <w:pPr>
        <w:pStyle w:val="Heading2"/>
      </w:pPr>
      <w:r>
        <w:t xml:space="preserve">7 Anexos</w:t>
      </w:r>
    </w:p>
    <w:bookmarkStart w:id="185" w:name="Xd8d9c2b0b388aab97453b4e2b99ac09dc696809"/>
    <w:p>
      <w:pPr>
        <w:pStyle w:val="Heading3"/>
      </w:pPr>
      <w:r>
        <w:t xml:space="preserve">7.1 Evolución y puntos de quiebre de tendencia de las principales exportaciones por partida</w:t>
      </w:r>
    </w:p>
    <w:p>
      <w:pPr>
        <w:pStyle w:val="FirstParagraph"/>
      </w:pPr>
      <w:r>
        <w:t xml:space="preserve">Capítulo 84</w:t>
      </w:r>
    </w:p>
    <w:tbl>
      <w:tblPr>
        <w:tblStyle w:val="Table"/>
        <w:tblW w:type="pct" w:w="5000"/>
        <w:tblLayout w:type="fixed"/>
        <w:tblLook w:firstRow="0" w:lastRow="0" w:firstColumn="0" w:lastColumn="0" w:noHBand="0" w:noVBand="0" w:val="0000"/>
      </w:tblPr>
      <w:tblGrid>
        <w:gridCol w:w="7920"/>
      </w:tblGrid>
      <w:tr>
        <w:tc>
          <w:tcPr/>
          <w:bookmarkStart w:id="172" w:name="fig-cap84-partidas"/>
          <w:p>
            <w:pPr>
              <w:jc w:val="center"/>
            </w:pPr>
            <w:pPr>
              <w:jc w:val="left"/>
              <w:spacing w:before="200"/>
              <w:pStyle w:val="ImageCaption"/>
            </w:pPr>
            <w:r>
              <w:t xml:space="preserve">Figura 27: México. Exportaciones Capítulo 84, Partidas Seleccionadas, 2010-2025</w:t>
            </w:r>
          </w:p>
          <w:p>
            <w:pPr>
              <w:pStyle w:val="Compact"/>
              <w:jc w:val="center"/>
            </w:pPr>
            <w:r>
              <w:drawing>
                <wp:inline>
                  <wp:extent cx="5486400" cy="7040880"/>
                  <wp:effectExtent b="0" l="0" r="0" t="0"/>
                  <wp:docPr descr="" title="" id="170" name="Picture"/>
                  <a:graphic>
                    <a:graphicData uri="http://schemas.openxmlformats.org/drawingml/2006/picture">
                      <pic:pic>
                        <pic:nvPicPr>
                          <pic:cNvPr descr="../Plots/panel_partidas_cap84.png" id="171" name="Picture"/>
                          <pic:cNvPicPr>
                            <a:picLocks noChangeArrowheads="1" noChangeAspect="1"/>
                          </pic:cNvPicPr>
                        </pic:nvPicPr>
                        <pic:blipFill>
                          <a:blip r:embed="rId169"/>
                          <a:stretch>
                            <a:fillRect/>
                          </a:stretch>
                        </pic:blipFill>
                        <pic:spPr bwMode="auto">
                          <a:xfrm>
                            <a:off x="0" y="0"/>
                            <a:ext cx="5486400" cy="7040880"/>
                          </a:xfrm>
                          <a:prstGeom prst="rect">
                            <a:avLst/>
                          </a:prstGeom>
                          <a:noFill/>
                          <a:ln w="9525">
                            <a:noFill/>
                            <a:headEnd/>
                            <a:tailEnd/>
                          </a:ln>
                        </pic:spPr>
                      </pic:pic>
                    </a:graphicData>
                  </a:graphic>
                </wp:inline>
              </w:drawing>
            </w:r>
          </w:p>
          <w:bookmarkEnd w:id="172"/>
        </w:tc>
      </w:tr>
    </w:tbl>
    <w:p>
      <w:pPr>
        <w:pStyle w:val="BodyText"/>
      </w:pPr>
      <w:r>
        <w:t xml:space="preserve">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p>
      <w:pPr>
        <w:numPr>
          <w:ilvl w:val="0"/>
          <w:numId w:val="1012"/>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12"/>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p>
      <w:pPr>
        <w:pStyle w:val="FirstParagraph"/>
      </w:pPr>
      <w:r>
        <w:t xml:space="preserve">Capítulo 85</w:t>
      </w:r>
    </w:p>
    <w:tbl>
      <w:tblPr>
        <w:tblStyle w:val="Table"/>
        <w:tblW w:type="pct" w:w="5000"/>
        <w:tblLayout w:type="fixed"/>
        <w:tblLook w:firstRow="0" w:lastRow="0" w:firstColumn="0" w:lastColumn="0" w:noHBand="0" w:noVBand="0" w:val="0000"/>
      </w:tblPr>
      <w:tblGrid>
        <w:gridCol w:w="7920"/>
      </w:tblGrid>
      <w:tr>
        <w:tc>
          <w:tcPr/>
          <w:bookmarkStart w:id="176" w:name="fig-cap85-partidas"/>
          <w:p>
            <w:pPr>
              <w:jc w:val="center"/>
            </w:pPr>
            <w:pPr>
              <w:jc w:val="left"/>
              <w:spacing w:before="200"/>
              <w:pStyle w:val="ImageCaption"/>
            </w:pPr>
            <w:r>
              <w:t xml:space="preserve">Figura 28: México. Exportaciones Capítulo 85, Partidas seleccionadas, 2010-2025</w:t>
            </w:r>
          </w:p>
          <w:p>
            <w:pPr>
              <w:pStyle w:val="Compact"/>
              <w:jc w:val="center"/>
            </w:pPr>
            <w:r>
              <w:drawing>
                <wp:inline>
                  <wp:extent cx="5486400" cy="9052560"/>
                  <wp:effectExtent b="0" l="0" r="0" t="0"/>
                  <wp:docPr descr="" title="" id="174" name="Picture"/>
                  <a:graphic>
                    <a:graphicData uri="http://schemas.openxmlformats.org/drawingml/2006/picture">
                      <pic:pic>
                        <pic:nvPicPr>
                          <pic:cNvPr descr="../Plots/panel_partidas_cap85.png" id="175" name="Picture"/>
                          <pic:cNvPicPr>
                            <a:picLocks noChangeArrowheads="1" noChangeAspect="1"/>
                          </pic:cNvPicPr>
                        </pic:nvPicPr>
                        <pic:blipFill>
                          <a:blip r:embed="rId173"/>
                          <a:stretch>
                            <a:fillRect/>
                          </a:stretch>
                        </pic:blipFill>
                        <pic:spPr bwMode="auto">
                          <a:xfrm>
                            <a:off x="0" y="0"/>
                            <a:ext cx="5486400" cy="9052560"/>
                          </a:xfrm>
                          <a:prstGeom prst="rect">
                            <a:avLst/>
                          </a:prstGeom>
                          <a:noFill/>
                          <a:ln w="9525">
                            <a:noFill/>
                            <a:headEnd/>
                            <a:tailEnd/>
                          </a:ln>
                        </pic:spPr>
                      </pic:pic>
                    </a:graphicData>
                  </a:graphic>
                </wp:inline>
              </w:drawing>
            </w:r>
          </w:p>
          <w:bookmarkEnd w:id="176"/>
        </w:tc>
      </w:tr>
    </w:tbl>
    <w:p>
      <w:pPr>
        <w:pStyle w:val="BodyText"/>
      </w:pPr>
      <w:r>
        <w:t xml:space="preserve">La</w:t>
      </w:r>
      <w:r>
        <w:t xml:space="preserve"> </w:t>
      </w:r>
      <w:hyperlink w:anchor="fig-cap85-partidas">
        <w:r>
          <w:rPr>
            <w:rStyle w:val="Hyperlink"/>
          </w:rPr>
          <w:t xml:space="preserve">Figura 28</w:t>
        </w:r>
      </w:hyperlink>
      <w:r>
        <w:t xml:space="preserve"> </w:t>
      </w:r>
      <w:r>
        <w:t xml:space="preserve">presenta gráficamente la evolución de las exportaciones por partida. Al igual que en el caso anterior, se usan índices en vez de valores absolutos, y se identifican puntos de quiebre de tendencia.</w:t>
      </w:r>
    </w:p>
    <w:p>
      <w:pPr>
        <w:numPr>
          <w:ilvl w:val="0"/>
          <w:numId w:val="1013"/>
        </w:numPr>
      </w:pPr>
      <w:r>
        <w:t xml:space="preserve">Dos partidas, la 8512 y la 8528 muestran un cambio de tendencia negativo, pero se da en 2022, por lo que ese cambio no se pued atribuir a la nueva política arancelaria de EUA, mientras que una partida, la 8517, tiene un comportamiento inestable, con cambios de tendendia frecuentes, u un volumn de exportaciones al final del período prácticamente igual al de el inicio del período.</w:t>
      </w:r>
    </w:p>
    <w:p>
      <w:pPr>
        <w:numPr>
          <w:ilvl w:val="0"/>
          <w:numId w:val="1013"/>
        </w:numPr>
      </w:pPr>
      <w:r>
        <w:t xml:space="preserve">En todos los demás casos las tendencias son uniformemente positivas, y curiosamente, en todos los casos en los que el ritmo de crecimiento se atenúa hacia el final de la serie, el cambio de tendencia tiene lugar en 2022, de manera que esa desaceleración tampoco puede atribuirse al cambio en la política arancelaria de EUA a partir de 2025. 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tbl>
      <w:tblPr>
        <w:tblStyle w:val="Table"/>
        <w:tblW w:type="pct" w:w="5000"/>
        <w:tblLayout w:type="fixed"/>
        <w:tblLook w:firstRow="0" w:lastRow="0" w:firstColumn="0" w:lastColumn="0" w:noHBand="0" w:noVBand="0" w:val="0000"/>
      </w:tblPr>
      <w:tblGrid>
        <w:gridCol w:w="7920"/>
      </w:tblGrid>
      <w:tr>
        <w:tc>
          <w:tcPr/>
          <w:bookmarkStart w:id="180" w:name="fig-cap87-partidas"/>
          <w:p>
            <w:pPr>
              <w:jc w:val="center"/>
            </w:pPr>
            <w:pPr>
              <w:jc w:val="left"/>
              <w:spacing w:before="200"/>
              <w:pStyle w:val="ImageCaption"/>
            </w:pPr>
            <w:r>
              <w:t xml:space="preserve">Figura 29: México. Exportaciones Capítulo 87, Partidas seleccionadas, 2010-2025</w:t>
            </w:r>
          </w:p>
          <w:p>
            <w:pPr>
              <w:pStyle w:val="Compact"/>
              <w:jc w:val="center"/>
            </w:pPr>
            <w:r>
              <w:drawing>
                <wp:inline>
                  <wp:extent cx="5486400" cy="3017520"/>
                  <wp:effectExtent b="0" l="0" r="0" t="0"/>
                  <wp:docPr descr="" title="" id="178" name="Picture"/>
                  <a:graphic>
                    <a:graphicData uri="http://schemas.openxmlformats.org/drawingml/2006/picture">
                      <pic:pic>
                        <pic:nvPicPr>
                          <pic:cNvPr descr="../Plots/panel_partidas_cap87.png" id="179" name="Picture"/>
                          <pic:cNvPicPr>
                            <a:picLocks noChangeArrowheads="1" noChangeAspect="1"/>
                          </pic:cNvPicPr>
                        </pic:nvPicPr>
                        <pic:blipFill>
                          <a:blip r:embed="rId177"/>
                          <a:stretch>
                            <a:fillRect/>
                          </a:stretch>
                        </pic:blipFill>
                        <pic:spPr bwMode="auto">
                          <a:xfrm>
                            <a:off x="0" y="0"/>
                            <a:ext cx="5486400" cy="3017520"/>
                          </a:xfrm>
                          <a:prstGeom prst="rect">
                            <a:avLst/>
                          </a:prstGeom>
                          <a:noFill/>
                          <a:ln w="9525">
                            <a:noFill/>
                            <a:headEnd/>
                            <a:tailEnd/>
                          </a:ln>
                        </pic:spPr>
                      </pic:pic>
                    </a:graphicData>
                  </a:graphic>
                </wp:inline>
              </w:drawing>
            </w:r>
          </w:p>
          <w:bookmarkEnd w:id="180"/>
        </w:tc>
      </w:tr>
    </w:tbl>
    <w:p>
      <w:pPr>
        <w:pStyle w:val="BodyText"/>
      </w:pPr>
      <w:r>
        <w:t xml:space="preserve">Aunque en la</w:t>
      </w:r>
      <w:r>
        <w:t xml:space="preserve"> </w:t>
      </w:r>
      <w:hyperlink w:anchor="fig-cap87-partidas">
        <w:r>
          <w:rPr>
            <w:rStyle w:val="Hyperlink"/>
          </w:rPr>
          <w:t xml:space="preserve">Figura 29</w:t>
        </w:r>
      </w:hyperlink>
      <w:r>
        <w:t xml:space="preserve"> </w:t>
      </w:r>
      <w:r>
        <w:t xml:space="preserve">no se logró identificar estadísticamente cambios de tendencia en ninguna de las partidas analizadas, en el próximo capítulo, en el que se analizan las tarifas que enfrentan tanto México como sus principales competidores en este capítulo, se presenta evidencia que sugiere que el rápido crecimiento del período 2010-2018 no se repetirá y que no se puede descartar que la contracción de 2024-2025 se repita en 2026.</w:t>
      </w:r>
    </w:p>
    <w:tbl>
      <w:tblPr>
        <w:tblStyle w:val="Table"/>
        <w:tblW w:type="pct" w:w="5000"/>
        <w:tblLayout w:type="fixed"/>
        <w:tblLook w:firstRow="0" w:lastRow="0" w:firstColumn="0" w:lastColumn="0" w:noHBand="0" w:noVBand="0" w:val="0000"/>
      </w:tblPr>
      <w:tblGrid>
        <w:gridCol w:w="7920"/>
      </w:tblGrid>
      <w:tr>
        <w:tc>
          <w:tcPr/>
          <w:bookmarkStart w:id="184" w:name="fig-cap90-partidas"/>
          <w:p>
            <w:pPr>
              <w:jc w:val="center"/>
            </w:pPr>
            <w:pPr>
              <w:jc w:val="left"/>
              <w:spacing w:before="200"/>
              <w:pStyle w:val="ImageCaption"/>
            </w:pPr>
            <w:r>
              <w:t xml:space="preserve">Figura 30: México. Exportaciones Capítulo 90, Partidas seleccionadas, 2010-2025</w:t>
            </w:r>
          </w:p>
          <w:p>
            <w:pPr>
              <w:pStyle w:val="Compact"/>
              <w:jc w:val="center"/>
            </w:pPr>
            <w:r>
              <w:drawing>
                <wp:inline>
                  <wp:extent cx="5486400" cy="7040880"/>
                  <wp:effectExtent b="0" l="0" r="0" t="0"/>
                  <wp:docPr descr="" title="" id="182" name="Picture"/>
                  <a:graphic>
                    <a:graphicData uri="http://schemas.openxmlformats.org/drawingml/2006/picture">
                      <pic:pic>
                        <pic:nvPicPr>
                          <pic:cNvPr descr="../Plots/panel_partidas_cap90.png" id="183" name="Picture"/>
                          <pic:cNvPicPr>
                            <a:picLocks noChangeArrowheads="1" noChangeAspect="1"/>
                          </pic:cNvPicPr>
                        </pic:nvPicPr>
                        <pic:blipFill>
                          <a:blip r:embed="rId181"/>
                          <a:stretch>
                            <a:fillRect/>
                          </a:stretch>
                        </pic:blipFill>
                        <pic:spPr bwMode="auto">
                          <a:xfrm>
                            <a:off x="0" y="0"/>
                            <a:ext cx="5486400" cy="7040880"/>
                          </a:xfrm>
                          <a:prstGeom prst="rect">
                            <a:avLst/>
                          </a:prstGeom>
                          <a:noFill/>
                          <a:ln w="9525">
                            <a:noFill/>
                            <a:headEnd/>
                            <a:tailEnd/>
                          </a:ln>
                        </pic:spPr>
                      </pic:pic>
                    </a:graphicData>
                  </a:graphic>
                </wp:inline>
              </w:drawing>
            </w:r>
          </w:p>
          <w:bookmarkEnd w:id="184"/>
        </w:tc>
      </w:tr>
    </w:tbl>
    <w:p>
      <w:pPr>
        <w:pStyle w:val="BodyText"/>
      </w:pPr>
      <w:r>
        <w:t xml:space="preserve">En este caso, la visualización de la información no arroja sorpresas: dos partidas, la 9018 y la 9019 muestran un crecimiento aceleardo, mientras que en las demás el crecimiento es modesto o muestra una quiebre negativo de tendencia en el último período.</w:t>
      </w:r>
    </w:p>
    <w:bookmarkEnd w:id="185"/>
    <w:bookmarkStart w:id="187" w:name="Xd43d3b01e66fe68af2291fb7c08a32e2aadeb95"/>
    <w:p>
      <w:pPr>
        <w:pStyle w:val="Heading3"/>
      </w:pPr>
      <w:r>
        <w:t xml:space="preserve">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186" w:name="tbl-disponibilidad-estado-sector"/>
          <w:p>
            <w:pPr>
              <w:jc w:val="center"/>
            </w:pPr>
            <w:pPr>
              <w:jc w:val="left"/>
              <w:spacing w:before="200"/>
              <w:pStyle w:val="ImageCaption"/>
            </w:pPr>
            <w:r>
              <w:t xml:space="preserve">Tabla 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21.1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26.3</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63.2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10.5</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186"/>
        </w:tc>
      </w:tr>
    </w:tbl>
    <w:bookmarkEnd w:id="187"/>
    <w:bookmarkEnd w:id="188"/>
    <w:bookmarkStart w:id="215" w:name="referencias"/>
    <w:p>
      <w:pPr>
        <w:pStyle w:val="Heading2"/>
      </w:pPr>
      <w:r>
        <w:t xml:space="preserve">8 Referencias</w:t>
      </w:r>
    </w:p>
    <w:bookmarkStart w:id="214" w:name="refs"/>
    <w:bookmarkStart w:id="189" w:name="ref-alfarochor2023"/>
    <w:p>
      <w:pPr>
        <w:pStyle w:val="Bibliography"/>
      </w:pPr>
      <w:r>
        <w:t xml:space="preserve">Alfaro, Laura, y Davin Chor. 2023.</w:t>
      </w:r>
      <w:r>
        <w:t xml:space="preserve"> </w:t>
      </w:r>
      <w:r>
        <w:t xml:space="preserve">«Global Supply Chains: The Looming "Great Reallocation"»</w:t>
      </w:r>
      <w:r>
        <w:t xml:space="preserve">.</w:t>
      </w:r>
    </w:p>
    <w:bookmarkEnd w:id="189"/>
    <w:bookmarkStart w:id="190" w:name="ref-aroca2005"/>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190"/>
    <w:bookmarkStart w:id="191"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191"/>
    <w:bookmarkStart w:id="192" w:name="ref-chiquiar2005"/>
    <w:p>
      <w:pPr>
        <w:pStyle w:val="Bibliography"/>
      </w:pPr>
      <w:r>
        <w:t xml:space="preserve">Chiquiar, Daniel. 2005.</w:t>
      </w:r>
      <w:r>
        <w:t xml:space="preserve"> </w:t>
      </w:r>
      <w:r>
        <w:t xml:space="preserve">«Why Mexico’s regional income convergence broke down?»</w:t>
      </w:r>
      <w:r>
        <w:t xml:space="preserve"> </w:t>
      </w:r>
      <w:r>
        <w:rPr>
          <w:i/>
          <w:iCs/>
        </w:rPr>
        <w:t xml:space="preserve">Journal of Development Economics</w:t>
      </w:r>
      <w:r>
        <w:t xml:space="preserve">.</w:t>
      </w:r>
    </w:p>
    <w:bookmarkEnd w:id="192"/>
    <w:bookmarkStart w:id="193"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193"/>
    <w:bookmarkStart w:id="195"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194">
        <w:r>
          <w:rPr>
            <w:rStyle w:val="Hyperlink"/>
          </w:rPr>
          <w:t xml:space="preserve">https://www.federalreserve.gov/econres/notes/feds-notes/did-the-us-bilateral-goods-deficit-with-china-increase-or-decrease-during-the-us-china-trade-conflict-20210621.html</w:t>
        </w:r>
      </w:hyperlink>
      <w:r>
        <w:t xml:space="preserve">.</w:t>
      </w:r>
    </w:p>
    <w:bookmarkEnd w:id="195"/>
    <w:bookmarkStart w:id="197"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196">
        <w:r>
          <w:rPr>
            <w:rStyle w:val="Hyperlink"/>
          </w:rPr>
          <w:t xml:space="preserve">https://www.bakerinstitute.org/research/new-taxonomy-nearshoring-strategic-trends-global-value-chain-reconfiguration</w:t>
        </w:r>
      </w:hyperlink>
      <w:r>
        <w:t xml:space="preserve">.</w:t>
      </w:r>
    </w:p>
    <w:bookmarkEnd w:id="197"/>
    <w:bookmarkStart w:id="198"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198"/>
    <w:bookmarkStart w:id="200"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199">
        <w:r>
          <w:rPr>
            <w:rStyle w:val="Hyperlink"/>
          </w:rPr>
          <w:t xml:space="preserve">https://documents.worldbank.org/en/publication/documents-reports/documentdetail/099312512192423854</w:t>
        </w:r>
      </w:hyperlink>
      <w:r>
        <w:t xml:space="preserve">.</w:t>
      </w:r>
    </w:p>
    <w:bookmarkEnd w:id="200"/>
    <w:bookmarkStart w:id="201" w:name="ref-gómez2009"/>
    <w:p>
      <w:pPr>
        <w:pStyle w:val="Bibliography"/>
      </w:pPr>
      <w:r>
        <w:t xml:space="preserve">Gómez, Manuel, y Daniel Ventosa-Sataularia.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w:t>
      </w:r>
    </w:p>
    <w:bookmarkEnd w:id="201"/>
    <w:bookmarkStart w:id="203"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202">
        <w:r>
          <w:rPr>
            <w:rStyle w:val="Hyperlink"/>
          </w:rPr>
          <w:t xml:space="preserve">https://voxchina.org/show-3-392.html</w:t>
        </w:r>
      </w:hyperlink>
      <w:r>
        <w:t xml:space="preserve">.</w:t>
      </w:r>
    </w:p>
    <w:bookmarkEnd w:id="203"/>
    <w:bookmarkStart w:id="205" w:name="ref-krugman2025"/>
    <w:p>
      <w:pPr>
        <w:pStyle w:val="Bibliography"/>
      </w:pPr>
      <w:r>
        <w:t xml:space="preserve">Krugman, Paul. 2025.</w:t>
      </w:r>
      <w:r>
        <w:t xml:space="preserve"> </w:t>
      </w:r>
      <w:r>
        <w:t xml:space="preserve">«America is Trapped in a Burning Tesla»</w:t>
      </w:r>
      <w:r>
        <w:t xml:space="preserve">.</w:t>
      </w:r>
      <w:r>
        <w:t xml:space="preserve"> </w:t>
      </w:r>
      <w:hyperlink r:id="rId204">
        <w:r>
          <w:rPr>
            <w:rStyle w:val="Hyperlink"/>
          </w:rPr>
          <w:t xml:space="preserve">https://paulkrugman.substack.com/p/america-is-trapped-in-a-burning-tesla</w:t>
        </w:r>
      </w:hyperlink>
      <w:r>
        <w:t xml:space="preserve">.</w:t>
      </w:r>
    </w:p>
    <w:bookmarkEnd w:id="205"/>
    <w:bookmarkStart w:id="207"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206">
        <w:r>
          <w:rPr>
            <w:rStyle w:val="Hyperlink"/>
          </w:rPr>
          <w:t xml:space="preserve">https://www.dallasfed.org/research/economics/2024/1205</w:t>
        </w:r>
      </w:hyperlink>
      <w:r>
        <w:t xml:space="preserve">.</w:t>
      </w:r>
    </w:p>
    <w:bookmarkEnd w:id="207"/>
    <w:bookmarkStart w:id="209"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208">
        <w:r>
          <w:rPr>
            <w:rStyle w:val="Hyperlink"/>
          </w:rPr>
          <w:t xml:space="preserve">https://www.brookings.edu/articles/is-china-circumventing-us-tariffs-via-mexico-and-canada/</w:t>
        </w:r>
      </w:hyperlink>
      <w:r>
        <w:t xml:space="preserve">.</w:t>
      </w:r>
    </w:p>
    <w:bookmarkEnd w:id="209"/>
    <w:bookmarkStart w:id="211"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210">
        <w:r>
          <w:rPr>
            <w:rStyle w:val="Hyperlink"/>
          </w:rPr>
          <w:t xml:space="preserve">https://www.nytimes.com/2026/04/07/us/politics/tariffs-trade-import-fraud.html</w:t>
        </w:r>
      </w:hyperlink>
      <w:r>
        <w:t xml:space="preserve">.</w:t>
      </w:r>
    </w:p>
    <w:bookmarkEnd w:id="211"/>
    <w:bookmarkStart w:id="213"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212">
        <w:r>
          <w:rPr>
            <w:rStyle w:val="Hyperlink"/>
          </w:rPr>
          <w:t xml:space="preserve">https://doi.org/10.1162/REST.a.1682</w:t>
        </w:r>
      </w:hyperlink>
      <w:r>
        <w:t xml:space="preserve">.</w:t>
      </w:r>
    </w:p>
    <w:bookmarkEnd w:id="213"/>
    <w:bookmarkEnd w:id="214"/>
    <w:bookmarkEnd w:id="215"/>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La búsqueda se hizo utilizando únicamente el términos</w:t>
      </w:r>
      <w:r>
        <w:t xml:space="preserve"> </w:t>
      </w:r>
      <w:r>
        <w:t xml:space="preserve">“nearshoring”</w:t>
      </w:r>
      <w:r>
        <w:t xml:space="preserve">, que es el relevante desde el punto de vista de México</w:t>
      </w:r>
    </w:p>
  </w:footnote>
  <w:footnote w:id="30">
    <w:p>
      <w:pPr>
        <w:pStyle w:val="FootnoteText"/>
      </w:pPr>
      <w:r>
        <w:rPr>
          <w:rStyle w:val="FootnoteReference"/>
        </w:rPr>
        <w:footnoteRef/>
      </w:r>
      <w:r>
        <w:t xml:space="preserve"> </w:t>
      </w:r>
      <w:r>
        <w:t xml:space="preserve">En contraposición a la bien conocida</w:t>
      </w:r>
      <w:r>
        <w:t xml:space="preserve"> </w:t>
      </w:r>
      <w:r>
        <w:t xml:space="preserve">“first-mover advantage”</w:t>
      </w:r>
      <w:r>
        <w:t xml:space="preserve"> </w:t>
      </w:r>
      <w:r>
        <w:t xml:space="preserve">popularizada en la literatura sobre estrategia empresarial por Lieberman y Montgomery</w:t>
      </w:r>
    </w:p>
  </w:footnote>
  <w:footnote w:id="49">
    <w:p>
      <w:pPr>
        <w:pStyle w:val="FootnoteText"/>
      </w:pPr>
      <w:r>
        <w:rPr>
          <w:rStyle w:val="FootnoteReference"/>
        </w:rPr>
        <w:footnoteRef/>
      </w:r>
      <w:r>
        <w:t xml:space="preserve"> </w:t>
      </w:r>
      <w:r>
        <w:t xml:space="preserve">Traducción de los autores.</w:t>
      </w:r>
    </w:p>
  </w:footnote>
  <w:footnote w:id="81">
    <w:p>
      <w:pPr>
        <w:pStyle w:val="FootnoteText"/>
      </w:pPr>
      <w:r>
        <w:rPr>
          <w:rStyle w:val="FootnoteReference"/>
        </w:rPr>
        <w:footnoteRef/>
      </w:r>
      <w:r>
        <w:t xml:space="preserve"> </w:t>
      </w:r>
      <w:r>
        <w:t xml:space="preserve">Ver Capítulo 4.</w:t>
      </w:r>
    </w:p>
  </w:footnote>
  <w:footnote w:id="92">
    <w:p>
      <w:pPr>
        <w:pStyle w:val="FootnoteText"/>
      </w:pPr>
      <w:r>
        <w:rPr>
          <w:rStyle w:val="FootnoteReference"/>
        </w:rPr>
        <w:footnoteRef/>
      </w:r>
      <w:r>
        <w:t xml:space="preserve"> </w:t>
      </w:r>
      <w:r>
        <w:t xml:space="preserve">(</w:t>
      </w:r>
      <w:hyperlink r:id="rId93">
        <w:r>
          <w:rPr>
            <w:rStyle w:val="Hyperlink"/>
          </w:rPr>
          <w:t xml:space="preserve">https://www.bevindustry.com/articles/86441-anheuser-busch-inbev-completes-acquisition-of-grupo-modelo</w:t>
        </w:r>
      </w:hyperlink>
      <w:r>
        <w:t xml:space="preserve">)</w:t>
      </w:r>
    </w:p>
  </w:footnote>
  <w:footnote w:id="138">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39">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56">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39" Target="media/rId39.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03" Target="media/rId103.png" /><Relationship Type="http://schemas.openxmlformats.org/officeDocument/2006/relationships/image" Id="rId99" Target="media/rId99.png" /><Relationship Type="http://schemas.openxmlformats.org/officeDocument/2006/relationships/image" Id="rId94" Target="media/rId94.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86" Target="media/rId86.png" /><Relationship Type="http://schemas.openxmlformats.org/officeDocument/2006/relationships/image" Id="rId70" Target="media/rId70.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57" Target="media/rId157.png" /><Relationship Type="http://schemas.openxmlformats.org/officeDocument/2006/relationships/image" Id="rId152" Target="media/rId152.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40" Target="media/rId140.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62" Target="media/rId162.png" /><Relationship Type="http://schemas.openxmlformats.org/officeDocument/2006/relationships/hyperlink" Id="rId199" Target="https://documents.worldbank.org/en/publication/documents-reports/documentdetail/099312512192423854" TargetMode="External" /><Relationship Type="http://schemas.openxmlformats.org/officeDocument/2006/relationships/hyperlink" Id="rId212" Target="https://doi.org/10.1162/REST.a.1682" TargetMode="External" /><Relationship Type="http://schemas.openxmlformats.org/officeDocument/2006/relationships/hyperlink" Id="rId24" Target="https://iot-analytics.com/what-ceos-talked-about-in-q4-2024-tariffs-reshoring-agentic-ai/" TargetMode="External" /><Relationship Type="http://schemas.openxmlformats.org/officeDocument/2006/relationships/hyperlink" Id="rId204" Target="https://paulkrugman.substack.com/p/america-is-trapped-in-a-burning-tesla" TargetMode="External" /><Relationship Type="http://schemas.openxmlformats.org/officeDocument/2006/relationships/hyperlink" Id="rId202" Target="https://voxchina.org/show-3-392.html" TargetMode="External" /><Relationship Type="http://schemas.openxmlformats.org/officeDocument/2006/relationships/hyperlink" Id="rId196" Target="https://www.bakerinstitute.org/research/new-taxonomy-nearshoring-strategic-trends-global-value-chain-reconfiguration" TargetMode="External" /><Relationship Type="http://schemas.openxmlformats.org/officeDocument/2006/relationships/hyperlink" Id="rId93" Target="https://www.bevindustry.com/articles/86441-anheuser-busch-inbev-completes-acquisition-of-grupo-modelo" TargetMode="External" /><Relationship Type="http://schemas.openxmlformats.org/officeDocument/2006/relationships/hyperlink" Id="rId208" Target="https://www.brookings.edu/articles/is-china-circumventing-us-tariffs-via-mexico-and-canada/" TargetMode="External" /><Relationship Type="http://schemas.openxmlformats.org/officeDocument/2006/relationships/hyperlink" Id="rId206" Target="https://www.dallasfed.org/research/economics/2024/1205" TargetMode="External" /><Relationship Type="http://schemas.openxmlformats.org/officeDocument/2006/relationships/hyperlink" Id="rId194" Target="https://www.federalreserve.gov/econres/notes/feds-notes/did-the-us-bilateral-goods-deficit-with-china-increase-or-decrease-during-the-us-china-trade-conflict-20210621.html" TargetMode="External" /><Relationship Type="http://schemas.openxmlformats.org/officeDocument/2006/relationships/hyperlink" Id="rId210" Target="https://www.nytimes.com/2026/04/07/us/politics/tariffs-trade-import-fraud.html" TargetMode="External" /></Relationships>
</file>

<file path=word/_rels/footnotes.xml.rels><?xml version="1.0" encoding="UTF-8"?><Relationships xmlns="http://schemas.openxmlformats.org/package/2006/relationships"><Relationship Type="http://schemas.openxmlformats.org/officeDocument/2006/relationships/hyperlink" Id="rId199" Target="https://documents.worldbank.org/en/publication/documents-reports/documentdetail/099312512192423854" TargetMode="External" /><Relationship Type="http://schemas.openxmlformats.org/officeDocument/2006/relationships/hyperlink" Id="rId212" Target="https://doi.org/10.1162/REST.a.1682" TargetMode="External" /><Relationship Type="http://schemas.openxmlformats.org/officeDocument/2006/relationships/hyperlink" Id="rId24" Target="https://iot-analytics.com/what-ceos-talked-about-in-q4-2024-tariffs-reshoring-agentic-ai/" TargetMode="External" /><Relationship Type="http://schemas.openxmlformats.org/officeDocument/2006/relationships/hyperlink" Id="rId204" Target="https://paulkrugman.substack.com/p/america-is-trapped-in-a-burning-tesla" TargetMode="External" /><Relationship Type="http://schemas.openxmlformats.org/officeDocument/2006/relationships/hyperlink" Id="rId202" Target="https://voxchina.org/show-3-392.html" TargetMode="External" /><Relationship Type="http://schemas.openxmlformats.org/officeDocument/2006/relationships/hyperlink" Id="rId196" Target="https://www.bakerinstitute.org/research/new-taxonomy-nearshoring-strategic-trends-global-value-chain-reconfiguration" TargetMode="External" /><Relationship Type="http://schemas.openxmlformats.org/officeDocument/2006/relationships/hyperlink" Id="rId93" Target="https://www.bevindustry.com/articles/86441-anheuser-busch-inbev-completes-acquisition-of-grupo-modelo" TargetMode="External" /><Relationship Type="http://schemas.openxmlformats.org/officeDocument/2006/relationships/hyperlink" Id="rId208" Target="https://www.brookings.edu/articles/is-china-circumventing-us-tariffs-via-mexico-and-canada/" TargetMode="External" /><Relationship Type="http://schemas.openxmlformats.org/officeDocument/2006/relationships/hyperlink" Id="rId206" Target="https://www.dallasfed.org/research/economics/2024/1205" TargetMode="External" /><Relationship Type="http://schemas.openxmlformats.org/officeDocument/2006/relationships/hyperlink" Id="rId194" Target="https://www.federalreserve.gov/econres/notes/feds-notes/did-the-us-bilateral-goods-deficit-with-china-increase-or-decrease-during-the-us-china-trade-conflict-20210621.html" TargetMode="External" /><Relationship Type="http://schemas.openxmlformats.org/officeDocument/2006/relationships/hyperlink" Id="rId210" Target="https://www.nytimes.com/2026/04/07/us/politics/tariffs-trade-import-fra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dc:title>
  <dc:creator>Jorge Cornick; Ernesto Stein; Carlos Zafra</dc:creator>
  <dc:language>es</dc:language>
  <cp:keywords/>
  <dcterms:created xsi:type="dcterms:W3CDTF">2026-10-20T20:11:41Z</dcterms:created>
  <dcterms:modified xsi:type="dcterms:W3CDTF">2026-10-20T20:11:41Z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2026-10-10</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El comercio se ajusta más rápidamente que la inversión</vt:lpwstr>
  </property>
  <property fmtid="{D5CDD505-2E9C-101B-9397-08002B2CF9AE}" pid="18" name="toc-title">
    <vt:lpwstr>Índice</vt:lpwstr>
  </property>
</Properties>
</file>