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021"/>
        <w:gridCol w:w="2292"/>
        <w:gridCol w:w="1021"/>
        <w:gridCol w:w="1111"/>
        <w:gridCol w:w="1021"/>
        <w:gridCol w:w="1021"/>
        <w:gridCol w:w="1111"/>
        <w:gridCol w:w="1021"/>
      </w:tblGrid>
      <w:tr>
        <w:trPr>
          <w:trHeight w:val="575"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Miles de millones de USD (ene–ago 2025)</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Miles de millones de USD (ene–ago 2026)</w:t>
            </w:r>
          </w:p>
        </w:tc>
      </w:tr>
      <w:tr>
        <w:trPr>
          <w:trHeight w:val="57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Taiwán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México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Vietnam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Taiwán</w:t>
            </w:r>
          </w:p>
        </w:tc>
      </w:tr>
      <w:tr>
        <w:trPr>
          <w:trHeight w:val="560" w:hRule="auto"/>
        </w:trPr>
        <w:tc>
          <w:tcPr>
            <w:gridSpan w:val="8"/>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84 - Maquinaria</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94.3</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Partes de oficina</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31.1</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EqTérmico</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trHeight w:val="560" w:hRule="auto"/>
        </w:trPr>
        <w:tc>
          <w:tcPr>
            <w:gridSpan w:val="8"/>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85 - Eléctrico</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Baterías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trHeight w:val="560" w:hRule="auto"/>
        </w:trPr>
        <w:tc>
          <w:tcPr>
            <w:gridSpan w:val="8"/>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87 - Vehículos</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D6EFD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trHeight w:val="560" w:hRule="auto"/>
        </w:trPr>
        <w:tc>
          <w:tcPr>
            <w:gridSpan w:val="8"/>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90 - Óptica/médico</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Instrumentos médicos</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c>
          <w:tcPr>
            <w:tcBorders>
              <w:bottom w:val="single" w:sz="12" w:space="0" w:color="666666"/>
              <w:top w:val="none" w:sz="0" w:space="0" w:color="000000"/>
              <w:left w:val="none" w:sz="0" w:space="0" w:color="000000"/>
              <w:right w:val="none" w:sz="0" w:space="0" w:color="000000"/>
            </w:tcBorders>
            <w:shd w:val="clear" w:color="auto" w:fill="CDE4F7"/>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BE0D0"/>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Elaboración propia con base en U.S. Census Bureau, API de Comercio Internacional. Partidas (HS4) entre las 50 más importantes por valor de cada país en 2024, 2025, ene–ago 2026, depuradas de categorías sin interés para nearshoring, presentes simultáneamente en México y en al menos uno de los otros dos países en al menos uno de esos periodos. El sombreado indica que la partida figura en la lista del país en algún periodo. Los valores corresponden a los mismos meses (ene–ago 2025 y ene–ago 2026). Encabezados de capítulo en negrita.</w:t>
            </w:r>
          </w:p>
        </w:tc>
      </w:tr>
    </w:tbl>
    <w:sectPr>
      <w:pgMar w:header="708" w:bottom="1080" w:top="1080" w:right="1080" w:left="1080" w:footer="708" w:gutter="0"/>
      <w:pgSz w:h="12240" w:w="15840"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2026-10-24T10:09:37Z</dcterms:modified>
  <cp:category/>
</cp:coreProperties>
</file>