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rifas-e-indicadores-tarifarios"/>
    <w:p>
      <w:pPr>
        <w:pStyle w:val="Heading1"/>
      </w:pPr>
      <w:r>
        <w:t xml:space="preserve">Tarifas e indicadores tarifarios</w:t>
      </w:r>
    </w:p>
    <w:p>
      <w:pPr>
        <w:pStyle w:val="FirstParagraph"/>
      </w:pPr>
      <w:r>
        <w:t xml:space="preserve">De USITC podemos descargar</w:t>
      </w:r>
    </w:p>
    <w:p>
      <w:pPr>
        <w:pStyle w:val="Compact"/>
        <w:numPr>
          <w:ilvl w:val="0"/>
          <w:numId w:val="1001"/>
        </w:numPr>
      </w:pPr>
      <w:r>
        <w:t xml:space="preserve">Customs value, es decir, el valor de las importaciones</w:t>
      </w:r>
    </w:p>
    <w:p>
      <w:pPr>
        <w:pStyle w:val="Compact"/>
        <w:numPr>
          <w:ilvl w:val="0"/>
          <w:numId w:val="1001"/>
        </w:numPr>
      </w:pPr>
      <w:r>
        <w:t xml:space="preserve">Customs value subject to duty, es decir el valor de las importaciones gravables</w:t>
      </w:r>
    </w:p>
    <w:p>
      <w:pPr>
        <w:pStyle w:val="Compact"/>
        <w:numPr>
          <w:ilvl w:val="0"/>
          <w:numId w:val="1001"/>
        </w:numPr>
      </w:pPr>
      <w:r>
        <w:t xml:space="preserve">Calculated duty, es decir las tarifas efectivamente cobradas</w:t>
      </w:r>
    </w:p>
    <w:p>
      <w:pPr>
        <w:pStyle w:val="FirstParagraph"/>
      </w:pPr>
      <w:r>
        <w:t xml:space="preserve">Por brevedad, llamémosles</w:t>
      </w:r>
    </w:p>
    <w:p>
      <w:pPr>
        <w:pStyle w:val="Compact"/>
        <w:numPr>
          <w:ilvl w:val="0"/>
          <w:numId w:val="1002"/>
        </w:numPr>
      </w:pPr>
      <w:r>
        <w:t xml:space="preserve">Importaciones</w:t>
      </w:r>
    </w:p>
    <w:p>
      <w:pPr>
        <w:pStyle w:val="Compact"/>
        <w:numPr>
          <w:ilvl w:val="0"/>
          <w:numId w:val="1002"/>
        </w:numPr>
      </w:pPr>
      <w:r>
        <w:t xml:space="preserve">Importaciones gravadas</w:t>
      </w:r>
    </w:p>
    <w:p>
      <w:pPr>
        <w:pStyle w:val="Compact"/>
        <w:numPr>
          <w:ilvl w:val="0"/>
          <w:numId w:val="1002"/>
        </w:numPr>
      </w:pPr>
      <w:r>
        <w:t xml:space="preserve">Recaudación (tarifaria)</w:t>
      </w:r>
    </w:p>
    <w:p>
      <w:pPr>
        <w:pStyle w:val="FirstParagraph"/>
      </w:pPr>
      <w:r>
        <w:t xml:space="preserve">Entonces</w:t>
      </w:r>
    </w:p>
    <w:p>
      <w:pPr>
        <w:pStyle w:val="Compact"/>
        <w:numPr>
          <w:ilvl w:val="0"/>
          <w:numId w:val="1003"/>
        </w:numPr>
      </w:pPr>
      <w:r>
        <w:t xml:space="preserve">Importaciones gravadas / Importaciones = proporción de las importaciones que está sujeta al pago de tarifas</w:t>
      </w:r>
    </w:p>
    <w:p>
      <w:pPr>
        <w:pStyle w:val="Compact"/>
        <w:numPr>
          <w:ilvl w:val="0"/>
          <w:numId w:val="1003"/>
        </w:numPr>
      </w:pPr>
      <w:r>
        <w:t xml:space="preserve">Recaudación / Importaciones = tarifa promedio (lo que pagan en promedio las importaciones de determinado bien)</w:t>
      </w:r>
    </w:p>
    <w:p>
      <w:pPr>
        <w:pStyle w:val="Compact"/>
        <w:numPr>
          <w:ilvl w:val="0"/>
          <w:numId w:val="1003"/>
        </w:numPr>
      </w:pPr>
      <w:r>
        <w:t xml:space="preserve">Recaudación / Imoportaciones gravadas = tarifa efectiva (lo que pagan las importaciones de ese bien que están sujetas al pago de tarifas)</w:t>
      </w:r>
    </w:p>
    <w:p>
      <w:pPr>
        <w:pStyle w:val="FirstParagraph"/>
      </w:pPr>
      <w:r>
        <w:t xml:space="preserve">La terminología que usa el tracker del IDB es poco clara. En todo caso, me parece que esta no es una nomenclatura estandarizada, así que creo que podemos llamar a estas razones como nos parezca mejor.</w:t>
      </w:r>
    </w:p>
    <w:p>
      <w:pPr>
        <w:pStyle w:val="BodyText"/>
      </w:pPr>
      <w:r>
        <w:t xml:space="preserve">La tarifa efectiva, si la normativa se aplicara sin excepción ni error, debería ser igual a la tarifa legal o estatutoria, pero como sabemos que en la práctica hay excepciones, porque una norma no es aplicable en la práctica, o porque no se ha reglamentado, o cualquier otra razón, la tarifa efectiva no va a ser igual a la tarifa legal, y la diferencia en sí misma puede ser un tema de interés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2026-05-05T13:58:06Z</dcterms:created>
  <dcterms:modified xsi:type="dcterms:W3CDTF">2026-05-05T13:58:06Z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