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6.png" ContentType="image/png"/>
  <Override PartName="/word/media/rId80.png" ContentType="image/png"/>
  <Override PartName="/word/media/rId84.png" ContentType="image/png"/>
  <Override PartName="/word/media/rId88.png" ContentType="image/png"/>
  <Override PartName="/word/media/rId92.png" ContentType="image/png"/>
  <Override PartName="/word/media/rId98.png" ContentType="image/png"/>
  <Override PartName="/word/media/rId41.png" ContentType="image/png"/>
  <Override PartName="/word/media/rId53.png" ContentType="image/png"/>
  <Override PartName="/word/media/rId62.png" ContentType="image/png"/>
  <Override PartName="/word/media/rId134.png" ContentType="image/png"/>
  <Override PartName="/word/media/rId129.png" ContentType="image/png"/>
  <Override PartName="/word/media/rId125.png" ContentType="image/png"/>
  <Override PartName="/word/media/rId138.png" ContentType="image/png"/>
  <Override PartName="/word/media/rId120.png" ContentType="image/png"/>
  <Override PartName="/word/media/rId116.png" ContentType="image/png"/>
  <Override PartName="/word/media/rId111.png" ContentType="image/png"/>
  <Override PartName="/word/media/rId57.png" ContentType="image/png"/>
  <Override PartName="/word/media/rId45.png" ContentType="image/png"/>
  <Override PartName="/word/media/rId102.png" ContentType="image/png"/>
  <Override PartName="/word/media/rId74.png" ContentType="image/png"/>
  <Override PartName="/word/media/rId195.png" ContentType="image/png"/>
  <Override PartName="/word/media/rId199.png" ContentType="image/png"/>
  <Override PartName="/word/media/rId203.png" ContentType="image/png"/>
  <Override PartName="/word/media/rId207.png" ContentType="image/png"/>
  <Override PartName="/word/media/rId183.png" ContentType="image/png"/>
  <Override PartName="/word/media/rId178.png" ContentType="image/png"/>
  <Override PartName="/word/media/rId170.png" ContentType="image/png"/>
  <Override PartName="/word/media/rId174.png" ContentType="image/png"/>
  <Override PartName="/word/media/rId166.png" ContentType="image/png"/>
  <Override PartName="/word/media/rId159.png" ContentType="image/png"/>
  <Override PartName="/word/media/rId155.png" ContentType="image/png"/>
  <Override PartName="/word/media/rId151.png" ContentType="image/png"/>
  <Override PartName="/word/media/rId147.png" ContentType="image/png"/>
  <Override PartName="/word/media/rId143.png" ContentType="image/png"/>
  <Override PartName="/word/media/rId18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2018-2024. 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5"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tres tendencias que dieron impulso al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empresas multinacionales (EMNs) exportadoras, que de nuevo puede incluir tanto el incremento en el volumen de producción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operación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este era un tema prominente, que alcanza un pico justo antes de la aprobación del T-MEC y, aunque con altibajos, de mantiene de 2022 en adelante, con una tendencia ascendente a final del período.</w:t>
      </w:r>
    </w:p>
    <w:p>
      <w:pPr>
        <w:pStyle w:val="BodyText"/>
      </w:pPr>
      <w:r>
        <w:t xml:space="preserve">En México,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además,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no es si ese cambio está teniendo lugar; la pregunta es cómo sacar el mayor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4"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estudios econométricos que exploran los cambios en las relaciones comerciales entre EUA y México durante este período, que se inicia con el primer gobierno del presidente Trump.</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nearshoring, durante la cual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w:t>
      </w:r>
      <w:r>
        <w:rPr>
          <w:rStyle w:val="FootnoteReference"/>
        </w:rPr>
        <w:footnoteReference w:id="33"/>
      </w:r>
      <w:r>
        <w:t xml:space="preserve">.</w:t>
      </w:r>
    </w:p>
    <w:p>
      <w:pPr>
        <w:pStyle w:val="BodyText"/>
      </w:pPr>
      <w:r>
        <w:t xml:space="preserve">En el apartado 6 se resumen los hallazgos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4"/>
    <w:bookmarkEnd w:id="35"/>
    <w:bookmarkStart w:id="50"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nearshoring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40"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2022, para el período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que se inicia en 2018.</w:t>
      </w:r>
    </w:p>
    <w:tbl>
      <w:tblPr>
        <w:tblStyle w:val="Table"/>
        <w:tblW w:type="pct" w:w="5000"/>
        <w:tblLayout w:type="fixed"/>
        <w:tblLook w:firstRow="0" w:lastRow="0" w:firstColumn="0" w:lastColumn="0" w:noHBand="0" w:noVBand="0" w:val="0000"/>
      </w:tblPr>
      <w:tblGrid>
        <w:gridCol w:w="7920"/>
      </w:tblGrid>
      <w:tr>
        <w:tc>
          <w:tcPr/>
          <w:bookmarkStart w:id="39"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7" name="Picture"/>
                  <a:graphic>
                    <a:graphicData uri="http://schemas.openxmlformats.org/drawingml/2006/picture">
                      <pic:pic>
                        <pic:nvPicPr>
                          <pic:cNvPr descr="../Plots/fig-ImpEUA-CHN-MEX_2024.png" id="38" name="Picture"/>
                          <pic:cNvPicPr>
                            <a:picLocks noChangeArrowheads="1" noChangeAspect="1"/>
                          </pic:cNvPicPr>
                        </pic:nvPicPr>
                        <pic:blipFill>
                          <a:blip r:embed="rId36"/>
                          <a:stretch>
                            <a:fillRect/>
                          </a:stretch>
                        </pic:blipFill>
                        <pic:spPr bwMode="auto">
                          <a:xfrm>
                            <a:off x="0" y="0"/>
                            <a:ext cx="5486400" cy="2992581"/>
                          </a:xfrm>
                          <a:prstGeom prst="rect">
                            <a:avLst/>
                          </a:prstGeom>
                          <a:noFill/>
                          <a:ln w="9525">
                            <a:noFill/>
                            <a:headEnd/>
                            <a:tailEnd/>
                          </a:ln>
                        </pic:spPr>
                      </pic:pic>
                    </a:graphicData>
                  </a:graphic>
                </wp:inline>
              </w:drawing>
            </w:r>
          </w:p>
          <w:bookmarkEnd w:id="39"/>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40"/>
    <w:bookmarkStart w:id="49"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2" name="Picture"/>
                  <a:graphic>
                    <a:graphicData uri="http://schemas.openxmlformats.org/drawingml/2006/picture">
                      <pic:pic>
                        <pic:nvPicPr>
                          <pic:cNvPr descr="../Plots/fig-imp-cambio-pais_2024.png" id="43" name="Picture"/>
                          <pic:cNvPicPr>
                            <a:picLocks noChangeArrowheads="1" noChangeAspect="1"/>
                          </pic:cNvPicPr>
                        </pic:nvPicPr>
                        <pic:blipFill>
                          <a:blip r:embed="rId41"/>
                          <a:stretch>
                            <a:fillRect/>
                          </a:stretch>
                        </pic:blipFill>
                        <pic:spPr bwMode="auto">
                          <a:xfrm>
                            <a:off x="0" y="0"/>
                            <a:ext cx="5486400" cy="5143499"/>
                          </a:xfrm>
                          <a:prstGeom prst="rect">
                            <a:avLst/>
                          </a:prstGeom>
                          <a:noFill/>
                          <a:ln w="9525">
                            <a:noFill/>
                            <a:headEnd/>
                            <a:tailEnd/>
                          </a:ln>
                        </pic:spPr>
                      </pic:pic>
                    </a:graphicData>
                  </a:graphic>
                </wp:inline>
              </w:drawing>
            </w:r>
          </w:p>
          <w:bookmarkEnd w:id="44"/>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8"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6" name="Picture"/>
                  <a:graphic>
                    <a:graphicData uri="http://schemas.openxmlformats.org/drawingml/2006/picture">
                      <pic:pic>
                        <pic:nvPicPr>
                          <pic:cNvPr descr="../Plots/imp_pais_perc_2024.png" id="47" name="Picture"/>
                          <pic:cNvPicPr>
                            <a:picLocks noChangeArrowheads="1" noChangeAspect="1"/>
                          </pic:cNvPicPr>
                        </pic:nvPicPr>
                        <pic:blipFill>
                          <a:blip r:embed="rId45"/>
                          <a:stretch>
                            <a:fillRect/>
                          </a:stretch>
                        </pic:blipFill>
                        <pic:spPr bwMode="auto">
                          <a:xfrm>
                            <a:off x="0" y="0"/>
                            <a:ext cx="5486400" cy="2992581"/>
                          </a:xfrm>
                          <a:prstGeom prst="rect">
                            <a:avLst/>
                          </a:prstGeom>
                          <a:noFill/>
                          <a:ln w="9525">
                            <a:noFill/>
                            <a:headEnd/>
                            <a:tailEnd/>
                          </a:ln>
                        </pic:spPr>
                      </pic:pic>
                    </a:graphicData>
                  </a:graphic>
                </wp:inline>
              </w:drawing>
            </w:r>
          </w:p>
          <w:bookmarkEnd w:id="48"/>
        </w:tc>
      </w:tr>
    </w:tbl>
    <w:bookmarkEnd w:id="49"/>
    <w:bookmarkEnd w:id="50"/>
    <w:bookmarkStart w:id="73" w:name="X11fd1e698064750b7a2e21836c5a4f9897b1ccf"/>
    <w:p>
      <w:pPr>
        <w:pStyle w:val="Heading2"/>
      </w:pPr>
      <w:r>
        <w:t xml:space="preserve">3 Cambios en la composición de las exportaciones mexicanas a EUA</w:t>
      </w:r>
    </w:p>
    <w:bookmarkStart w:id="61" w:name="por-sección-del-sa"/>
    <w:p>
      <w:pPr>
        <w:pStyle w:val="Heading3"/>
      </w:pPr>
      <w:r>
        <w:t xml:space="preserve">3.1 Por Sección del SA</w:t>
      </w:r>
    </w:p>
    <w:p>
      <w:pPr>
        <w:pStyle w:val="FirstParagraph"/>
      </w:pPr>
      <w:r>
        <w:t xml:space="preserve">El crecimiento de las exportaciones mexicanas a EUA quedó documentado en el apartado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r>
        <w:t xml:space="preserve"> </w:t>
      </w:r>
      <w:r>
        <w:rPr>
          <w:rStyle w:val="FootnoteReference"/>
        </w:rPr>
        <w:footnoteReference w:id="51"/>
      </w:r>
      <w:r>
        <w:t xml:space="preserve">.</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 La Sección V, Productos minerales, continúa disminuyendo su participación.</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2"/>
      </w:r>
      <w:r>
        <w:t xml:space="preserve">. A priori, no hubiera parecido probable que el giro proteccionista en la política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6"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4" name="Picture"/>
                  <a:graphic>
                    <a:graphicData uri="http://schemas.openxmlformats.org/drawingml/2006/picture">
                      <pic:pic>
                        <pic:nvPicPr>
                          <pic:cNvPr descr="../Plots/fig-imp-cambio-sec-mex_2024.png" id="55" name="Picture"/>
                          <pic:cNvPicPr>
                            <a:picLocks noChangeArrowheads="1" noChangeAspect="1"/>
                          </pic:cNvPicPr>
                        </pic:nvPicPr>
                        <pic:blipFill>
                          <a:blip r:embed="rId53"/>
                          <a:stretch>
                            <a:fillRect/>
                          </a:stretch>
                        </pic:blipFill>
                        <pic:spPr bwMode="auto">
                          <a:xfrm>
                            <a:off x="0" y="0"/>
                            <a:ext cx="5486400" cy="5143499"/>
                          </a:xfrm>
                          <a:prstGeom prst="rect">
                            <a:avLst/>
                          </a:prstGeom>
                          <a:noFill/>
                          <a:ln w="9525">
                            <a:noFill/>
                            <a:headEnd/>
                            <a:tailEnd/>
                          </a:ln>
                        </pic:spPr>
                      </pic:pic>
                    </a:graphicData>
                  </a:graphic>
                </wp:inline>
              </w:drawing>
            </w:r>
          </w:p>
          <w:bookmarkEnd w:id="56"/>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60"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8" name="Picture"/>
                  <a:graphic>
                    <a:graphicData uri="http://schemas.openxmlformats.org/drawingml/2006/picture">
                      <pic:pic>
                        <pic:nvPicPr>
                          <pic:cNvPr descr="../Plots/impMex_sec_perc_2024.png" id="59" name="Picture"/>
                          <pic:cNvPicPr>
                            <a:picLocks noChangeArrowheads="1" noChangeAspect="1"/>
                          </pic:cNvPicPr>
                        </pic:nvPicPr>
                        <pic:blipFill>
                          <a:blip r:embed="rId57"/>
                          <a:stretch>
                            <a:fillRect/>
                          </a:stretch>
                        </pic:blipFill>
                        <pic:spPr bwMode="auto">
                          <a:xfrm>
                            <a:off x="0" y="0"/>
                            <a:ext cx="5486400" cy="2992581"/>
                          </a:xfrm>
                          <a:prstGeom prst="rect">
                            <a:avLst/>
                          </a:prstGeom>
                          <a:noFill/>
                          <a:ln w="9525">
                            <a:noFill/>
                            <a:headEnd/>
                            <a:tailEnd/>
                          </a:ln>
                        </pic:spPr>
                      </pic:pic>
                    </a:graphicData>
                  </a:graphic>
                </wp:inline>
              </w:drawing>
            </w:r>
          </w:p>
          <w:bookmarkEnd w:id="60"/>
        </w:tc>
      </w:tr>
    </w:tbl>
    <w:bookmarkEnd w:id="61"/>
    <w:bookmarkStart w:id="71"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5"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3" name="Picture"/>
                  <a:graphic>
                    <a:graphicData uri="http://schemas.openxmlformats.org/drawingml/2006/picture">
                      <pic:pic>
                        <pic:nvPicPr>
                          <pic:cNvPr descr="../Plots/fig-treemap-caps-seccion_2024.png" id="64" name="Picture"/>
                          <pic:cNvPicPr>
                            <a:picLocks noChangeArrowheads="1" noChangeAspect="1"/>
                          </pic:cNvPicPr>
                        </pic:nvPicPr>
                        <pic:blipFill>
                          <a:blip r:embed="rId62"/>
                          <a:stretch>
                            <a:fillRect/>
                          </a:stretch>
                        </pic:blipFill>
                        <pic:spPr bwMode="auto">
                          <a:xfrm>
                            <a:off x="0" y="0"/>
                            <a:ext cx="5486400" cy="2992581"/>
                          </a:xfrm>
                          <a:prstGeom prst="rect">
                            <a:avLst/>
                          </a:prstGeom>
                          <a:noFill/>
                          <a:ln w="9525">
                            <a:noFill/>
                            <a:headEnd/>
                            <a:tailEnd/>
                          </a:ln>
                        </pic:spPr>
                      </pic:pic>
                    </a:graphicData>
                  </a:graphic>
                </wp:inline>
              </w:drawing>
            </w:r>
          </w:p>
          <w:bookmarkEnd w:id="65"/>
        </w:tc>
      </w:tr>
    </w:tbl>
    <w:p>
      <w:pPr>
        <w:pStyle w:val="BodyText"/>
      </w:pPr>
      <w:r>
        <w:t xml:space="preserve">Con ese propósito, se procedió de la siguiente manera: se identificaron las 50 partidas de exportación de México más importantes de México en 2024. 2025 y 2026 (enero-agosto) y se determinó que existía poca variación entre ellas, por lo que se mantuvieron en un primer paso todas ellas. Luego, se ordenaron las partidas de mayor a menor en 2024</w:t>
      </w:r>
      <w:r>
        <w:t xml:space="preserve"> </w:t>
      </w:r>
      <w:r>
        <w:rPr>
          <w:rStyle w:val="FootnoteReference"/>
        </w:rPr>
        <w:footnoteReference w:id="66"/>
      </w:r>
      <w:r>
        <w:t xml:space="preserve"> </w:t>
      </w:r>
      <w:r>
        <w:t xml:space="preserve">y se seleccionaron las que representaban al menos el 89% de las exportaciones de cada capítulo para análisis individual. Las demás partidas se agrupaon en una categoríua resdual,</w:t>
      </w:r>
      <w:r>
        <w:t xml:space="preserve"> </w:t>
      </w:r>
      <w:r>
        <w:t xml:space="preserve">“Otros”</w:t>
      </w:r>
      <w:r>
        <w:t xml:space="preserve">.</w:t>
      </w:r>
    </w:p>
    <w:p>
      <w:pPr>
        <w:pStyle w:val="BodyText"/>
      </w:pPr>
      <w:r>
        <w:t xml:space="preserve">Se identificaron además las 50 partidas que mostraron el mayor crecimiento entre 2010 y 2025. En todos los casos, el punto de partida era muy bajo,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83.0% de las exportaciones del capitulo 84, el 80.1% de las exportaciones del Capítulo 85, el 989.9% de las del Capítulo 87, y el 88.2% de las exportaciones del Capítulo 90.</w:t>
      </w:r>
    </w:p>
    <w:p>
      <w:pPr>
        <w:pStyle w:val="BodyText"/>
      </w:pPr>
      <w:r>
        <w:t xml:space="preserve">Sumadas, equivalen al 59.3% de las exportaciones mexicanas a EUA en 2024.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16 partidas que crecieron más rápidamente en 2018-2024 que en 2010-20184:</w:t>
      </w:r>
    </w:p>
    <w:p>
      <w:pPr>
        <w:pStyle w:val="Compact"/>
        <w:numPr>
          <w:ilvl w:val="0"/>
          <w:numId w:val="1006"/>
        </w:numPr>
      </w:pPr>
      <w:r>
        <w:t xml:space="preserve">8473, Partes de oficina</w:t>
      </w:r>
    </w:p>
    <w:p>
      <w:pPr>
        <w:pStyle w:val="Compact"/>
        <w:numPr>
          <w:ilvl w:val="0"/>
          <w:numId w:val="1006"/>
        </w:numPr>
      </w:pPr>
      <w:r>
        <w:t xml:space="preserve">8421, Centrifugadoras</w:t>
      </w:r>
    </w:p>
    <w:p>
      <w:pPr>
        <w:pStyle w:val="Compact"/>
        <w:numPr>
          <w:ilvl w:val="0"/>
          <w:numId w:val="1006"/>
        </w:numPr>
      </w:pPr>
      <w:r>
        <w:t xml:space="preserve">8471, Computadoras</w:t>
      </w:r>
    </w:p>
    <w:p>
      <w:pPr>
        <w:pStyle w:val="Compact"/>
        <w:numPr>
          <w:ilvl w:val="0"/>
          <w:numId w:val="1006"/>
        </w:numPr>
      </w:pPr>
      <w:r>
        <w:t xml:space="preserve">8414, Compresores</w:t>
      </w:r>
    </w:p>
    <w:p>
      <w:pPr>
        <w:pStyle w:val="Compact"/>
        <w:numPr>
          <w:ilvl w:val="0"/>
          <w:numId w:val="1006"/>
        </w:numPr>
      </w:pPr>
      <w:r>
        <w:t xml:space="preserve">8418, Refrigeración</w:t>
      </w:r>
    </w:p>
    <w:p>
      <w:pPr>
        <w:pStyle w:val="Compact"/>
        <w:numPr>
          <w:ilvl w:val="0"/>
          <w:numId w:val="1006"/>
        </w:numPr>
      </w:pPr>
      <w:r>
        <w:t xml:space="preserve">8409, Partes de motores</w:t>
      </w:r>
    </w:p>
    <w:p>
      <w:pPr>
        <w:pStyle w:val="Compact"/>
        <w:numPr>
          <w:ilvl w:val="0"/>
          <w:numId w:val="1006"/>
        </w:numPr>
      </w:pPr>
      <w:r>
        <w:t xml:space="preserve">8504, Transformadores</w:t>
      </w:r>
    </w:p>
    <w:p>
      <w:pPr>
        <w:pStyle w:val="Compact"/>
        <w:numPr>
          <w:ilvl w:val="0"/>
          <w:numId w:val="1006"/>
        </w:numPr>
      </w:pPr>
      <w:r>
        <w:t xml:space="preserve">8516, Calentadores eléctricos</w:t>
      </w:r>
    </w:p>
    <w:p>
      <w:pPr>
        <w:pStyle w:val="Compact"/>
        <w:numPr>
          <w:ilvl w:val="0"/>
          <w:numId w:val="1006"/>
        </w:numPr>
      </w:pPr>
      <w:r>
        <w:t xml:space="preserve">8537, Tableros</w:t>
      </w:r>
    </w:p>
    <w:p>
      <w:pPr>
        <w:pStyle w:val="Compact"/>
        <w:numPr>
          <w:ilvl w:val="0"/>
          <w:numId w:val="1006"/>
        </w:numPr>
      </w:pPr>
      <w:r>
        <w:t xml:space="preserve">8536, Conmutación</w:t>
      </w:r>
    </w:p>
    <w:p>
      <w:pPr>
        <w:pStyle w:val="Compact"/>
        <w:numPr>
          <w:ilvl w:val="0"/>
          <w:numId w:val="1006"/>
        </w:numPr>
      </w:pPr>
      <w:r>
        <w:t xml:space="preserve">8501, Motores eléctricos</w:t>
      </w:r>
    </w:p>
    <w:p>
      <w:pPr>
        <w:pStyle w:val="Compact"/>
        <w:numPr>
          <w:ilvl w:val="0"/>
          <w:numId w:val="1006"/>
        </w:numPr>
      </w:pPr>
      <w:r>
        <w:t xml:space="preserve">8528, Televisores</w:t>
      </w:r>
    </w:p>
    <w:p>
      <w:pPr>
        <w:pStyle w:val="Compact"/>
        <w:numPr>
          <w:ilvl w:val="0"/>
          <w:numId w:val="1006"/>
        </w:numPr>
      </w:pPr>
      <w:r>
        <w:t xml:space="preserve">8517, Teléfonos</w:t>
      </w:r>
    </w:p>
    <w:p>
      <w:pPr>
        <w:pStyle w:val="Compact"/>
        <w:numPr>
          <w:ilvl w:val="0"/>
          <w:numId w:val="1006"/>
        </w:numPr>
      </w:pPr>
      <w:r>
        <w:t xml:space="preserve">9018, Instrumentos médicos</w:t>
      </w:r>
    </w:p>
    <w:p>
      <w:pPr>
        <w:pStyle w:val="Compact"/>
        <w:numPr>
          <w:ilvl w:val="0"/>
          <w:numId w:val="1006"/>
        </w:numPr>
      </w:pPr>
      <w:r>
        <w:t xml:space="preserve">9019, Aparatos de terapia</w:t>
      </w:r>
    </w:p>
    <w:p>
      <w:pPr>
        <w:pStyle w:val="Compact"/>
        <w:numPr>
          <w:ilvl w:val="0"/>
          <w:numId w:val="1006"/>
        </w:numPr>
      </w:pPr>
      <w:r>
        <w:t xml:space="preserve">9032, Reguladores</w:t>
      </w:r>
    </w:p>
    <w:p>
      <w:pPr>
        <w:pStyle w:val="FirstParagraph"/>
      </w:pPr>
      <w:r>
        <w:t xml:space="preserve">Se trata, pues, de un período en el que si bien la aceleración del crecimiento de las exportaciones se concentra en únicamente tres secciones del SA, comprende un número relativamente alto de partidas. Notablmente, todas las partidas del capítulo 87, equipo de transporte, pilar de la integración productiva entre México y EUA, reducen su ritmo de crecimiento en 2018 con respecto a 2024.</w:t>
      </w:r>
    </w:p>
    <w:p>
      <w:pPr>
        <w:pStyle w:val="BodyText"/>
      </w:pPr>
      <w:r>
        <w:t xml:space="preserve">Veamos ahora, con más detenimiento, el comportamiento de las exportaciones correspondientes a cada uno de estos capítulos. Empezamos con el</w:t>
      </w:r>
      <w:r>
        <w:t xml:space="preserve"> </w:t>
      </w:r>
      <w:r>
        <w:rPr>
          <w:b/>
          <w:bCs/>
        </w:rPr>
        <w:t xml:space="preserve">Capítulo 84</w:t>
      </w:r>
      <w:r>
        <w:t xml:space="preserve">, Maquinaria.</w:t>
      </w:r>
    </w:p>
    <w:p>
      <w:pPr>
        <w:pStyle w:val="Compact"/>
        <w:numPr>
          <w:ilvl w:val="0"/>
          <w:numId w:val="1007"/>
        </w:numPr>
      </w:pPr>
      <w:r>
        <w:t xml:space="preserve">En primer lugar, es notoria la concentración de las exportaciones de este capítulo en la partida 8471, que por sí sola representa el 46% de las exportaciones del capítulo y casi el 10% de las exportaciones mexicanas a EUA en 2024.</w:t>
      </w:r>
    </w:p>
    <w:p>
      <w:pPr>
        <w:pStyle w:val="Compact"/>
        <w:numPr>
          <w:ilvl w:val="0"/>
          <w:numId w:val="1007"/>
        </w:numPr>
      </w:pPr>
      <w:r>
        <w:t xml:space="preserve">La tasa de crecimiento de la partida 8473, partes y accesorios para equipos de oficina, pasa de 1.9% en 2010-2018 a un sorprendente 27.3% en 2018-2024. A pesar de ello, su peso dentro del capítulo (1.7%) y dentro del total de las exportaciones mexicanas (0.3%) sigue siendo modesto en al finalizar este período.</w:t>
      </w:r>
    </w:p>
    <w:p>
      <w:pPr>
        <w:pStyle w:val="Compact"/>
        <w:numPr>
          <w:ilvl w:val="0"/>
          <w:numId w:val="1007"/>
        </w:numPr>
      </w:pPr>
      <w:r>
        <w:t xml:space="preserve">Todas las demás partidas cuya tasa de crecimiento se acelera en 2018-2024 representan montos modestos en 2024. En el capítulo siguiene veremos cómo se comportaron este capítulo y sus principales partidas a partir de 2025.</w:t>
      </w:r>
    </w:p>
    <w:tbl>
      <w:tblPr>
        <w:tblStyle w:val="Table"/>
        <w:tblW w:type="pct" w:w="5000"/>
        <w:tblLayout w:type="fixed"/>
        <w:tblLook w:firstRow="0" w:lastRow="0" w:firstColumn="0" w:lastColumn="0" w:noHBand="0" w:noVBand="0" w:val="0000"/>
      </w:tblPr>
      <w:tblGrid>
        <w:gridCol w:w="7920"/>
      </w:tblGrid>
      <w:tr>
        <w:tc>
          <w:tcPr/>
          <w:bookmarkStart w:id="67" w:name="tbl-cap84"/>
          <w:p>
            <w:pPr>
              <w:jc w:val="center"/>
            </w:pPr>
            <w:pPr>
              <w:jc w:val="left"/>
              <w:spacing w:before="200"/>
              <w:pStyle w:val="ImageCaption"/>
            </w:pPr>
            <w:r>
              <w:t xml:space="preserve">Tabla 1: Capítulo 84: Maquinaria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p>
      <w:pPr>
        <w:pStyle w:val="BodyText"/>
      </w:pPr>
      <w:r>
        <w:t xml:space="preserve">Continuamos con el</w:t>
      </w:r>
      <w:r>
        <w:t xml:space="preserve"> </w:t>
      </w:r>
      <w:r>
        <w:rPr>
          <w:b/>
          <w:bCs/>
        </w:rPr>
        <w:t xml:space="preserve">Capítulo 85</w:t>
      </w:r>
      <w:r>
        <w:t xml:space="preserve">, Maquinaria y equipo eléctrico.</w:t>
      </w:r>
    </w:p>
    <w:p>
      <w:pPr>
        <w:pStyle w:val="Compact"/>
        <w:numPr>
          <w:ilvl w:val="0"/>
          <w:numId w:val="1008"/>
        </w:numPr>
      </w:pPr>
      <w:r>
        <w:t xml:space="preserve">Aunque el peso de las partidas individuales es relativamente bajo, el capítulo representó el 17% de las exportaciones mexicanas a EUA en 2025.</w:t>
      </w:r>
    </w:p>
    <w:p>
      <w:pPr>
        <w:pStyle w:val="Compact"/>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pStyle w:val="Compact"/>
        <w:numPr>
          <w:ilvl w:val="0"/>
          <w:numId w:val="1008"/>
        </w:numPr>
      </w:pPr>
      <w:r>
        <w:t xml:space="preserve">Dos partidas exhiben un crecimiento particularmente acelerado en 2018-2024: 8504, transformadores, y 8516, calentadores eléctricos.</w:t>
      </w:r>
    </w:p>
    <w:p>
      <w:pPr>
        <w:pStyle w:val="Compact"/>
        <w:numPr>
          <w:ilvl w:val="0"/>
          <w:numId w:val="1008"/>
        </w:numPr>
      </w:pPr>
      <w:r>
        <w:t xml:space="preserve">Únicamente una partida, 8517, teléfonos, muestra una tasa de crecimiento negativa en 2018-2024: teléfonos, pero la tasa es muy baja: -0.1%</w:t>
      </w:r>
    </w:p>
    <w:tbl>
      <w:tblPr>
        <w:tblStyle w:val="Table"/>
        <w:tblW w:type="pct" w:w="5000"/>
        <w:tblLayout w:type="fixed"/>
        <w:tblLook w:firstRow="0" w:lastRow="0" w:firstColumn="0" w:lastColumn="0" w:noHBand="0" w:noVBand="0" w:val="0000"/>
      </w:tblPr>
      <w:tblGrid>
        <w:gridCol w:w="7920"/>
      </w:tblGrid>
      <w:tr>
        <w:tc>
          <w:tcPr/>
          <w:bookmarkStart w:id="68" w:name="tbl-cap85"/>
          <w:p>
            <w:pPr>
              <w:jc w:val="center"/>
            </w:pPr>
            <w:pPr>
              <w:jc w:val="left"/>
              <w:spacing w:before="200"/>
              <w:pStyle w:val="ImageCaption"/>
            </w:pPr>
            <w:r>
              <w:t xml:space="preserve">Tabla 2: Capítulo 85: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El panorama es muy distinto para el</w:t>
      </w:r>
      <w:r>
        <w:t xml:space="preserve"> </w:t>
      </w:r>
      <w:r>
        <w:rPr>
          <w:b/>
          <w:bCs/>
        </w:rPr>
        <w:t xml:space="preserve">Capitulo 87</w:t>
      </w:r>
      <w:r>
        <w:t xml:space="preserve">. Las partidas 8704, 8708 y 8703, caminoes, autopartes y automóviles representan prácticamente el 90% de las exportaciones del capítulo y cerca de una cuarta parte del total de las exportaciones mexicanas a EUA en 2024. Todas creen a un ritmo menor en 2018-2024 que en el período anterior: 2.1 pp para camiones, 3 pp para autopartes, y 5.6 pp porcentuales en automóviles. Esto parece representar un cambio sustancial en el patrón de integración productiva entre México y Estados Unidos, que se discute con más detalle en el capítulo 3, en donde se discute el comportamiento de las exportaciones mexicanas a EUA desde enero 2025 hasta agosto 2026.</w:t>
      </w:r>
    </w:p>
    <w:tbl>
      <w:tblPr>
        <w:tblStyle w:val="Table"/>
        <w:tblW w:type="pct" w:w="5000"/>
        <w:tblLayout w:type="fixed"/>
        <w:tblLook w:firstRow="0" w:lastRow="0" w:firstColumn="0" w:lastColumn="0" w:noHBand="0" w:noVBand="0" w:val="0000"/>
      </w:tblPr>
      <w:tblGrid>
        <w:gridCol w:w="7920"/>
      </w:tblGrid>
      <w:tr>
        <w:tc>
          <w:tcPr/>
          <w:bookmarkStart w:id="69" w:name="tbl-cap87"/>
          <w:p>
            <w:pPr>
              <w:jc w:val="center"/>
            </w:pPr>
            <w:pPr>
              <w:jc w:val="left"/>
              <w:spacing w:before="200"/>
              <w:pStyle w:val="ImageCaption"/>
            </w:pPr>
            <w:r>
              <w:t xml:space="preserve">Tabla 3: Capítulo 87: Vehículos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9"/>
        </w:tc>
      </w:tr>
    </w:tbl>
    <w:p>
      <w:pPr>
        <w:pStyle w:val="BodyText"/>
      </w:pPr>
      <w:r>
        <w:t xml:space="preserve">Finalmente, exploramos el comportamiento del</w:t>
      </w:r>
      <w:r>
        <w:t xml:space="preserve"> </w:t>
      </w:r>
      <w:r>
        <w:rPr>
          <w:b/>
          <w:bCs/>
        </w:rPr>
        <w:t xml:space="preserve">Capítulo 90</w:t>
      </w:r>
      <w:r>
        <w:t xml:space="preserve">.</w:t>
      </w:r>
    </w:p>
    <w:p>
      <w:pPr>
        <w:pStyle w:val="Compact"/>
        <w:numPr>
          <w:ilvl w:val="0"/>
          <w:numId w:val="1009"/>
        </w:numPr>
      </w:pPr>
      <w:r>
        <w:t xml:space="preserve">Al igual que en el caso del Capítulo 84, las exportaciones están fuertemente concentradas en una única partida, 9018, Instrumentos médicos, que representa el 52.7% del total de las exportaciones del capítulo.</w:t>
      </w:r>
    </w:p>
    <w:p>
      <w:pPr>
        <w:pStyle w:val="Compact"/>
        <w:numPr>
          <w:ilvl w:val="0"/>
          <w:numId w:val="1009"/>
        </w:numPr>
      </w:pPr>
      <w:r>
        <w:t xml:space="preserve">Únicamente esa partida, la 9019, apartaod de terapia, y la 9032, reguladores, crecen más rápidamente en 2018-2024 que en el perído anterior: un notable 11.!% para la partida 9019 y un modesto 1.0% para la 9032.</w:t>
      </w:r>
    </w:p>
    <w:tbl>
      <w:tblPr>
        <w:tblStyle w:val="Table"/>
        <w:tblW w:type="pct" w:w="5000"/>
        <w:tblLayout w:type="fixed"/>
        <w:tblLook w:firstRow="0" w:lastRow="0" w:firstColumn="0" w:lastColumn="0" w:noHBand="0" w:noVBand="0" w:val="0000"/>
      </w:tblPr>
      <w:tblGrid>
        <w:gridCol w:w="7920"/>
      </w:tblGrid>
      <w:tr>
        <w:tc>
          <w:tcPr/>
          <w:bookmarkStart w:id="70" w:name="tbl-cap90"/>
          <w:p>
            <w:pPr>
              <w:jc w:val="center"/>
            </w:pPr>
            <w:pPr>
              <w:jc w:val="left"/>
              <w:spacing w:before="200"/>
              <w:pStyle w:val="ImageCaption"/>
            </w:pPr>
            <w:r>
              <w:t xml:space="preserve">Tabla 4: Capítulo 90: Óptica/médico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70"/>
        </w:tc>
      </w:tr>
    </w:tbl>
    <w:bookmarkEnd w:id="71"/>
    <w:bookmarkStart w:id="72"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72"/>
    <w:bookmarkEnd w:id="73"/>
    <w:bookmarkStart w:id="107"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9"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y la primera fase del nearshoring. La</w:t>
      </w:r>
      <w:r>
        <w:t xml:space="preserve"> </w:t>
      </w:r>
      <w:hyperlink w:anchor="fig-tcac-estados">
        <w:r>
          <w:rPr>
            <w:rStyle w:val="Hyperlink"/>
          </w:rPr>
          <w:t xml:space="preserve">Figura 9</w:t>
        </w:r>
      </w:hyperlink>
      <w:r>
        <w:t xml:space="preserve"> </w:t>
      </w:r>
      <w:r>
        <w:t xml:space="preserve">y la</w:t>
      </w:r>
      <w:r>
        <w:t xml:space="preserve"> </w:t>
      </w:r>
      <w:hyperlink w:anchor="tbl-tcac-estados">
        <w:r>
          <w:rPr>
            <w:rStyle w:val="Hyperlink"/>
          </w:rPr>
          <w:t xml:space="preserve">Tabla 5</w:t>
        </w:r>
      </w:hyperlink>
      <w:r>
        <w:t xml:space="preserve"> </w:t>
      </w:r>
      <w:r>
        <w:t xml:space="preserve">permiten visualizar estos cambios.</w:t>
      </w:r>
    </w:p>
    <w:p>
      <w:pPr>
        <w:pStyle w:val="BodyText"/>
      </w:pPr>
      <w:r>
        <w:t xml:space="preserve">Período 2010 - 2018:</w:t>
      </w:r>
    </w:p>
    <w:p>
      <w:pPr>
        <w:pStyle w:val="Compact"/>
        <w:numPr>
          <w:ilvl w:val="0"/>
          <w:numId w:val="1010"/>
        </w:numPr>
      </w:pPr>
      <w:r>
        <w:t xml:space="preserve">Las exportaciones de seis estados crecen a dos dígitos: Colima, Guanajuato, Nayarit, Querétaro, San Luis Potosí y Sinaloa.</w:t>
      </w:r>
    </w:p>
    <w:p>
      <w:pPr>
        <w:pStyle w:val="Compact"/>
        <w:numPr>
          <w:ilvl w:val="0"/>
          <w:numId w:val="1010"/>
        </w:numPr>
      </w:pPr>
      <w:r>
        <w:t xml:space="preserve">Las exportaciones de 10 estados crecen a un ritmo del 7.5 o superior: los seis ya citados más Coahuila, Durango, Nuevo León y Puebla.</w:t>
      </w:r>
    </w:p>
    <w:p>
      <w:pPr>
        <w:pStyle w:val="Compact"/>
        <w:numPr>
          <w:ilvl w:val="0"/>
          <w:numId w:val="1010"/>
        </w:numPr>
      </w:pPr>
      <w:r>
        <w:t xml:space="preserve">Las exportaciones de cuatro estados se contraer: Campeche, Chiapas, Oaxaca (muy ligeramente) y Tabasco que, con 5%, es la contracción más marcada.</w:t>
      </w:r>
    </w:p>
    <w:p>
      <w:pPr>
        <w:pStyle w:val="FirstParagraph"/>
      </w:pPr>
      <w:r>
        <w:t xml:space="preserve">En contraste, entre 2018 y 2024:</w:t>
      </w:r>
    </w:p>
    <w:p>
      <w:pPr>
        <w:pStyle w:val="Compact"/>
        <w:numPr>
          <w:ilvl w:val="0"/>
          <w:numId w:val="1011"/>
        </w:numPr>
      </w:pPr>
      <w:r>
        <w:t xml:space="preserve">No hay ningún estado cuyas exportaciones crezcan a dos dígitos.</w:t>
      </w:r>
    </w:p>
    <w:p>
      <w:pPr>
        <w:pStyle w:val="Compact"/>
        <w:numPr>
          <w:ilvl w:val="0"/>
          <w:numId w:val="1011"/>
        </w:numPr>
      </w:pPr>
      <w:r>
        <w:t xml:space="preserve">Solo hay seis estados cuyas exportaciones crezcan a un ritmo de 7.5% o superior: Baja California Sur, Cohaulila, Colima, Guanajuato, Oaxaca y San Luis Potosí.</w:t>
      </w:r>
    </w:p>
    <w:p>
      <w:pPr>
        <w:pStyle w:val="Compact"/>
        <w:numPr>
          <w:ilvl w:val="0"/>
          <w:numId w:val="1011"/>
        </w:numPr>
      </w:pPr>
      <w:r>
        <w:t xml:space="preserve">Las exportaciones de Chiapas y Oaxaca, que se contrajeron en el período anterior, crecieron a un 5.4 y un 8.9% en este período.</w:t>
      </w:r>
    </w:p>
    <w:p>
      <w:pPr>
        <w:pStyle w:val="Compact"/>
        <w:numPr>
          <w:ilvl w:val="0"/>
          <w:numId w:val="1011"/>
        </w:numPr>
      </w:pPr>
      <w:r>
        <w:t xml:space="preserve">Las contracciones se concentran en dos estados, y son más fuertes que las del período anterior: -6.2% en el caso de campeche y -15.9 en el de Quintana Roo.</w:t>
      </w:r>
    </w:p>
    <w:p>
      <w:pPr>
        <w:pStyle w:val="FirstParagraph"/>
      </w:pPr>
      <w:r>
        <w:t xml:space="preserve">Debe notarse que solo hay cuatro estados que crecen a una tasa del 7.5% o superior en ambos períodos: Coahuila, Colima, Guanajuato y San Luis Potosí, mientras que Campeche es el único en el que las exportaciones se contraen en ambos períodos.</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el apartado siguiente.</w:t>
      </w:r>
    </w:p>
    <w:tbl>
      <w:tblPr>
        <w:tblStyle w:val="Table"/>
        <w:tblW w:type="pct" w:w="5000"/>
        <w:tblLayout w:type="fixed"/>
        <w:tblLook w:firstRow="0" w:lastRow="0" w:firstColumn="0" w:lastColumn="0" w:noHBand="0" w:noVBand="0" w:val="0000"/>
      </w:tblPr>
      <w:tblGrid>
        <w:gridCol w:w="7920"/>
      </w:tblGrid>
      <w:tr>
        <w:tc>
          <w:tcPr/>
          <w:bookmarkStart w:id="77"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5" name="Picture"/>
                  <a:graphic>
                    <a:graphicData uri="http://schemas.openxmlformats.org/drawingml/2006/picture">
                      <pic:pic>
                        <pic:nvPicPr>
                          <pic:cNvPr descr="../Plots/mapa_xmex_2periodos_tcac_2024.png" id="76" name="Picture"/>
                          <pic:cNvPicPr>
                            <a:picLocks noChangeArrowheads="1" noChangeAspect="1"/>
                          </pic:cNvPicPr>
                        </pic:nvPicPr>
                        <pic:blipFill>
                          <a:blip r:embed="rId74"/>
                          <a:stretch>
                            <a:fillRect/>
                          </a:stretch>
                        </pic:blipFill>
                        <pic:spPr bwMode="auto">
                          <a:xfrm>
                            <a:off x="0" y="0"/>
                            <a:ext cx="5486400" cy="4488872"/>
                          </a:xfrm>
                          <a:prstGeom prst="rect">
                            <a:avLst/>
                          </a:prstGeom>
                          <a:noFill/>
                          <a:ln w="9525">
                            <a:noFill/>
                            <a:headEnd/>
                            <a:tailEnd/>
                          </a:ln>
                        </pic:spPr>
                      </pic:pic>
                    </a:graphicData>
                  </a:graphic>
                </wp:inline>
              </w:drawing>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8"/>
        </w:tc>
      </w:tr>
    </w:tbl>
    <w:bookmarkEnd w:id="79"/>
    <w:bookmarkStart w:id="96"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2"/>
        </w:numPr>
      </w:pPr>
      <w:r>
        <w:t xml:space="preserve">En primer lugar, la información por entidad federativa no está disponible utilizando el SA, sino únicamente el SCIAN a 3 dígitos, lo que nos da</w:t>
      </w:r>
      <w:r>
        <w:t xml:space="preserve"> </w:t>
      </w:r>
      <w:r>
        <w:t xml:space="preserve">“industrias”</w:t>
      </w:r>
      <w:r>
        <w:t xml:space="preserve"> </w:t>
      </w:r>
      <w:r>
        <w:t xml:space="preserve">más agregados que las partidas del SA.</w:t>
      </w:r>
    </w:p>
    <w:p>
      <w:pPr>
        <w:numPr>
          <w:ilvl w:val="0"/>
          <w:numId w:val="1012"/>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(SCIAN 333) y en Accesorios y equipo eléctrico (SCIAN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(SCIAN 334) es notable el predominio de Chihuahua, seguida de lejos, y sin una tasa de crecimiento notable, por Jalisco y Baja California.</w:t>
      </w:r>
    </w:p>
    <w:p>
      <w:pPr>
        <w:pStyle w:val="BodyText"/>
      </w:pPr>
      <w:r>
        <w:t xml:space="preserve">Finalmente, Cohaluila y Guanajato predominan en la exportación de equipo de transporte (SCIAN 336), mientras que un grupo de 7 estados adicionales, de menor importancia individual, pero de considerable importancia agregada, completan las exportaciónes de este sector.</w:t>
      </w:r>
    </w:p>
    <w:tbl>
      <w:tblPr>
        <w:tblStyle w:val="Table"/>
        <w:tblW w:type="pct" w:w="5000"/>
        <w:tblLayout w:type="fixed"/>
        <w:tblLook w:firstRow="0" w:lastRow="0" w:firstColumn="0" w:lastColumn="0" w:noHBand="0" w:noVBand="0" w:val="0000"/>
      </w:tblPr>
      <w:tblGrid>
        <w:gridCol w:w="7920"/>
      </w:tblGrid>
      <w:tr>
        <w:tc>
          <w:tcPr/>
          <w:bookmarkStart w:id="83"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81" name="Picture"/>
                  <a:graphic>
                    <a:graphicData uri="http://schemas.openxmlformats.org/drawingml/2006/picture">
                      <pic:pic>
                        <pic:nvPicPr>
                          <pic:cNvPr descr="../Plots/fig-etef-sector-333_2024.png" id="82" name="Picture"/>
                          <pic:cNvPicPr>
                            <a:picLocks noChangeArrowheads="1" noChangeAspect="1"/>
                          </pic:cNvPicPr>
                        </pic:nvPicPr>
                        <pic:blipFill>
                          <a:blip r:embed="rId80"/>
                          <a:stretch>
                            <a:fillRect/>
                          </a:stretch>
                        </pic:blipFill>
                        <pic:spPr bwMode="auto">
                          <a:xfrm>
                            <a:off x="0" y="0"/>
                            <a:ext cx="5486400" cy="3017520"/>
                          </a:xfrm>
                          <a:prstGeom prst="rect">
                            <a:avLst/>
                          </a:prstGeom>
                          <a:noFill/>
                          <a:ln w="9525">
                            <a:noFill/>
                            <a:headEnd/>
                            <a:tailEnd/>
                          </a:ln>
                        </pic:spPr>
                      </pic:pic>
                    </a:graphicData>
                  </a:graphic>
                </wp:inline>
              </w:drawing>
            </w:r>
          </w:p>
          <w:bookmarkEnd w:id="83"/>
        </w:tc>
      </w:tr>
    </w:tbl>
    <w:tbl>
      <w:tblPr>
        <w:tblStyle w:val="Table"/>
        <w:tblW w:type="pct" w:w="5000"/>
        <w:tblLayout w:type="fixed"/>
        <w:tblLook w:firstRow="0" w:lastRow="0" w:firstColumn="0" w:lastColumn="0" w:noHBand="0" w:noVBand="0" w:val="0000"/>
      </w:tblPr>
      <w:tblGrid>
        <w:gridCol w:w="7920"/>
      </w:tblGrid>
      <w:tr>
        <w:tc>
          <w:tcPr/>
          <w:bookmarkStart w:id="87"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5" name="Picture"/>
                  <a:graphic>
                    <a:graphicData uri="http://schemas.openxmlformats.org/drawingml/2006/picture">
                      <pic:pic>
                        <pic:nvPicPr>
                          <pic:cNvPr descr="../Plots/fig-etef-sector-334_2024.png" id="86" name="Picture"/>
                          <pic:cNvPicPr>
                            <a:picLocks noChangeArrowheads="1" noChangeAspect="1"/>
                          </pic:cNvPicPr>
                        </pic:nvPicPr>
                        <pic:blipFill>
                          <a:blip r:embed="rId84"/>
                          <a:stretch>
                            <a:fillRect/>
                          </a:stretch>
                        </pic:blipFill>
                        <pic:spPr bwMode="auto">
                          <a:xfrm>
                            <a:off x="0" y="0"/>
                            <a:ext cx="5486400" cy="3017520"/>
                          </a:xfrm>
                          <a:prstGeom prst="rect">
                            <a:avLst/>
                          </a:prstGeom>
                          <a:noFill/>
                          <a:ln w="9525">
                            <a:noFill/>
                            <a:headEnd/>
                            <a:tailEnd/>
                          </a:ln>
                        </pic:spPr>
                      </pic:pic>
                    </a:graphicData>
                  </a:graphic>
                </wp:inline>
              </w:drawing>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9" name="Picture"/>
                  <a:graphic>
                    <a:graphicData uri="http://schemas.openxmlformats.org/drawingml/2006/picture">
                      <pic:pic>
                        <pic:nvPicPr>
                          <pic:cNvPr descr="../Plots/fig-etef-sector-335_2024.png" id="90" name="Picture"/>
                          <pic:cNvPicPr>
                            <a:picLocks noChangeArrowheads="1" noChangeAspect="1"/>
                          </pic:cNvPicPr>
                        </pic:nvPicPr>
                        <pic:blipFill>
                          <a:blip r:embed="rId88"/>
                          <a:stretch>
                            <a:fillRect/>
                          </a:stretch>
                        </pic:blipFill>
                        <pic:spPr bwMode="auto">
                          <a:xfrm>
                            <a:off x="0" y="0"/>
                            <a:ext cx="5486400" cy="3017520"/>
                          </a:xfrm>
                          <a:prstGeom prst="rect">
                            <a:avLst/>
                          </a:prstGeom>
                          <a:noFill/>
                          <a:ln w="9525">
                            <a:noFill/>
                            <a:headEnd/>
                            <a:tailEnd/>
                          </a:ln>
                        </pic:spPr>
                      </pic:pic>
                    </a:graphicData>
                  </a:graphic>
                </wp:inline>
              </w:drawing>
            </w:r>
          </w:p>
          <w:bookmarkEnd w:id="91"/>
        </w:tc>
      </w:tr>
    </w:tbl>
    <w:tbl>
      <w:tblPr>
        <w:tblStyle w:val="Table"/>
        <w:tblW w:type="pct" w:w="5000"/>
        <w:tblLayout w:type="fixed"/>
        <w:tblLook w:firstRow="0" w:lastRow="0" w:firstColumn="0" w:lastColumn="0" w:noHBand="0" w:noVBand="0" w:val="0000"/>
      </w:tblPr>
      <w:tblGrid>
        <w:gridCol w:w="7920"/>
      </w:tblGrid>
      <w:tr>
        <w:tc>
          <w:tcPr/>
          <w:bookmarkStart w:id="95"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3" name="Picture"/>
                  <a:graphic>
                    <a:graphicData uri="http://schemas.openxmlformats.org/drawingml/2006/picture">
                      <pic:pic>
                        <pic:nvPicPr>
                          <pic:cNvPr descr="../Plots/fig-etef-sector-336_2024.png" id="94" name="Picture"/>
                          <pic:cNvPicPr>
                            <a:picLocks noChangeArrowheads="1" noChangeAspect="1"/>
                          </pic:cNvPicPr>
                        </pic:nvPicPr>
                        <pic:blipFill>
                          <a:blip r:embed="rId92"/>
                          <a:stretch>
                            <a:fillRect/>
                          </a:stretch>
                        </pic:blipFill>
                        <pic:spPr bwMode="auto">
                          <a:xfrm>
                            <a:off x="0" y="0"/>
                            <a:ext cx="5486400" cy="3017520"/>
                          </a:xfrm>
                          <a:prstGeom prst="rect">
                            <a:avLst/>
                          </a:prstGeom>
                          <a:noFill/>
                          <a:ln w="9525">
                            <a:noFill/>
                            <a:headEnd/>
                            <a:tailEnd/>
                          </a:ln>
                        </pic:spPr>
                      </pic:pic>
                    </a:graphicData>
                  </a:graphic>
                </wp:inline>
              </w:drawing>
            </w:r>
          </w:p>
          <w:bookmarkEnd w:id="95"/>
        </w:tc>
      </w:tr>
    </w:tbl>
    <w:bookmarkEnd w:id="96"/>
    <w:bookmarkStart w:id="106"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 en los períodos 2010-2018 y 2018-2024.</w:t>
      </w:r>
    </w:p>
    <w:p>
      <w:pPr>
        <w:pStyle w:val="BodyText"/>
      </w:pPr>
      <w:r>
        <w:t xml:space="preserve">La desaceleración en el segundo período es manifiesta: la TCAC pasa de 5.1% en el período anterior a apenas 1.3% entre 2018 y 2024. En el caso de la ZLFN el crecimiento es nulo, y fuera de esa zona el crecimiento es de apenas 2%.</w:t>
      </w:r>
    </w:p>
    <w:p>
      <w:pPr>
        <w:pStyle w:val="BodyText"/>
      </w:pPr>
      <w:r>
        <w:t xml:space="preserve">Como ya se discutió en el capítulo 1, la dinámica del empleo en la ZLFN parece estar fuertemente correlacionado con la evolución del salario mínimo en esa zona, significativamente superior al del resto del país, y que se acelera a partir de 2025, como se verá en detalle en el próximo capítulo.</w:t>
      </w:r>
    </w:p>
    <w:p>
      <w:pPr>
        <w:pStyle w:val="BodyText"/>
      </w:pPr>
      <w:r>
        <w:t xml:space="preserve">Por otra parte, la asociación entre empleo exportador y empleo IMMEX es imperfecta: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7"/>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9" name="Picture"/>
                  <a:graphic>
                    <a:graphicData uri="http://schemas.openxmlformats.org/drawingml/2006/picture">
                      <pic:pic>
                        <pic:nvPicPr>
                          <pic:cNvPr descr="../Plots/fig-immex-empleo_2024.png" id="100" name="Picture"/>
                          <pic:cNvPicPr>
                            <a:picLocks noChangeArrowheads="1" noChangeAspect="1"/>
                          </pic:cNvPicPr>
                        </pic:nvPicPr>
                        <pic:blipFill>
                          <a:blip r:embed="rId98"/>
                          <a:stretch>
                            <a:fillRect/>
                          </a:stretch>
                        </pic:blipFill>
                        <pic:spPr bwMode="auto">
                          <a:xfrm>
                            <a:off x="0" y="0"/>
                            <a:ext cx="5486400" cy="3291840"/>
                          </a:xfrm>
                          <a:prstGeom prst="rect">
                            <a:avLst/>
                          </a:prstGeom>
                          <a:noFill/>
                          <a:ln w="9525">
                            <a:noFill/>
                            <a:headEnd/>
                            <a:tailEnd/>
                          </a:ln>
                        </pic:spPr>
                      </pic:pic>
                    </a:graphicData>
                  </a:graphic>
                </wp:inline>
              </w:drawing>
            </w:r>
          </w:p>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apa-immex-2periodos"/>
          <w:p>
            <w:pPr>
              <w:jc w:val="center"/>
            </w:pPr>
            <w:pPr>
              <w:jc w:val="left"/>
              <w:spacing w:before="200"/>
              <w:pStyle w:val="ImageCaption"/>
            </w:pPr>
            <w:r>
              <w:t xml:space="preserve">Figura 15: Cambio en la participación porcentual del empleo IMMEX por entidad federativa, 2010-2018 y 2018-2024</w:t>
            </w:r>
          </w:p>
          <w:p>
            <w:pPr>
              <w:pStyle w:val="Compact"/>
              <w:jc w:val="center"/>
            </w:pPr>
            <w:r>
              <w:drawing>
                <wp:inline>
                  <wp:extent cx="5486400" cy="4488872"/>
                  <wp:effectExtent b="0" l="0" r="0" t="0"/>
                  <wp:docPr descr="" title="" id="103" name="Picture"/>
                  <a:graphic>
                    <a:graphicData uri="http://schemas.openxmlformats.org/drawingml/2006/picture">
                      <pic:pic>
                        <pic:nvPicPr>
                          <pic:cNvPr descr="../Plots/mapa_immex_2periodos_2024.png" id="104" name="Picture"/>
                          <pic:cNvPicPr>
                            <a:picLocks noChangeArrowheads="1" noChangeAspect="1"/>
                          </pic:cNvPicPr>
                        </pic:nvPicPr>
                        <pic:blipFill>
                          <a:blip r:embed="rId102"/>
                          <a:stretch>
                            <a:fillRect/>
                          </a:stretch>
                        </pic:blipFill>
                        <pic:spPr bwMode="auto">
                          <a:xfrm>
                            <a:off x="0" y="0"/>
                            <a:ext cx="5486400" cy="4488872"/>
                          </a:xfrm>
                          <a:prstGeom prst="rect">
                            <a:avLst/>
                          </a:prstGeom>
                          <a:noFill/>
                          <a:ln w="9525">
                            <a:noFill/>
                            <a:headEnd/>
                            <a:tailEnd/>
                          </a:ln>
                        </pic:spPr>
                      </pic:pic>
                    </a:graphicData>
                  </a:graphic>
                </wp:inline>
              </w:drawing>
            </w:r>
          </w:p>
          <w:bookmarkEnd w:id="105"/>
        </w:tc>
      </w:tr>
    </w:tbl>
    <w:bookmarkEnd w:id="106"/>
    <w:bookmarkEnd w:id="107"/>
    <w:bookmarkStart w:id="193" w:name="la-inversión-extranjera-directa"/>
    <w:p>
      <w:pPr>
        <w:pStyle w:val="Heading2"/>
      </w:pPr>
      <w:r>
        <w:t xml:space="preserve">5 La inversión extranjera directa</w:t>
      </w:r>
    </w:p>
    <w:p>
      <w:pPr>
        <w:pStyle w:val="FirstParagraph"/>
      </w:pPr>
      <w:r>
        <w:t xml:space="preserve">Como se explicó en el capítulo 1, sería un error identificar el nearshoring con los anuncios de construcción de nuevas plantas por parte de EMNs. Esto no quiere decir, por supuesto, que la IED juegue un papel importante en este proceso, y este apartado se dedica a examinar su comportamiento durante la primera fase del nearshoring, entre 2018 y 2024.</w:t>
      </w:r>
    </w:p>
    <w:bookmarkStart w:id="115"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 2024. La línea de tendencia</w:t>
      </w:r>
      <w:r>
        <w:rPr>
          <w:rStyle w:val="FootnoteReference"/>
        </w:rPr>
        <w:footnoteReference w:id="108"/>
      </w:r>
      <w:r>
        <w:t xml:space="preserve"> </w:t>
      </w:r>
      <w:r>
        <w:t xml:space="preserve">muestra un crecimiento modesto entre 2010 y 2016, una meseta que se extiende hasta 2021, y de nuevo un crecimiento anual modesto a partir de ese último año. El pico de 2013 que refleja la adquisición del Grupo Modelo por parte de AB InBev</w:t>
      </w:r>
      <w:r>
        <w:rPr>
          <w:rStyle w:val="FootnoteReference"/>
        </w:rPr>
        <w:footnoteReference w:id="109"/>
      </w:r>
      <w:r>
        <w:t xml:space="preserve">.</w:t>
      </w:r>
    </w:p>
    <w:p>
      <w:pPr>
        <w:pStyle w:val="BodyText"/>
      </w:pPr>
      <w:r>
        <w:t xml:space="preserve">En cuanto a los orígenes de la IED, hay un ligero incremento de la participación de conjunta de EUA y Canadá, que pasa del 46.6 al 51%, y un aumento notable de la participación de Asia: el porcentaje de la inversión proveniente de Japón pasa de 4.5 a 10.9%, mientras que china y Corea del Sur, cuya participación es demasiado pequeña para identificarla de manera individual en 2010, alcanzan el 2.4 y 3.5% del total, respectivamente. En total, la participación de Asia se incrementa en cerca de 10 pp, anticipando una tendencia que se hará más marcada a partir de 2025.</w:t>
      </w:r>
    </w:p>
    <w:tbl>
      <w:tblPr>
        <w:tblStyle w:val="Table"/>
        <w:tblW w:type="pct" w:w="5000"/>
        <w:tblLayout w:type="fixed"/>
        <w:tblLook w:firstRow="0" w:lastRow="0" w:firstColumn="0" w:lastColumn="0" w:noHBand="0" w:noVBand="0" w:val="0000"/>
      </w:tblPr>
      <w:tblGrid>
        <w:gridCol w:w="7920"/>
      </w:tblGrid>
      <w:tr>
        <w:tc>
          <w:tcPr/>
          <w:bookmarkStart w:id="114"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12" name="Picture"/>
                  <a:graphic>
                    <a:graphicData uri="http://schemas.openxmlformats.org/drawingml/2006/picture">
                      <pic:pic>
                        <pic:nvPicPr>
                          <pic:cNvPr descr="../Plots/ied_total_origen_2024.png" id="113" name="Picture"/>
                          <pic:cNvPicPr>
                            <a:picLocks noChangeArrowheads="1" noChangeAspect="1"/>
                          </pic:cNvPicPr>
                        </pic:nvPicPr>
                        <pic:blipFill>
                          <a:blip r:embed="rId111"/>
                          <a:stretch>
                            <a:fillRect/>
                          </a:stretch>
                        </pic:blipFill>
                        <pic:spPr bwMode="auto">
                          <a:xfrm>
                            <a:off x="0" y="0"/>
                            <a:ext cx="5486400" cy="4937760"/>
                          </a:xfrm>
                          <a:prstGeom prst="rect">
                            <a:avLst/>
                          </a:prstGeom>
                          <a:noFill/>
                          <a:ln w="9525">
                            <a:noFill/>
                            <a:headEnd/>
                            <a:tailEnd/>
                          </a:ln>
                        </pic:spPr>
                      </pic:pic>
                    </a:graphicData>
                  </a:graphic>
                </wp:inline>
              </w:drawing>
            </w:r>
          </w:p>
          <w:bookmarkEnd w:id="114"/>
        </w:tc>
      </w:tr>
    </w:tbl>
    <w:bookmarkEnd w:id="115"/>
    <w:bookmarkStart w:id="124"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una tendencia general ligeramente positiva, aquí vemos justamente lo contrario: la IED como porcentaje del PIB decrece prácticamente dodos los años a partir de 2015, y como porcentaje de la formación bruta de capital fijo se mantiene relativamente estable entre 2015 y 2021, y decrece de allí en adelante.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desempeño.</w:t>
      </w:r>
    </w:p>
    <w:tbl>
      <w:tblPr>
        <w:tblStyle w:val="Table"/>
        <w:tblW w:type="pct" w:w="5000"/>
        <w:tblLayout w:type="fixed"/>
        <w:tblLook w:firstRow="0" w:lastRow="0" w:firstColumn="0" w:lastColumn="0" w:noHBand="0" w:noVBand="0" w:val="0000"/>
      </w:tblPr>
      <w:tblGrid>
        <w:gridCol w:w="7920"/>
      </w:tblGrid>
      <w:tr>
        <w:tc>
          <w:tcPr/>
          <w:bookmarkStart w:id="119"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7" name="Picture"/>
                  <a:graphic>
                    <a:graphicData uri="http://schemas.openxmlformats.org/drawingml/2006/picture">
                      <pic:pic>
                        <pic:nvPicPr>
                          <pic:cNvPr descr="../Plots/ied_ratios_2024.png" id="118" name="Picture"/>
                          <pic:cNvPicPr>
                            <a:picLocks noChangeArrowheads="1" noChangeAspect="1"/>
                          </pic:cNvPicPr>
                        </pic:nvPicPr>
                        <pic:blipFill>
                          <a:blip r:embed="rId116"/>
                          <a:stretch>
                            <a:fillRect/>
                          </a:stretch>
                        </pic:blipFill>
                        <pic:spPr bwMode="auto">
                          <a:xfrm>
                            <a:off x="0" y="0"/>
                            <a:ext cx="5486400" cy="4389120"/>
                          </a:xfrm>
                          <a:prstGeom prst="rect">
                            <a:avLst/>
                          </a:prstGeom>
                          <a:noFill/>
                          <a:ln w="9525">
                            <a:noFill/>
                            <a:headEnd/>
                            <a:tailEnd/>
                          </a:ln>
                        </pic:spPr>
                      </pic:pic>
                    </a:graphicData>
                  </a:graphic>
                </wp:inline>
              </w:drawing>
            </w:r>
          </w:p>
          <w:bookmarkEnd w:id="119"/>
        </w:tc>
      </w:tr>
    </w:tbl>
    <w:p>
      <w:pPr>
        <w:pStyle w:val="BodyText"/>
      </w:pPr>
      <w:r>
        <w:t xml:space="preserve">Como elemento de contexto, es importante notar que la IED como porcentaje del PIB en México es sistemáticamente inferior a la de países con los que compite directamente en el mercado de EUA, tales como Costa Rica, República Dominicana y Vietnam, tal y como se muestra en la</w:t>
      </w:r>
      <w:r>
        <w:t xml:space="preserve"> </w:t>
      </w:r>
      <w:hyperlink w:anchor="fig-ied-pib-comparadores">
        <w:r>
          <w:rPr>
            <w:rStyle w:val="Hyperlink"/>
          </w:rPr>
          <w:t xml:space="preserve">Figura 18</w:t>
        </w:r>
      </w:hyperlink>
      <w:r>
        <w:t xml:space="preserve">.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3"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21" name="Picture"/>
                  <a:graphic>
                    <a:graphicData uri="http://schemas.openxmlformats.org/drawingml/2006/picture">
                      <pic:pic>
                        <pic:nvPicPr>
                          <pic:cNvPr descr="../Plots/ied_pib_comparativo_wdi_2024.png" id="122" name="Picture"/>
                          <pic:cNvPicPr>
                            <a:picLocks noChangeArrowheads="1" noChangeAspect="1"/>
                          </pic:cNvPicPr>
                        </pic:nvPicPr>
                        <pic:blipFill>
                          <a:blip r:embed="rId120"/>
                          <a:stretch>
                            <a:fillRect/>
                          </a:stretch>
                        </pic:blipFill>
                        <pic:spPr bwMode="auto">
                          <a:xfrm>
                            <a:off x="0" y="0"/>
                            <a:ext cx="5486400" cy="3352800"/>
                          </a:xfrm>
                          <a:prstGeom prst="rect">
                            <a:avLst/>
                          </a:prstGeom>
                          <a:noFill/>
                          <a:ln w="9525">
                            <a:noFill/>
                            <a:headEnd/>
                            <a:tailEnd/>
                          </a:ln>
                        </pic:spPr>
                      </pic:pic>
                    </a:graphicData>
                  </a:graphic>
                </wp:inline>
              </w:drawing>
            </w:r>
          </w:p>
          <w:bookmarkEnd w:id="123"/>
        </w:tc>
      </w:tr>
    </w:tbl>
    <w:bookmarkEnd w:id="124"/>
    <w:bookmarkStart w:id="133" w:name="formación-bruta-de-capital-fijo"/>
    <w:p>
      <w:pPr>
        <w:pStyle w:val="Heading3"/>
      </w:pPr>
      <w:r>
        <w:t xml:space="preserve">5.3 Formación bruta de capital fijo</w:t>
      </w:r>
    </w:p>
    <w:p>
      <w:pPr>
        <w:pStyle w:val="FirstParagraph"/>
      </w:pPr>
      <w:r>
        <w:t xml:space="preserve">Dado que la IED solo representa alrededor del 12% de la inversión total del país, resulta apropiado analizar el comportamiento de la FBCF. Tras la previsible caída durante 2020, la FBCF privada creció de manera considerable hasta 2023, y se mantuvo estable en 2024. La FBCF pública disminuyó todos los años entre 2020 y 2022, y solo empezó a recuperarse a partir de 2022.</w:t>
      </w:r>
    </w:p>
    <w:tbl>
      <w:tblPr>
        <w:tblStyle w:val="Table"/>
        <w:tblW w:type="pct" w:w="5000"/>
        <w:tblLayout w:type="fixed"/>
        <w:tblLook w:firstRow="0" w:lastRow="0" w:firstColumn="0" w:lastColumn="0" w:noHBand="0" w:noVBand="0" w:val="0000"/>
      </w:tblPr>
      <w:tblGrid>
        <w:gridCol w:w="7920"/>
      </w:tblGrid>
      <w:tr>
        <w:tc>
          <w:tcPr/>
          <w:bookmarkStart w:id="128"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6" name="Picture"/>
                  <a:graphic>
                    <a:graphicData uri="http://schemas.openxmlformats.org/drawingml/2006/picture">
                      <pic:pic>
                        <pic:nvPicPr>
                          <pic:cNvPr descr="../Plots/ied_fbcf_privada_publica_2024.png" id="127" name="Picture"/>
                          <pic:cNvPicPr>
                            <a:picLocks noChangeArrowheads="1" noChangeAspect="1"/>
                          </pic:cNvPicPr>
                        </pic:nvPicPr>
                        <pic:blipFill>
                          <a:blip r:embed="rId125"/>
                          <a:stretch>
                            <a:fillRect/>
                          </a:stretch>
                        </pic:blipFill>
                        <pic:spPr bwMode="auto">
                          <a:xfrm>
                            <a:off x="0" y="0"/>
                            <a:ext cx="5486400" cy="3017520"/>
                          </a:xfrm>
                          <a:prstGeom prst="rect">
                            <a:avLst/>
                          </a:prstGeom>
                          <a:noFill/>
                          <a:ln w="9525">
                            <a:noFill/>
                            <a:headEnd/>
                            <a:tailEnd/>
                          </a:ln>
                        </pic:spPr>
                      </pic:pic>
                    </a:graphicData>
                  </a:graphic>
                </wp:inline>
              </w:drawing>
            </w:r>
          </w:p>
          <w:bookmarkEnd w:id="128"/>
        </w:tc>
      </w:tr>
    </w:tbl>
    <w:p>
      <w:pPr>
        <w:pStyle w:val="BodyText"/>
      </w:pPr>
      <w:r>
        <w:t xml:space="preserve">El crecimiento de la FBCF por tipo de bien sugiere que el sector privado está expandiendo capacidad productiva e importando bienes de capital para nuevos procesos y simultáneamente invirtiendo en bienes raíces, pero estos datos no permiten diferenciar entre construcción residencial, comercial e industrial.</w:t>
      </w:r>
    </w:p>
    <w:tbl>
      <w:tblPr>
        <w:tblStyle w:val="Table"/>
        <w:tblW w:type="pct" w:w="5000"/>
        <w:tblLayout w:type="fixed"/>
        <w:tblLook w:firstRow="0" w:lastRow="0" w:firstColumn="0" w:lastColumn="0" w:noHBand="0" w:noVBand="0" w:val="0000"/>
      </w:tblPr>
      <w:tblGrid>
        <w:gridCol w:w="7920"/>
      </w:tblGrid>
      <w:tr>
        <w:tc>
          <w:tcPr/>
          <w:bookmarkStart w:id="132"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30" name="Picture"/>
                  <a:graphic>
                    <a:graphicData uri="http://schemas.openxmlformats.org/drawingml/2006/picture">
                      <pic:pic>
                        <pic:nvPicPr>
                          <pic:cNvPr descr="../Plots/ied_fbcf_privada_por_tipo_bien_2024.png" id="131" name="Picture"/>
                          <pic:cNvPicPr>
                            <a:picLocks noChangeArrowheads="1" noChangeAspect="1"/>
                          </pic:cNvPicPr>
                        </pic:nvPicPr>
                        <pic:blipFill>
                          <a:blip r:embed="rId129"/>
                          <a:stretch>
                            <a:fillRect/>
                          </a:stretch>
                        </pic:blipFill>
                        <pic:spPr bwMode="auto">
                          <a:xfrm>
                            <a:off x="0" y="0"/>
                            <a:ext cx="5486400" cy="3017520"/>
                          </a:xfrm>
                          <a:prstGeom prst="rect">
                            <a:avLst/>
                          </a:prstGeom>
                          <a:noFill/>
                          <a:ln w="9525">
                            <a:noFill/>
                            <a:headEnd/>
                            <a:tailEnd/>
                          </a:ln>
                        </pic:spPr>
                      </pic:pic>
                    </a:graphicData>
                  </a:graphic>
                </wp:inline>
              </w:drawing>
            </w:r>
          </w:p>
          <w:bookmarkEnd w:id="132"/>
        </w:tc>
      </w:tr>
    </w:tbl>
    <w:bookmarkEnd w:id="133"/>
    <w:bookmarkStart w:id="142" w:name="la-distribución-sectorial-de-la-ied"/>
    <w:p>
      <w:pPr>
        <w:pStyle w:val="Heading3"/>
      </w:pPr>
      <w:r>
        <w:t xml:space="preserve">5.4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7"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5" name="Picture"/>
                  <a:graphic>
                    <a:graphicData uri="http://schemas.openxmlformats.org/drawingml/2006/picture">
                      <pic:pic>
                        <pic:nvPicPr>
                          <pic:cNvPr descr="../Plots/ied_actividad_combinado_2024.png" id="136" name="Picture"/>
                          <pic:cNvPicPr>
                            <a:picLocks noChangeArrowheads="1" noChangeAspect="1"/>
                          </pic:cNvPicPr>
                        </pic:nvPicPr>
                        <pic:blipFill>
                          <a:blip r:embed="rId134"/>
                          <a:stretch>
                            <a:fillRect/>
                          </a:stretch>
                        </pic:blipFill>
                        <pic:spPr bwMode="auto">
                          <a:xfrm>
                            <a:off x="0" y="0"/>
                            <a:ext cx="5486400" cy="5486400"/>
                          </a:xfrm>
                          <a:prstGeom prst="rect">
                            <a:avLst/>
                          </a:prstGeom>
                          <a:noFill/>
                          <a:ln w="9525">
                            <a:noFill/>
                            <a:headEnd/>
                            <a:tailEnd/>
                          </a:ln>
                        </pic:spPr>
                      </pic:pic>
                    </a:graphicData>
                  </a:graphic>
                </wp:inline>
              </w:drawing>
            </w:r>
          </w:p>
          <w:bookmarkEnd w:id="137"/>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41"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9" name="Picture"/>
                  <a:graphic>
                    <a:graphicData uri="http://schemas.openxmlformats.org/drawingml/2006/picture">
                      <pic:pic>
                        <pic:nvPicPr>
                          <pic:cNvPr descr="../Plots/ied_manuf_subsector_2024.png" id="140" name="Picture"/>
                          <pic:cNvPicPr>
                            <a:picLocks noChangeArrowheads="1" noChangeAspect="1"/>
                          </pic:cNvPicPr>
                        </pic:nvPicPr>
                        <pic:blipFill>
                          <a:blip r:embed="rId138"/>
                          <a:stretch>
                            <a:fillRect/>
                          </a:stretch>
                        </pic:blipFill>
                        <pic:spPr bwMode="auto">
                          <a:xfrm>
                            <a:off x="0" y="0"/>
                            <a:ext cx="5486400" cy="5486400"/>
                          </a:xfrm>
                          <a:prstGeom prst="rect">
                            <a:avLst/>
                          </a:prstGeom>
                          <a:noFill/>
                          <a:ln w="9525">
                            <a:noFill/>
                            <a:headEnd/>
                            <a:tailEnd/>
                          </a:ln>
                        </pic:spPr>
                      </pic:pic>
                    </a:graphicData>
                  </a:graphic>
                </wp:inline>
              </w:drawing>
            </w:r>
          </w:p>
          <w:bookmarkEnd w:id="141"/>
        </w:tc>
      </w:tr>
    </w:tbl>
    <w:bookmarkEnd w:id="142"/>
    <w:bookmarkStart w:id="163" w:name="los-anuncios-de-inversión"/>
    <w:p>
      <w:pPr>
        <w:pStyle w:val="Heading3"/>
      </w:pPr>
      <w:r>
        <w:t xml:space="preserve">5.5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6"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44" name="Picture"/>
                  <a:graphic>
                    <a:graphicData uri="http://schemas.openxmlformats.org/drawingml/2006/picture">
                      <pic:pic>
                        <pic:nvPicPr>
                          <pic:cNvPr descr="../Plots/zafra-capex-tipo.png" id="145" name="Picture"/>
                          <pic:cNvPicPr>
                            <a:picLocks noChangeArrowheads="1" noChangeAspect="1"/>
                          </pic:cNvPicPr>
                        </pic:nvPicPr>
                        <pic:blipFill>
                          <a:blip r:embed="rId143"/>
                          <a:stretch>
                            <a:fillRect/>
                          </a:stretch>
                        </pic:blipFill>
                        <pic:spPr bwMode="auto">
                          <a:xfrm>
                            <a:off x="0" y="0"/>
                            <a:ext cx="5256603" cy="3992720"/>
                          </a:xfrm>
                          <a:prstGeom prst="rect">
                            <a:avLst/>
                          </a:prstGeom>
                          <a:noFill/>
                          <a:ln w="9525">
                            <a:noFill/>
                            <a:headEnd/>
                            <a:tailEnd/>
                          </a:ln>
                        </pic:spPr>
                      </pic:pic>
                    </a:graphicData>
                  </a:graphic>
                </wp:inline>
              </w:drawing>
            </w:r>
          </w:p>
          <w:bookmarkEnd w:id="146"/>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50"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8" name="Picture"/>
                  <a:graphic>
                    <a:graphicData uri="http://schemas.openxmlformats.org/drawingml/2006/picture">
                      <pic:pic>
                        <pic:nvPicPr>
                          <pic:cNvPr descr="../Plots/zafra-capex-sectores.png" id="149" name="Picture"/>
                          <pic:cNvPicPr>
                            <a:picLocks noChangeArrowheads="1" noChangeAspect="1"/>
                          </pic:cNvPicPr>
                        </pic:nvPicPr>
                        <pic:blipFill>
                          <a:blip r:embed="rId147"/>
                          <a:stretch>
                            <a:fillRect/>
                          </a:stretch>
                        </pic:blipFill>
                        <pic:spPr bwMode="auto">
                          <a:xfrm>
                            <a:off x="0" y="0"/>
                            <a:ext cx="5285327" cy="4031019"/>
                          </a:xfrm>
                          <a:prstGeom prst="rect">
                            <a:avLst/>
                          </a:prstGeom>
                          <a:noFill/>
                          <a:ln w="9525">
                            <a:noFill/>
                            <a:headEnd/>
                            <a:tailEnd/>
                          </a:ln>
                        </pic:spPr>
                      </pic:pic>
                    </a:graphicData>
                  </a:graphic>
                </wp:inline>
              </w:drawing>
            </w:r>
          </w:p>
          <w:bookmarkEnd w:id="150"/>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54"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52" name="Picture"/>
                  <a:graphic>
                    <a:graphicData uri="http://schemas.openxmlformats.org/drawingml/2006/picture">
                      <pic:pic>
                        <pic:nvPicPr>
                          <pic:cNvPr descr="../Plots/zafra-capex-region.png" id="153" name="Picture"/>
                          <pic:cNvPicPr>
                            <a:picLocks noChangeArrowheads="1" noChangeAspect="1"/>
                          </pic:cNvPicPr>
                        </pic:nvPicPr>
                        <pic:blipFill>
                          <a:blip r:embed="rId151"/>
                          <a:stretch>
                            <a:fillRect/>
                          </a:stretch>
                        </pic:blipFill>
                        <pic:spPr bwMode="auto">
                          <a:xfrm>
                            <a:off x="0" y="0"/>
                            <a:ext cx="5026806" cy="6625809"/>
                          </a:xfrm>
                          <a:prstGeom prst="rect">
                            <a:avLst/>
                          </a:prstGeom>
                          <a:noFill/>
                          <a:ln w="9525">
                            <a:noFill/>
                            <a:headEnd/>
                            <a:tailEnd/>
                          </a:ln>
                        </pic:spPr>
                      </pic:pic>
                    </a:graphicData>
                  </a:graphic>
                </wp:inline>
              </w:drawing>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6" name="Picture"/>
                  <a:graphic>
                    <a:graphicData uri="http://schemas.openxmlformats.org/drawingml/2006/picture">
                      <pic:pic>
                        <pic:nvPicPr>
                          <pic:cNvPr descr="../Plots/zafra-capex-plotregion.png" id="157" name="Picture"/>
                          <pic:cNvPicPr>
                            <a:picLocks noChangeArrowheads="1" noChangeAspect="1"/>
                          </pic:cNvPicPr>
                        </pic:nvPicPr>
                        <pic:blipFill>
                          <a:blip r:embed="rId155"/>
                          <a:stretch>
                            <a:fillRect/>
                          </a:stretch>
                        </pic:blipFill>
                        <pic:spPr bwMode="auto">
                          <a:xfrm>
                            <a:off x="0" y="0"/>
                            <a:ext cx="4969357" cy="2642663"/>
                          </a:xfrm>
                          <a:prstGeom prst="rect">
                            <a:avLst/>
                          </a:prstGeom>
                          <a:noFill/>
                          <a:ln w="9525">
                            <a:noFill/>
                            <a:headEnd/>
                            <a:tailEnd/>
                          </a:ln>
                        </pic:spPr>
                      </pic:pic>
                    </a:graphicData>
                  </a:graphic>
                </wp:inline>
              </w:drawing>
            </w:r>
          </w:p>
          <w:bookmarkEnd w:id="158"/>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62"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60" name="Picture"/>
                  <a:graphic>
                    <a:graphicData uri="http://schemas.openxmlformats.org/drawingml/2006/picture">
                      <pic:pic>
                        <pic:nvPicPr>
                          <pic:cNvPr descr="../Plots/zafra-capex-origen.png" id="161" name="Picture"/>
                          <pic:cNvPicPr>
                            <a:picLocks noChangeArrowheads="1" noChangeAspect="1"/>
                          </pic:cNvPicPr>
                        </pic:nvPicPr>
                        <pic:blipFill>
                          <a:blip r:embed="rId159"/>
                          <a:stretch>
                            <a:fillRect/>
                          </a:stretch>
                        </pic:blipFill>
                        <pic:spPr bwMode="auto">
                          <a:xfrm>
                            <a:off x="0" y="0"/>
                            <a:ext cx="4260816" cy="4749135"/>
                          </a:xfrm>
                          <a:prstGeom prst="rect">
                            <a:avLst/>
                          </a:prstGeom>
                          <a:noFill/>
                          <a:ln w="9525">
                            <a:noFill/>
                            <a:headEnd/>
                            <a:tailEnd/>
                          </a:ln>
                        </pic:spPr>
                      </pic:pic>
                    </a:graphicData>
                  </a:graphic>
                </wp:inline>
              </w:drawing>
            </w:r>
          </w:p>
          <w:bookmarkEnd w:id="162"/>
        </w:tc>
      </w:tr>
    </w:tbl>
    <w:bookmarkEnd w:id="163"/>
    <w:bookmarkStart w:id="187" w:name="desarrollo-inmobiliario-industrial"/>
    <w:p>
      <w:pPr>
        <w:pStyle w:val="Heading3"/>
      </w:pPr>
      <w:r>
        <w:t xml:space="preserve">5.6 Desarrollo inmobiliario industrial</w:t>
      </w:r>
    </w:p>
    <w:p>
      <w:pPr>
        <w:pStyle w:val="FirstParagraph"/>
      </w:pPr>
      <w:r>
        <w:t xml:space="preserve">El impacto del nearshoring también se evidencia en la demanda de suelo industrial. Según CBRE</w:t>
      </w:r>
      <w:r>
        <w:rPr>
          <w:rStyle w:val="FootnoteReference"/>
        </w:rPr>
        <w:footnoteReference w:id="164"/>
      </w:r>
      <w:r>
        <w:t xml:space="preserve">, la demanda anual de bienes raíces industriales atribuida al nearshoring</w:t>
      </w:r>
      <w:r>
        <w:rPr>
          <w:rStyle w:val="FootnoteReference"/>
        </w:rPr>
        <w:footnoteReference w:id="165"/>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9"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7" name="Picture"/>
                  <a:graphic>
                    <a:graphicData uri="http://schemas.openxmlformats.org/drawingml/2006/picture">
                      <pic:pic>
                        <pic:nvPicPr>
                          <pic:cNvPr descr="../Plots/zafra-absorcion.png" id="168" name="Picture"/>
                          <pic:cNvPicPr>
                            <a:picLocks noChangeArrowheads="1" noChangeAspect="1"/>
                          </pic:cNvPicPr>
                        </pic:nvPicPr>
                        <pic:blipFill>
                          <a:blip r:embed="rId166"/>
                          <a:stretch>
                            <a:fillRect/>
                          </a:stretch>
                        </pic:blipFill>
                        <pic:spPr bwMode="auto">
                          <a:xfrm>
                            <a:off x="0" y="0"/>
                            <a:ext cx="5160854" cy="3111832"/>
                          </a:xfrm>
                          <a:prstGeom prst="rect">
                            <a:avLst/>
                          </a:prstGeom>
                          <a:noFill/>
                          <a:ln w="9525">
                            <a:noFill/>
                            <a:headEnd/>
                            <a:tailEnd/>
                          </a:ln>
                        </pic:spPr>
                      </pic:pic>
                    </a:graphicData>
                  </a:graphic>
                </wp:inline>
              </w:drawing>
            </w:r>
          </w:p>
          <w:bookmarkEnd w:id="169"/>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73"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71" name="Picture"/>
                  <a:graphic>
                    <a:graphicData uri="http://schemas.openxmlformats.org/drawingml/2006/picture">
                      <pic:pic>
                        <pic:nvPicPr>
                          <pic:cNvPr descr="../Plots/zafra-absorcion-region.png" id="172" name="Picture"/>
                          <pic:cNvPicPr>
                            <a:picLocks noChangeArrowheads="1" noChangeAspect="1"/>
                          </pic:cNvPicPr>
                        </pic:nvPicPr>
                        <pic:blipFill>
                          <a:blip r:embed="rId170"/>
                          <a:stretch>
                            <a:fillRect/>
                          </a:stretch>
                        </pic:blipFill>
                        <pic:spPr bwMode="auto">
                          <a:xfrm>
                            <a:off x="0" y="0"/>
                            <a:ext cx="4624661" cy="5333202"/>
                          </a:xfrm>
                          <a:prstGeom prst="rect">
                            <a:avLst/>
                          </a:prstGeom>
                          <a:noFill/>
                          <a:ln w="9525">
                            <a:noFill/>
                            <a:headEnd/>
                            <a:tailEnd/>
                          </a:ln>
                        </pic:spPr>
                      </pic:pic>
                    </a:graphicData>
                  </a:graphic>
                </wp:inline>
              </w:drawing>
            </w:r>
          </w:p>
          <w:bookmarkEnd w:id="173"/>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7"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5" name="Picture"/>
                  <a:graphic>
                    <a:graphicData uri="http://schemas.openxmlformats.org/drawingml/2006/picture">
                      <pic:pic>
                        <pic:nvPicPr>
                          <pic:cNvPr descr="../Plots/zafra-absorcion-sector.png" id="176" name="Picture"/>
                          <pic:cNvPicPr>
                            <a:picLocks noChangeArrowheads="1" noChangeAspect="1"/>
                          </pic:cNvPicPr>
                        </pic:nvPicPr>
                        <pic:blipFill>
                          <a:blip r:embed="rId174"/>
                          <a:stretch>
                            <a:fillRect/>
                          </a:stretch>
                        </pic:blipFill>
                        <pic:spPr bwMode="auto">
                          <a:xfrm>
                            <a:off x="0" y="0"/>
                            <a:ext cx="4844883" cy="4701260"/>
                          </a:xfrm>
                          <a:prstGeom prst="rect">
                            <a:avLst/>
                          </a:prstGeom>
                          <a:noFill/>
                          <a:ln w="9525">
                            <a:noFill/>
                            <a:headEnd/>
                            <a:tailEnd/>
                          </a:ln>
                        </pic:spPr>
                      </pic:pic>
                    </a:graphicData>
                  </a:graphic>
                </wp:inline>
              </w:drawing>
            </w:r>
          </w:p>
          <w:bookmarkEnd w:id="177"/>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81"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9" name="Picture"/>
                  <a:graphic>
                    <a:graphicData uri="http://schemas.openxmlformats.org/drawingml/2006/picture">
                      <pic:pic>
                        <pic:nvPicPr>
                          <pic:cNvPr descr="../Plots/zafra-absorcion-origen.png" id="180" name="Picture"/>
                          <pic:cNvPicPr>
                            <a:picLocks noChangeArrowheads="1" noChangeAspect="1"/>
                          </pic:cNvPicPr>
                        </pic:nvPicPr>
                        <pic:blipFill>
                          <a:blip r:embed="rId178"/>
                          <a:stretch>
                            <a:fillRect/>
                          </a:stretch>
                        </pic:blipFill>
                        <pic:spPr bwMode="auto">
                          <a:xfrm>
                            <a:off x="0" y="0"/>
                            <a:ext cx="4174642" cy="1685176"/>
                          </a:xfrm>
                          <a:prstGeom prst="rect">
                            <a:avLst/>
                          </a:prstGeom>
                          <a:noFill/>
                          <a:ln w="9525">
                            <a:noFill/>
                            <a:headEnd/>
                            <a:tailEnd/>
                          </a:ln>
                        </pic:spPr>
                      </pic:pic>
                    </a:graphicData>
                  </a:graphic>
                </wp:inline>
              </w:drawing>
            </w:r>
          </w:p>
          <w:bookmarkEnd w:id="181"/>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82"/>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6" w:name="fig-absorcion-neta-ciudades"/>
          <w:p>
            <w:pPr>
              <w:pStyle w:val="Compact"/>
              <w:jc w:val="center"/>
            </w:pPr>
            <w:r>
              <w:drawing>
                <wp:inline>
                  <wp:extent cx="4643811" cy="4634236"/>
                  <wp:effectExtent b="0" l="0" r="0" t="0"/>
                  <wp:docPr descr="" title="" id="184" name="Picture"/>
                  <a:graphic>
                    <a:graphicData uri="http://schemas.openxmlformats.org/drawingml/2006/picture">
                      <pic:pic>
                        <pic:nvPicPr>
                          <pic:cNvPr descr="../Plots/zafra-absorcion-ciudades.png" id="185" name="Picture"/>
                          <pic:cNvPicPr>
                            <a:picLocks noChangeArrowheads="1" noChangeAspect="1"/>
                          </pic:cNvPicPr>
                        </pic:nvPicPr>
                        <pic:blipFill>
                          <a:blip r:embed="rId183"/>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6"/>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7"/>
    <w:bookmarkStart w:id="192" w:name="otros-indicadores"/>
    <w:p>
      <w:pPr>
        <w:pStyle w:val="Heading3"/>
      </w:pPr>
      <w:r>
        <w:t xml:space="preserve">5.7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91"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9" name="Picture"/>
                  <a:graphic>
                    <a:graphicData uri="http://schemas.openxmlformats.org/drawingml/2006/picture">
                      <pic:pic>
                        <pic:nvPicPr>
                          <pic:cNvPr descr="../Plots/zafra-intenciones.png" id="190" name="Picture"/>
                          <pic:cNvPicPr>
                            <a:picLocks noChangeArrowheads="1" noChangeAspect="1"/>
                          </pic:cNvPicPr>
                        </pic:nvPicPr>
                        <pic:blipFill>
                          <a:blip r:embed="rId188"/>
                          <a:stretch>
                            <a:fillRect/>
                          </a:stretch>
                        </pic:blipFill>
                        <pic:spPr bwMode="auto">
                          <a:xfrm>
                            <a:off x="0" y="0"/>
                            <a:ext cx="5227878" cy="1752201"/>
                          </a:xfrm>
                          <a:prstGeom prst="rect">
                            <a:avLst/>
                          </a:prstGeom>
                          <a:noFill/>
                          <a:ln w="9525">
                            <a:noFill/>
                            <a:headEnd/>
                            <a:tailEnd/>
                          </a:ln>
                        </pic:spPr>
                      </pic:pic>
                    </a:graphicData>
                  </a:graphic>
                </wp:inline>
              </w:drawing>
            </w:r>
          </w:p>
          <w:bookmarkEnd w:id="191"/>
        </w:tc>
      </w:tr>
    </w:tbl>
    <w:bookmarkEnd w:id="192"/>
    <w:bookmarkEnd w:id="193"/>
    <w:bookmarkStart w:id="194"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3"/>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3"/>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3"/>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94"/>
    <w:bookmarkStart w:id="216" w:name="anexos"/>
    <w:p>
      <w:pPr>
        <w:pStyle w:val="Heading2"/>
      </w:pPr>
      <w:r>
        <w:t xml:space="preserve">7 Anexos</w:t>
      </w:r>
    </w:p>
    <w:bookmarkStart w:id="211"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8"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6" name="Picture"/>
                  <a:graphic>
                    <a:graphicData uri="http://schemas.openxmlformats.org/drawingml/2006/picture">
                      <pic:pic>
                        <pic:nvPicPr>
                          <pic:cNvPr descr="../Plots/panel_partidas_cap84_2024.png" id="197" name="Picture"/>
                          <pic:cNvPicPr>
                            <a:picLocks noChangeArrowheads="1" noChangeAspect="1"/>
                          </pic:cNvPicPr>
                        </pic:nvPicPr>
                        <pic:blipFill>
                          <a:blip r:embed="rId195"/>
                          <a:stretch>
                            <a:fillRect/>
                          </a:stretch>
                        </pic:blipFill>
                        <pic:spPr bwMode="auto">
                          <a:xfrm>
                            <a:off x="0" y="0"/>
                            <a:ext cx="5486400" cy="9052560"/>
                          </a:xfrm>
                          <a:prstGeom prst="rect">
                            <a:avLst/>
                          </a:prstGeom>
                          <a:noFill/>
                          <a:ln w="9525">
                            <a:noFill/>
                            <a:headEnd/>
                            <a:tailEnd/>
                          </a:ln>
                        </pic:spPr>
                      </pic:pic>
                    </a:graphicData>
                  </a:graphic>
                </wp:inline>
              </w:drawing>
            </w:r>
          </w:p>
          <w:bookmarkEnd w:id="198"/>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4"/>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4"/>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202"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200" name="Picture"/>
                  <a:graphic>
                    <a:graphicData uri="http://schemas.openxmlformats.org/drawingml/2006/picture">
                      <pic:pic>
                        <pic:nvPicPr>
                          <pic:cNvPr descr="../Plots/panel_partidas_cap85_2024.png" id="201" name="Picture"/>
                          <pic:cNvPicPr>
                            <a:picLocks noChangeArrowheads="1" noChangeAspect="1"/>
                          </pic:cNvPicPr>
                        </pic:nvPicPr>
                        <pic:blipFill>
                          <a:blip r:embed="rId199"/>
                          <a:stretch>
                            <a:fillRect/>
                          </a:stretch>
                        </pic:blipFill>
                        <pic:spPr bwMode="auto">
                          <a:xfrm>
                            <a:off x="0" y="0"/>
                            <a:ext cx="5486400" cy="9052560"/>
                          </a:xfrm>
                          <a:prstGeom prst="rect">
                            <a:avLst/>
                          </a:prstGeom>
                          <a:noFill/>
                          <a:ln w="9525">
                            <a:noFill/>
                            <a:headEnd/>
                            <a:tailEnd/>
                          </a:ln>
                        </pic:spPr>
                      </pic:pic>
                    </a:graphicData>
                  </a:graphic>
                </wp:inline>
              </w:drawing>
            </w:r>
          </w:p>
          <w:bookmarkEnd w:id="202"/>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5"/>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5"/>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6"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204" name="Picture"/>
                  <a:graphic>
                    <a:graphicData uri="http://schemas.openxmlformats.org/drawingml/2006/picture">
                      <pic:pic>
                        <pic:nvPicPr>
                          <pic:cNvPr descr="../Plots/panel_partidas_cap87_2024.png" id="205" name="Picture"/>
                          <pic:cNvPicPr>
                            <a:picLocks noChangeArrowheads="1" noChangeAspect="1"/>
                          </pic:cNvPicPr>
                        </pic:nvPicPr>
                        <pic:blipFill>
                          <a:blip r:embed="rId203"/>
                          <a:stretch>
                            <a:fillRect/>
                          </a:stretch>
                        </pic:blipFill>
                        <pic:spPr bwMode="auto">
                          <a:xfrm>
                            <a:off x="0" y="0"/>
                            <a:ext cx="5486400" cy="3017520"/>
                          </a:xfrm>
                          <a:prstGeom prst="rect">
                            <a:avLst/>
                          </a:prstGeom>
                          <a:noFill/>
                          <a:ln w="9525">
                            <a:noFill/>
                            <a:headEnd/>
                            <a:tailEnd/>
                          </a:ln>
                        </pic:spPr>
                      </pic:pic>
                    </a:graphicData>
                  </a:graphic>
                </wp:inline>
              </w:drawing>
            </w:r>
          </w:p>
          <w:bookmarkEnd w:id="206"/>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10"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8" name="Picture"/>
                  <a:graphic>
                    <a:graphicData uri="http://schemas.openxmlformats.org/drawingml/2006/picture">
                      <pic:pic>
                        <pic:nvPicPr>
                          <pic:cNvPr descr="../Plots/panel_partidas_cap90_2024.png" id="209" name="Picture"/>
                          <pic:cNvPicPr>
                            <a:picLocks noChangeArrowheads="1" noChangeAspect="1"/>
                          </pic:cNvPicPr>
                        </pic:nvPicPr>
                        <pic:blipFill>
                          <a:blip r:embed="rId207"/>
                          <a:stretch>
                            <a:fillRect/>
                          </a:stretch>
                        </pic:blipFill>
                        <pic:spPr bwMode="auto">
                          <a:xfrm>
                            <a:off x="0" y="0"/>
                            <a:ext cx="5486400" cy="7040880"/>
                          </a:xfrm>
                          <a:prstGeom prst="rect">
                            <a:avLst/>
                          </a:prstGeom>
                          <a:noFill/>
                          <a:ln w="9525">
                            <a:noFill/>
                            <a:headEnd/>
                            <a:tailEnd/>
                          </a:ln>
                        </pic:spPr>
                      </pic:pic>
                    </a:graphicData>
                  </a:graphic>
                </wp:inline>
              </w:drawing>
            </w:r>
          </w:p>
          <w:bookmarkEnd w:id="210"/>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11"/>
    <w:bookmarkStart w:id="213"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12"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12"/>
        </w:tc>
      </w:tr>
    </w:tbl>
    <w:bookmarkEnd w:id="213"/>
    <w:bookmarkStart w:id="215" w:name="Xfcc88e3827047f0a5a4033f3dce77b6c8503cdb"/>
    <w:p>
      <w:pPr>
        <w:pStyle w:val="Heading3"/>
      </w:pPr>
      <w:r>
        <w:t xml:space="preserve">7.3 Tabla de correspondencias: nombres cortos y nomenclatura del SA</w:t>
      </w:r>
    </w:p>
    <w:p>
      <w:pPr>
        <w:pStyle w:val="FirstParagraph"/>
      </w:pPr>
      <w:r>
        <w:t xml:space="preserve">La</w:t>
      </w:r>
      <w:r>
        <w:t xml:space="preserve"> </w:t>
      </w:r>
      <w:hyperlink w:anchor="tbl-correspondencias-sa">
        <w:r>
          <w:rPr>
            <w:rStyle w:val="Hyperlink"/>
          </w:rPr>
          <w:t xml:space="preserve">Tabla 9</w:t>
        </w:r>
      </w:hyperlink>
      <w:r>
        <w:t xml:space="preserve"> </w:t>
      </w:r>
      <w:r>
        <w:t xml:space="preserve">presenta, para todas las Secciones y Capítulos del SA y para las Partidas que se identifican individualmente en este capítulo, el nombre corto utilizado en el texto, tablas y figuras junto con la nomenclatura oficial. Para cada Sección se indica, entre paréntesis, el nombre ultracorto utilizado en las figuras.</w:t>
      </w:r>
    </w:p>
    <w:tbl>
      <w:tblPr>
        <w:tblStyle w:val="Table"/>
        <w:tblW w:type="pct" w:w="5000"/>
        <w:tblLayout w:type="fixed"/>
        <w:tblLook w:firstRow="0" w:lastRow="0" w:firstColumn="0" w:lastColumn="0" w:noHBand="0" w:noVBand="0" w:val="0000"/>
      </w:tblPr>
      <w:tblGrid>
        <w:gridCol w:w="7920"/>
      </w:tblGrid>
      <w:tr>
        <w:tc>
          <w:tcPr/>
          <w:bookmarkStart w:id="214" w:name="tbl-correspondencias-sa"/>
          <w:p>
            <w:pPr>
              <w:jc w:val="center"/>
            </w:pPr>
            <w:pPr>
              <w:jc w:val="left"/>
              <w:spacing w:before="200"/>
              <w:pStyle w:val="ImageCaption"/>
            </w:pPr>
            <w:r>
              <w:t xml:space="preserve">Tabla 9: Correspondencia entre nombres cortos y nomenclatura oficial del Sistema Armonizado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2"/>
              <w:gridCol w:w="2448"/>
              <w:gridCol w:w="50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Código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Nombre corto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Nombre oficial (SA 2022)</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Animales (Anim)</w:t>
                  </w:r>
                </w:p>
              </w:tc>
              <w:tc>
                <w:tcPr>
                  <w:tcBorders>
                    <w:bottom w:val="none" w:sz="0" w:space="0" w:color="000000"/>
                    <w:top w:val="single" w:sz="12" w:space="0" w:color="666666"/>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Animales vivos y productos del reino animal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Animales vivos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Animales vivos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Carnes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Carne y despojos comestibles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Pescados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Pescados y crustáceos, moluscos y demás invertebrados acuáticos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Lácteos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Leche y productos lácteos; huevos de ave; miel natural; productos comestibles de origen animal, no expresados ni comprendidos en otra parte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Otros animales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Los demás productos de origen animal no expresados ni comprendidos en otra parte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Vegetales (Veg)</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Productos del reino vegetal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Plantas vivas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Plantas vivas y productos de la floricultura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Hortalizas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Hortalizas, plantas, raíces y tubérculos alimenticios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Frutas y nueces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Frutas y frutos comestibles; cortezas de agrios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Café y especias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Café, té, yerba mate y especias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Cereales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Cereales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Molinería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de la molinería; malta; almidón y fécula; inulina; gluten de trigo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Semillas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Semillas y frutos oleaginosos; semillas y frutos diversos; plantas industriales o medicinales; paja y forraje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Gomas y resinas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Gomas, resinas y demás jugos y extractos vegetales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Materias vegetales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Materias trenzables y demás productos de origen vegetal, no expresados ni comprendidos en otra parte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Grasas y aceites (Grasas)</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Grasas y aceites, animales, vegetales o de origen microbiano, y productos de su desdoblamiento; grasas alimenticias elaboradas; ceras de origen animal o vegetal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Grasas y aceites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Grasas y aceites, animales, vegetales o de origen microbiano, y productos de su desdoblamiento; grasas alimenticias elaboradas; ceras de origen animal o vegetal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IV</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Alimentos (Alim)</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Productos de las industrias alimentarias; bebidas, líquidos alcohólicos y vinagre; tabaco y sucedáneos del tabaco elaborados; productos, incluso con nicotina, destinados para la inhalación sin combustión; otros productos que contengan nicotina destinados para la absorción de nicotina en el cuerpo humano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 de carne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Preparaciones de carne, pescado, crustáceos, moluscos o demás invertebrados acuáticos, o de insectos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Azúcares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Azúcares y artículos de confitería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Cacao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Cacao y sus preparaciones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 de cereales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Preparaciones a base de cereales, harina, almidón, fécula o leche; productos de pastelería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 de hortalizas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Preparaciones de hortalizas, frutas u otros frutos o demás partes de plantas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 alimenticias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Preparaciones alimenticias diversas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Bebidas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Bebidas, líquidos alcohólicos y vinagre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Residuos alimentarios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Residuos y desperdicios de las industrias alimentarias; alimentos preparados para animales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Tabaco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Tabaco y sucedáneos del tabaco elaborados; productos, incluso con nicotina, destinados para la inhalación sin combustión; otros productos que contengan nicotina destinados para la absorción de nicotina en el cuerpo humano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Minerales (Miner)</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Productos minerales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Sal y piedras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Sal; azufre; tierras y piedras; yesos, cales y cementos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Minerales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Minerales metalíferos, escorias y cenizas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Combustibles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Combustibles minerales, aceites minerales y productos de su destilación; materias bituminosas; ceras minerales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Químicos (Quím)</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Productos de las industrias químicas o de las industrias conexas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Químicos inorgánicos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químicos inorgánicos; compuestos inorgánicos u orgánicos de metal precioso, de elementos radiactivos, de metales de las tierras raras o de isótopos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Químicos orgánicos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químicos orgánicos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Farmacéuticos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farmacéuticos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Fertilizantes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Abonos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Tintes y pinturas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Extractos curtientes o tintóreos; taninos y sus derivados; pigmentos y demás materias colorantes; pinturas y barnices; mástiques; tintas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Perfumería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Aceites esenciales y resinoides; preparaciones de perfumería, de tocador o de cosmética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Jabones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Jabón, agentes de superficie orgánicos, preparaciones para lavar, preparaciones lubricantes, ceras artificiales, ceras preparadas, productos de limpieza, velas y artículos similares, pastas para modelar, «ceras para odontología» y preparaciones para odontología a base de yeso fraguable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Almidones y colas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Materias albuminoideas; productos a base de almidón o de fécula modificados; colas; enzimas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Explosivos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Pólvora y explosivos; artículos de pirotecnia; fósforos (cerillas); aleaciones pirofóricas; materias inflamables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Fotografía y 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fotográficos o cinematográficos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Químicos diversos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diversos de las industrias químicas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Plástico y hule (Plást)</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Plástico y sus manufacturas; caucho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Plásticos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Plástico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Caucho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Caucho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VIII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Cuero</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Pieles, cueros, peletería y manufacturas de estas materias; artículos de talabartería o guarnicionería; artículos de viaje, bolsos de mano (carteras) y continentes similares; manufacturas de tripa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Pieles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Pieles (excepto la peletería) y cueros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Art. de cuero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de cuero; artículos de talabartería o guarnicionería;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Peletería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Peletería y confecciones de peletería; peletería facticia o artificial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IX</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Madera, carbón vegetal y manufacturas de madera; corcho y sus manufacturas; manufacturas de espartería o cestería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Madera, carbón vegetal y manufacturas de madera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Corcho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Corcho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Cestería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de espartería o cestería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Papel</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Pasta de madera o de las demás materias fibrosas celulósicas; papel o cartón para reciclar (desperdicios y desechos); papel o cartón y sus aplicaciones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Pasta de papel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Pasta de madera o de las demás materias fibrosas celulósicas; papel o cartón para reciclar (desperdicios y desechos)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Papel y cartón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Papel y cartón; manufacturas de pasta de celulosa, de papel o cartón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Impresos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editoriales, de la prensa y de las demás industrias gráficas; textos manuscritos o mecanografiados y planos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Textiles (Text)</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Materias textiles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Lana y pelo fino u ordinario; hilados y tejidos de crin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Algodón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Algodón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Fibras vegetales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Las demás fibras textiles vegetales; hilados de papel y tejidos de hilados de papel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Filamentos sintéticos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Filamentos sintéticos o artificiales; tiras y formas similares de materia textil sintética o artificial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Fibras sintéticas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Fibras sintéticas o artificiales discontinuas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Guata y fieltro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Guata, fieltro y tela sin tejer; hilados especiales; cordeles, cuerdas y cordajes; artículos de cordelería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Alfombras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Alfombras y demás revestimientos para el suelo, de materia textil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Tejidos especiales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Tejidos especiales; superficies textiles con mechón insertado; encajes; tapicería; pasamanería; bordados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Tejidos recubiertos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Telas impregnadas, recubiertas, revestidas o estratificadas; artículos técnicos de materia textil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Tejidos de punto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Tejidos de punto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Prendas de punto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Prendas y complementos (accesorios), de vestir, de punto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Prendas de tela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Prendas y complementos (accesorios), de vestir, excepto los de punto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Textiles del hogar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Los demás artículos textiles confeccionados; juegos; prendería y trapos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Calzado (Calz)</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Calzado, sombreros y demás tocados, paraguas, quitasoles, bastones, látigos, fustas, y sus partes; plumas preparadas y artículos de plumas; flores artificiales; manufacturas de cabello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Calzado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Calzado, polainas y artículos análogos; partes de estos artículos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Sombreros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Sombreros, demás tocados, y sus partes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Paraguas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Paraguas, sombrillas, quitasoles, bastones, bastones asiento, látigos, fustas, y sus partes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Plumas y flores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Plumas y plumón preparados y artículos de plumas o plumón; flores artificiales; manufacturas de cabello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XIII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Piedra y cerámica (Piedra)</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Manufacturas de piedra, yeso fraguable, cemento, amianto (asbesto), mica o materias análogas; productos cerámicos; vidrio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Piedra y cemento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de piedra, yeso fraguable, cemento, amianto (asbesto), mica o materias análogas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Cerámica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Productos cerámicos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Vidrio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Vidrio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XIV</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Joyería (Joyas)</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Perlas finas (naturales) o cultivadas, piedras preciosas o semipreciosas, metales preciosos, chapados de metal precioso (plaqué) y manufacturas de estas materias; bisutería; monedas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Joyería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Perlas finas (naturales)* o cultivadas, piedras preciosas o semipreciosas,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XV</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Metales base (Metales)</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Metales comunes y manufacturas de estos metales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Hierro y acero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Fundición, hierro y acero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 de acero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de fundición, hierro o acero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Cobre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Níquel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Níquel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Aluminio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Aluminio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Plomo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Plomo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Zinc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Cinc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Estaño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Estaño y sus manufacturas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Otros metales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Los demás metales comunes; cermets; manufacturas de estas materias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Herramientas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Herramientas y útiles, artículos de cuchillería y cubiertos de mesa, de metal común; partes de estos artículos, de metal común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 metálicas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diversas de metal común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XVI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Maquinaria (Maq)</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Máquinas y aparatos, material eléctrico y sus partes; aparatos de grabación o reproducción de sonido, aparatos de grabación o reproducción de imagen y sonido en televisión, y las partes y accesorios de estos aparatos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Maquinaria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Reactores nucleares, calderas, máquinas, aparatos y artefactos mecánicos; partes de estas máquinas o aparatos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Motores de émbolo (pistón) alternativo y motores rotativos, de encendido por chispa (motores de explosión).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Partes identificables como destinadas, exclusiva o principalmente, a los motores de las partidas 84.07 u 84.08.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Turborreactores, turbopropulsores y demás turbinas de gas.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Bombas para líquidos, incluso con dispositivo medidor incorporado; elevadores de líquidos.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Bombas de aire o de vacío, compresores de aire u otros gases y ventiladores; campanas aspirantes para extracción o reciclado, con ventilador incorporado, incluso con filtro; recintos de seguridad biológica herméticos a gases, incluso con filtro.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Máquinas y aparatos para acondicionamiento de aire que comprendan un ventilador con motor y los dispositivos adecuados para modificar la temperatura y la humedad, aunque no regulen separadamente el grado higrométrico.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Refrigeradores, congeladores y demás material, máquinas y aparatos para producción de frío, aunque no sean eléctricos; bombas de calor, excepto las máquinas y aparatos para acondicionamiento de aire de la partida 84.15.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Centrifugadoras, incluidas las secadoras centrífugas; aparatos para filtrar o depurar líquidos o gases.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Máquinas automáticas para tratamiento o procesamiento de datos y sus unidades; lectores magnéticos u ópticos, máquinas para registro de datos sobre soporte en forma codificada y máquinas para tratamiento o procesamiento de estos datos, no expresados ni comprendidos en otra parte.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Partes y accesorios (excepto los estuches, fundas y similares) identificables como destinados, exclusiva o principalmente, a las máquinas o aparatos de las partidas 84.70 a 84.72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Artículos de grifería y órganos similares para tuberías, calderas, depósitos, cubas o continentes similares, incluidas las válvulas reductoras de presión y las válvulas termostáticas.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Eléctrico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Máquinas, aparatos y material eléctrico, y sus partes; aparatos de grabación o reproducción de sonido, aparatos de grabación o reproducción de imagen y sonido en televisión, y las partes y accesorios de estos aparatos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Motores y generadores, eléctricos, excepto los grupos electrógenos.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Transformadores eléctricos, convertidores eléctricos estáticos (por ejemplo, rectificadores) y bobinas de reactancia (autoinducción).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Aparatos eléctricos de alumbrado o señalización (excepto los artículos de la partida 85.39), limpiaparabrisas, eliminadores de escarcha o vaho, eléctricos, de los tipos utilizados en velocípedos o vehículos automóviles.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Calentadores eléctricos de agua de calentamiento instantáneo o acumulación y calentadores eléctricos de inmersión; aparatos eléctricos para calefacción de espacios o suelos; aparatos electrotérmicos para el cuidado del cabello (por ejemplo: secadores, rizadores, calientatenacillas) o para secar las manos; planchas eléctricas; los demás aparatos electrotérmicos de uso doméstico; resistencias calentadoras, excepto las de la partida 85.45.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Teléfonos, incluidos los teléfonos inteligentes y demás teléfonos móviles (celulares)* y los de otras redes inalámbricas; los demás aparatos para emisión, transmisión o recepción de voz, imagen u otros datos, incluidos los de comunicación en red con o sin cable (tales como redes locales (lan) o extendidas (wan)), distintos de los aparatos de transmisión o recepción de las partidas 84.43, 85.25, 85.27 u 85.28.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Monitores y proyectores, que no incorporen aparato receptor de televisión; aparatos receptores de televisión, incluso con aparato receptor de radiodifusión o grabación o reproducción de sonido o imagen incorporado.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Aparatos para corte, seccionamiento, protección, derivación, empalme o conexión de circuitos eléctricos (por ejemplo: interruptores, conmutadores, relés, cortacircuitos, supresores de sobretensión transitoria, clavijas y tomas de corriente (enchufes), portalámparas y demás conectores, cajas de empalme), para una tensión inferior o igual a 1.000 voltios; conectores de fibras ópticas, haces o cables de fibras ópticas.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Cuadros, paneles, consolas, armarios y demás soportes equipados con varios aparatos de las partidas 85.35 u 85.36, para control o distribución de electricidad, incluidos los que incorporen instrumentos o aparatos del capítulo 90, así como los aparatos de control numérico, excepto los aparatos de conmutación de la partida 85.17.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Máquinas y aparatos eléctricos con función propia, no expresados ni comprendidos en otra parte de este capítulo.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Hilos, cables (incluidos los coaxiales) y demás conductores aislados para electricidad, aunque estén laqueados, anodizados o provistos de piezas de conexión; cables de fibras ópticas constituidos por fibras enfundadas individualmente, incluso con conductores eléctricos incorporados o provistos de piezas de conexión.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XVII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Transporte (Transp)</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Material de transporte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Ferroviario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Vehículos y material para vías férreas o similares, y sus partes; aparatos mecánicos (incluso electromecánicos) de señalización para vías de comunicación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Vehículos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Vehículos automóviles, tractores, velocípedos y demás vehículos terrestres; sus partes y accesorios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Automóviles de turismo y demás vehículos automóviles diseñados principalmente para el transporte de personas (excepto los de la partida 87.02), incluidos los del tipo familiar («break» o «station wagon») y los de carreras.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Camiones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Vehículos automóviles para transporte de mercancías.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Partes y accesorios de vehículos automóviles de las partidas 87.01 a 87.05.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Aeronaves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Aeronaves, vehículos espaciales, y sus partes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Barcos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Barcos y demás artefactos flotantes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XVIII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Instrumentos (Instrs)</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Instrumentos y aparatos de óptica, fotografía o cinematografía, de medida, control o precisión; instrumentos y aparatos medicoquirúrgicos; aparatos de relojería; instrumentos musicales; partes y accesorios de estos instrumentos o aparatos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Óptica/médico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y aparatos de óptica, fotografía o cinematografía, de medida, control o precisión; instrumentos y aparatos medicoquirúrgicos; partes y accesorios de estos instrumentos o aparatos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y aparatos de medicina, cirugía, odontología o veterinaria, incluidos los de centellografía y demás aparatos electromédicos, así como los aparatos para pruebas visuales.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Aparatos de mecanoterapia; aparatos para masajes; aparatos de psicotecnia; aparatos de ozonoterapia, oxigenoterapia o aerosolterapia, aparatos respiratorios de reanimación y demás aparatos de terapia respiratoria.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Artículos y aparatos de ortopedia, incluidas las fajas y vendajes medicoquirúrgicos y las muletas; tablillas, férulas u otros artículos y aparatos para fracturas; artículos y aparatos de prótesis; audífonos y demás aparatos que lleve la propia persona o se le implanten para compensar un defecto o incapacidad.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y aparatos para medida o control de caudal, nivel, presión u otras características variables de líquidos o gases (por ejemplo: caudalímetros, indicadores de nivel, manómetros, contadores de calor), excepto los instrumentos y aparatos de las partidas 90.14, 90.15, 90.28 o 90.32.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Contadores de gas, líquido o electricidad, incluidos los de calibración.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Los demás contadores (por ejemplo: cuentarrevoluciones, contadores de producción, taxímetros, cuentakilómetros, podómetros); velocímetros y tacómetros, excepto los de las partidas 90.14 o 90.15; estroboscopios.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Medición y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aparatos y máquinas de medida o control, no expresados ni comprendidos en otra parte de este capítulo; proyectores de perfiles.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4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y aparatos para regulación o control automáticos.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Relojería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Aparatos de relojería y sus partes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 musicales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Instrumentos musicales; sus partes y accesorios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XIX</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Armas</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Armas, municiones, y sus partes y accesorios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Armas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Armas, municiones, y sus partes y accesorios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XX</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Manufactura (Manuf)</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Mercancías y productos diversos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Muebles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Muebles; mobiliario medicoquirúrgico; artículos de cama y similares; luminarias y aparatos de alumbrado no expresados ni comprendidos en otra parte; anuncios, letreros y placas indicadoras, luminosos y artículos similares; construcciones prefabricadas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Juguetes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Juguetes, juegos y artículos para recreo o deporte; sus partes y accesorios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 diversas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Manufacturas diversas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XXI</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Arte</w:t>
                  </w:r>
                </w:p>
              </w:tc>
              <w:tc>
                <w:tcPr>
                  <w:tcBorders>
                    <w:bottom w:val="none" w:sz="0" w:space="0" w:color="000000"/>
                    <w:top w:val="none" w:sz="0" w:space="0" w:color="000000"/>
                    <w:left w:val="none" w:sz="0" w:space="0" w:color="000000"/>
                    <w:right w:val="none" w:sz="0" w:space="0" w:color="000000"/>
                  </w:tcBorders>
                  <w:shd w:val="clear" w:color="auto" w:fill="E3E6E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Objetos de arte o colección y antigüedades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Cap. 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Objetos de arte o colección y antigüedades</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Elaboración propia con base en la Organización Mundial de Aduanas (Secciones, SA 2022) y NALADISA 2022 (Capítulos y Partidas). Se incluyen todas las Secciones y Capítulos del SA y solo las Partidas que se identifican individualmente en este capítulo. Entre paréntesis, junto al nombre corto de cada Sección, el nombre ultracorto usado en las figuras.</w:t>
                  </w:r>
                </w:p>
              </w:tc>
            </w:tr>
          </w:tbl>
          <w:bookmarkEnd w:id="214"/>
        </w:tc>
      </w:tr>
    </w:tbl>
    <w:bookmarkEnd w:id="215"/>
    <w:bookmarkEnd w:id="216"/>
    <w:bookmarkStart w:id="243" w:name="referencias"/>
    <w:p>
      <w:pPr>
        <w:pStyle w:val="Heading2"/>
      </w:pPr>
      <w:r>
        <w:t xml:space="preserve">8 Referencias</w:t>
      </w:r>
    </w:p>
    <w:bookmarkStart w:id="242" w:name="refs"/>
    <w:bookmarkStart w:id="217" w:name="ref-alfarochor2023"/>
    <w:p>
      <w:pPr>
        <w:pStyle w:val="Bibliography"/>
      </w:pPr>
      <w:r>
        <w:t xml:space="preserve">Alfaro, Laura, y Davin Chor. 2023.</w:t>
      </w:r>
      <w:r>
        <w:t xml:space="preserve"> </w:t>
      </w:r>
      <w:r>
        <w:t xml:space="preserve">«Global Supply Chains: The Looming "Great Reallocation"»</w:t>
      </w:r>
      <w:r>
        <w:t xml:space="preserve">.</w:t>
      </w:r>
    </w:p>
    <w:bookmarkEnd w:id="217"/>
    <w:bookmarkStart w:id="218"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8"/>
    <w:bookmarkStart w:id="219"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9"/>
    <w:bookmarkStart w:id="220" w:name="ref-chiquiar2005a"/>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220"/>
    <w:bookmarkStart w:id="221"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21"/>
    <w:bookmarkStart w:id="223"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22">
        <w:r>
          <w:rPr>
            <w:rStyle w:val="Hyperlink"/>
          </w:rPr>
          <w:t xml:space="preserve">https://www.federalreserve.gov/econres/notes/feds-notes/did-the-us-bilateral-goods-deficit-with-china-increase-or-decrease-during-the-us-china-trade-conflict-20210621.html</w:t>
        </w:r>
      </w:hyperlink>
      <w:r>
        <w:t xml:space="preserve">.</w:t>
      </w:r>
    </w:p>
    <w:bookmarkEnd w:id="223"/>
    <w:bookmarkStart w:id="225"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24">
        <w:r>
          <w:rPr>
            <w:rStyle w:val="Hyperlink"/>
          </w:rPr>
          <w:t xml:space="preserve">https://www.bakerinstitute.org/research/new-taxonomy-nearshoring-strategic-trends-global-value-chain-reconfiguration</w:t>
        </w:r>
      </w:hyperlink>
      <w:r>
        <w:t xml:space="preserve">.</w:t>
      </w:r>
    </w:p>
    <w:bookmarkEnd w:id="225"/>
    <w:bookmarkStart w:id="226"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6"/>
    <w:bookmarkStart w:id="228"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7">
        <w:r>
          <w:rPr>
            <w:rStyle w:val="Hyperlink"/>
          </w:rPr>
          <w:t xml:space="preserve">https://documents.worldbank.org/en/publication/documents-reports/documentdetail/099312512192423854</w:t>
        </w:r>
      </w:hyperlink>
      <w:r>
        <w:t xml:space="preserve">.</w:t>
      </w:r>
    </w:p>
    <w:bookmarkEnd w:id="228"/>
    <w:bookmarkStart w:id="229"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9"/>
    <w:bookmarkStart w:id="231"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30">
        <w:r>
          <w:rPr>
            <w:rStyle w:val="Hyperlink"/>
          </w:rPr>
          <w:t xml:space="preserve">https://voxchina.org/show-3-392.html</w:t>
        </w:r>
      </w:hyperlink>
      <w:r>
        <w:t xml:space="preserve">.</w:t>
      </w:r>
    </w:p>
    <w:bookmarkEnd w:id="231"/>
    <w:bookmarkStart w:id="233" w:name="ref-krugman2025"/>
    <w:p>
      <w:pPr>
        <w:pStyle w:val="Bibliography"/>
      </w:pPr>
      <w:r>
        <w:t xml:space="preserve">Krugman, Paul. 2025.</w:t>
      </w:r>
      <w:r>
        <w:t xml:space="preserve"> </w:t>
      </w:r>
      <w:r>
        <w:t xml:space="preserve">«America is Trapped in a Burning Tesla»</w:t>
      </w:r>
      <w:r>
        <w:t xml:space="preserve">.</w:t>
      </w:r>
      <w:r>
        <w:t xml:space="preserve"> </w:t>
      </w:r>
      <w:hyperlink r:id="rId232">
        <w:r>
          <w:rPr>
            <w:rStyle w:val="Hyperlink"/>
          </w:rPr>
          <w:t xml:space="preserve">https://paulkrugman.substack.com/p/america-is-trapped-in-a-burning-tesla</w:t>
        </w:r>
      </w:hyperlink>
      <w:r>
        <w:t xml:space="preserve">.</w:t>
      </w:r>
    </w:p>
    <w:bookmarkEnd w:id="233"/>
    <w:bookmarkStart w:id="235"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34">
        <w:r>
          <w:rPr>
            <w:rStyle w:val="Hyperlink"/>
          </w:rPr>
          <w:t xml:space="preserve">https://www.dallasfed.org/research/economics/2024/1205</w:t>
        </w:r>
      </w:hyperlink>
      <w:r>
        <w:t xml:space="preserve">.</w:t>
      </w:r>
    </w:p>
    <w:bookmarkEnd w:id="235"/>
    <w:bookmarkStart w:id="237"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6">
        <w:r>
          <w:rPr>
            <w:rStyle w:val="Hyperlink"/>
          </w:rPr>
          <w:t xml:space="preserve">https://www.brookings.edu/articles/is-china-circumventing-us-tariffs-via-mexico-and-canada/</w:t>
        </w:r>
      </w:hyperlink>
      <w:r>
        <w:t xml:space="preserve">.</w:t>
      </w:r>
    </w:p>
    <w:bookmarkEnd w:id="237"/>
    <w:bookmarkStart w:id="239"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8">
        <w:r>
          <w:rPr>
            <w:rStyle w:val="Hyperlink"/>
          </w:rPr>
          <w:t xml:space="preserve">https://www.nytimes.com/2026/04/07/us/politics/tariffs-trade-import-fraud.html</w:t>
        </w:r>
      </w:hyperlink>
      <w:r>
        <w:t xml:space="preserve">.</w:t>
      </w:r>
    </w:p>
    <w:bookmarkEnd w:id="239"/>
    <w:bookmarkStart w:id="241"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40">
        <w:r>
          <w:rPr>
            <w:rStyle w:val="Hyperlink"/>
          </w:rPr>
          <w:t xml:space="preserve">https://doi.org/10.1162/REST.a.1682</w:t>
        </w:r>
      </w:hyperlink>
      <w:r>
        <w:t xml:space="preserve">.</w:t>
      </w:r>
    </w:p>
    <w:bookmarkEnd w:id="241"/>
    <w:bookmarkEnd w:id="242"/>
    <w:bookmarkEnd w:id="243"/>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33">
    <w:p>
      <w:pPr>
        <w:pStyle w:val="FootnoteText"/>
      </w:pPr>
      <w:r>
        <w:rPr>
          <w:rStyle w:val="FootnoteReference"/>
        </w:rPr>
        <w:footnoteRef/>
      </w:r>
      <w:r>
        <w:t xml:space="preserve"> </w:t>
      </w:r>
      <w:r>
        <w:t xml:space="preserve">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footnote>
  <w:footnote w:id="51">
    <w:p>
      <w:pPr>
        <w:pStyle w:val="FootnoteText"/>
      </w:pPr>
      <w:r>
        <w:rPr>
          <w:rStyle w:val="FootnoteReference"/>
        </w:rPr>
        <w:footnoteRef/>
      </w:r>
      <w:r>
        <w:t xml:space="preserve"> </w:t>
      </w:r>
      <w:r>
        <w:t xml:space="preserve">A todo lo largo de este capítulo se utilizan los numerales romanos para identificar secciones del SA, y los números correspondientes a capítulos y partidas, lo que permite identificarlos sin ambigüedad. En aras de la brevedad en el texto, y de la legibilidad en los figuras, se usan nombres cortos, informales, para cada uno de estos niveles del SA. La nomenclatura oficial de todas las secciones y capítulos del SA, y de las partidas que se identifican de manera individual en este capítulo, se presenta en el Anexo 7.3</w:t>
      </w:r>
    </w:p>
  </w:footnote>
  <w:footnote w:id="52">
    <w:p>
      <w:pPr>
        <w:pStyle w:val="FootnoteText"/>
      </w:pPr>
      <w:r>
        <w:rPr>
          <w:rStyle w:val="FootnoteReference"/>
        </w:rPr>
        <w:footnoteRef/>
      </w:r>
      <w:r>
        <w:t xml:space="preserve"> </w:t>
      </w:r>
      <w:r>
        <w:t xml:space="preserve">Traducción de los autores.</w:t>
      </w:r>
    </w:p>
  </w:footnote>
  <w:footnote w:id="66">
    <w:p>
      <w:pPr>
        <w:pStyle w:val="FootnoteText"/>
      </w:pPr>
      <w:r>
        <w:rPr>
          <w:rStyle w:val="FootnoteReference"/>
        </w:rPr>
        <w:footnoteRef/>
      </w:r>
      <w:r>
        <w:t xml:space="preserve"> </w:t>
      </w:r>
      <w:r>
        <w:t xml:space="preserve">Para este capítulo</w:t>
      </w:r>
    </w:p>
  </w:footnote>
  <w:footnote w:id="97">
    <w:p>
      <w:pPr>
        <w:pStyle w:val="FootnoteText"/>
      </w:pPr>
      <w:r>
        <w:rPr>
          <w:rStyle w:val="FootnoteReference"/>
        </w:rPr>
        <w:footnoteRef/>
      </w:r>
      <w:r>
        <w:t xml:space="preserve"> </w:t>
      </w:r>
      <w:r>
        <w:t xml:space="preserve">Ver Capítulo 4.</w:t>
      </w:r>
    </w:p>
  </w:footnote>
  <w:footnote w:id="108">
    <w:p>
      <w:pPr>
        <w:pStyle w:val="FootnoteText"/>
      </w:pPr>
      <w:r>
        <w:rPr>
          <w:rStyle w:val="FootnoteReference"/>
        </w:rPr>
        <w:footnoteRef/>
      </w:r>
      <w:r>
        <w:t xml:space="preserve"> </w:t>
      </w:r>
      <w:r>
        <w:t xml:space="preserve">Descriptiva: se aplica el método LOESS, que filtra la variación de corto plazo, especificado de tal manera que se minimice la influencia de observaciones atípicas, como la de 2013. No hay una determinación estadística de cambios de tendencia en el gráfico.</w:t>
      </w:r>
    </w:p>
  </w:footnote>
  <w:footnote w:id="109">
    <w:p>
      <w:pPr>
        <w:pStyle w:val="FootnoteText"/>
      </w:pPr>
      <w:r>
        <w:rPr>
          <w:rStyle w:val="FootnoteReference"/>
        </w:rPr>
        <w:footnoteRef/>
      </w:r>
      <w:r>
        <w:t xml:space="preserve"> </w:t>
      </w:r>
      <w:r>
        <w:t xml:space="preserve">(</w:t>
      </w:r>
      <w:hyperlink r:id="rId110">
        <w:r>
          <w:rPr>
            <w:rStyle w:val="Hyperlink"/>
          </w:rPr>
          <w:t xml:space="preserve">https://www.bevindustry.com/articles/86441-anheuser-busch-inbev-completes-acquisition-of-grupo-modelo</w:t>
        </w:r>
      </w:hyperlink>
      <w:r>
        <w:t xml:space="preserve">)</w:t>
      </w:r>
    </w:p>
  </w:footnote>
  <w:footnote w:id="164">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5">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82">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134" Target="media/rId134.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11" Target="media/rId111.png"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102" Target="media/rId102.png" /><Relationship Type="http://schemas.openxmlformats.org/officeDocument/2006/relationships/image" Id="rId74" Target="media/rId74.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183" Target="media/rId183.png" /><Relationship Type="http://schemas.openxmlformats.org/officeDocument/2006/relationships/image" Id="rId178" Target="media/rId178.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66" Target="media/rId166.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88" Target="media/rId188.png" /><Relationship Type="http://schemas.openxmlformats.org/officeDocument/2006/relationships/image" Id="rId26" Target="media/rId26.png" /><Relationship Type="http://schemas.openxmlformats.org/officeDocument/2006/relationships/hyperlink" Id="rId227" Target="https://documents.worldbank.org/en/publication/documents-reports/documentdetail/099312512192423854" TargetMode="External" /><Relationship Type="http://schemas.openxmlformats.org/officeDocument/2006/relationships/hyperlink" Id="rId240"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2" Target="https://paulkrugman.substack.com/p/america-is-trapped-in-a-burning-tesla" TargetMode="External" /><Relationship Type="http://schemas.openxmlformats.org/officeDocument/2006/relationships/hyperlink" Id="rId230" Target="https://voxchina.org/show-3-392.html" TargetMode="External" /><Relationship Type="http://schemas.openxmlformats.org/officeDocument/2006/relationships/hyperlink" Id="rId224" Target="https://www.bakerinstitute.org/research/new-taxonomy-nearshoring-strategic-trends-global-value-chain-reconfiguration" TargetMode="External" /><Relationship Type="http://schemas.openxmlformats.org/officeDocument/2006/relationships/hyperlink" Id="rId110" Target="https://www.bevindustry.com/articles/86441-anheuser-busch-inbev-completes-acquisition-of-grupo-modelo" TargetMode="External" /><Relationship Type="http://schemas.openxmlformats.org/officeDocument/2006/relationships/hyperlink" Id="rId236" Target="https://www.brookings.edu/articles/is-china-circumventing-us-tariffs-via-mexico-and-canada/" TargetMode="External" /><Relationship Type="http://schemas.openxmlformats.org/officeDocument/2006/relationships/hyperlink" Id="rId234" Target="https://www.dallasfed.org/research/economics/2024/1205" TargetMode="External" /><Relationship Type="http://schemas.openxmlformats.org/officeDocument/2006/relationships/hyperlink" Id="rId222" Target="https://www.federalreserve.gov/econres/notes/feds-notes/did-the-us-bilateral-goods-deficit-with-china-increase-or-decrease-during-the-us-china-trade-conflict-20210621.html" TargetMode="External" /><Relationship Type="http://schemas.openxmlformats.org/officeDocument/2006/relationships/hyperlink" Id="rId238"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7" Target="https://documents.worldbank.org/en/publication/documents-reports/documentdetail/099312512192423854" TargetMode="External" /><Relationship Type="http://schemas.openxmlformats.org/officeDocument/2006/relationships/hyperlink" Id="rId240"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32" Target="https://paulkrugman.substack.com/p/america-is-trapped-in-a-burning-tesla" TargetMode="External" /><Relationship Type="http://schemas.openxmlformats.org/officeDocument/2006/relationships/hyperlink" Id="rId230" Target="https://voxchina.org/show-3-392.html" TargetMode="External" /><Relationship Type="http://schemas.openxmlformats.org/officeDocument/2006/relationships/hyperlink" Id="rId224" Target="https://www.bakerinstitute.org/research/new-taxonomy-nearshoring-strategic-trends-global-value-chain-reconfiguration" TargetMode="External" /><Relationship Type="http://schemas.openxmlformats.org/officeDocument/2006/relationships/hyperlink" Id="rId110" Target="https://www.bevindustry.com/articles/86441-anheuser-busch-inbev-completes-acquisition-of-grupo-modelo" TargetMode="External" /><Relationship Type="http://schemas.openxmlformats.org/officeDocument/2006/relationships/hyperlink" Id="rId236" Target="https://www.brookings.edu/articles/is-china-circumventing-us-tariffs-via-mexico-and-canada/" TargetMode="External" /><Relationship Type="http://schemas.openxmlformats.org/officeDocument/2006/relationships/hyperlink" Id="rId234" Target="https://www.dallasfed.org/research/economics/2024/1205" TargetMode="External" /><Relationship Type="http://schemas.openxmlformats.org/officeDocument/2006/relationships/hyperlink" Id="rId222" Target="https://www.federalreserve.gov/econres/notes/feds-notes/did-the-us-bilateral-goods-deficit-with-china-increase-or-decrease-during-the-us-china-trade-conflict-20210621.html" TargetMode="External" /><Relationship Type="http://schemas.openxmlformats.org/officeDocument/2006/relationships/hyperlink" Id="rId238"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2026-10-27T16:55:39Z</dcterms:created>
  <dcterms:modified xsi:type="dcterms:W3CDTF">2026-10-27T16:55:39Z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2018-2024. El comercio se ajusta más rápidamente que la inversión</vt:lpwstr>
  </property>
  <property fmtid="{D5CDD505-2E9C-101B-9397-08002B2CF9AE}" pid="18" name="toc-title">
    <vt:lpwstr>Índice</vt:lpwstr>
  </property>
</Properties>
</file>