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108"/>
        <w:gridCol w:w="2710"/>
        <w:gridCol w:w="1084"/>
        <w:gridCol w:w="1084"/>
        <w:gridCol w:w="1818"/>
        <w:gridCol w:w="1080"/>
        <w:gridCol w:w="1080"/>
        <w:gridCol w:w="1818"/>
        <w:gridCol w:w="1878"/>
        <w:gridCol w:w="1793"/>
      </w:tblGrid>
      <w:tr>
        <w:trPr>
          <w:trHeight w:val="623" w:hRule="auto"/>
          <w:tblHeader/>
        </w:trPr>
        <w:tc>
          <w:tcPr>
            <w:gridSpan w:val="11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Partidas (HS4) principales de EUA desde México según periodo de identificación (80% acumulado por capítulo)</w:t>
            </w:r>
          </w:p>
        </w:tc>
      </w:tr>
      <w:tr>
        <w:trPr>
          <w:trHeight w:val="608" w:hRule="auto"/>
          <w:tblHeader/>
        </w:trPr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(millones USD)</w:t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en el capítulo (%)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Capítulo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Nombre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ene–ago 2026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ene–ago 2026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 (24·25·26)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Computadoras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89,909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110,573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Aire acondicionado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Refrigeración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Partes de motores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Centrifugadoras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 en 2026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Motores a gasolina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 en 2026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Válvulas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 en 2026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Partes de oficina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○●○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2025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●○○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2024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Bombas de líquidos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●○○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2024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– 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Turbinas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●○○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2024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Cables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Teléfonos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Televisores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Transformadores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Conmutación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Motores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Alumbrado vehicular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– 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Calentadores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●○○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2024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– Vehículos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Automóviles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– Vehículos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Autopartes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– Vehículos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Camiones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Instrumentos médicos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Ortopedia y audífonos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Aparatos de terapia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las tres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Velocímetros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●●○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 en 2026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○●●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Entra en 2025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– Óptica/médico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Flujo, nivel y presión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○○●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Entra en 2026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● = en la lista del periodo; ○ = fuera. Elaboración propia con base en U.S. Census Bureau, International Trade API.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2026-10-21T14:01:14Z</dcterms:modified>
  <cp:category/>
</cp:coreProperties>
</file>