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021"/>
        <w:gridCol w:w="2292"/>
        <w:gridCol w:w="1021"/>
        <w:gridCol w:w="1111"/>
        <w:gridCol w:w="1021"/>
        <w:gridCol w:w="1021"/>
        <w:gridCol w:w="1111"/>
        <w:gridCol w:w="1021"/>
      </w:tblGrid>
      <w:tr>
        <w:trPr>
          <w:trHeight w:val="575"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Miles de millones de USD (ene–ago 2025)</w:t>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Miles de millones de USD (ene–ago 2026)</w:t>
            </w:r>
          </w:p>
        </w:tc>
      </w:tr>
      <w:tr>
        <w:trPr>
          <w:trHeight w:val="575"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Partida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Descripción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México</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Vietnam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Taiwán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México</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Vietnam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Taiwán</w:t>
            </w:r>
          </w:p>
        </w:tc>
      </w:tr>
      <w:tr>
        <w:trPr>
          <w:trHeight w:val="560" w:hRule="auto"/>
        </w:trPr>
        <w:tc>
          <w:tcPr>
            <w:gridSpan w:val="8"/>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84 - Maquinaria</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Computadoras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54.3</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47.4</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110.6</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29.4</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94.3</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Partes de oficina</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31.1</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8481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Válvulas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Compresores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Centrifugadoras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Turbinas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Bombas de líquidos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EqTérmico</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w:t>
            </w:r>
          </w:p>
        </w:tc>
      </w:tr>
      <w:tr>
        <w:trPr>
          <w:trHeight w:val="560" w:hRule="auto"/>
        </w:trPr>
        <w:tc>
          <w:tcPr>
            <w:gridSpan w:val="8"/>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85 - Eléctrico</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Cables eléctricos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Teléfonos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17.7</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9.2</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Tableros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Televisores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Transformadores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Otros eléctricos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Motores eléctricos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Conmutación</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Alumbrado vehicular</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Baterías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Calentadores eléctricos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trHeight w:val="560" w:hRule="auto"/>
        </w:trPr>
        <w:tc>
          <w:tcPr>
            <w:gridSpan w:val="8"/>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87 - Vehículos</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Autopartes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23.6</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24.2</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w:t>
            </w:r>
          </w:p>
        </w:tc>
      </w:tr>
      <w:tr>
        <w:trPr>
          <w:trHeight w:val="560" w:hRule="auto"/>
        </w:trPr>
        <w:tc>
          <w:tcPr>
            <w:gridSpan w:val="8"/>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90 - Óptica/médico</w:t>
            </w:r>
          </w:p>
        </w:tc>
      </w:tr>
      <w:tr>
        <w:trPr>
          <w:trHeight w:val="5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9018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Instrumentos médicos</w:t>
            </w:r>
          </w:p>
        </w:tc>
        <w:tc>
          <w:tcPr>
            <w:tcBorders>
              <w:bottom w:val="single" w:sz="12" w:space="0" w:color="666666"/>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w:t>
            </w:r>
          </w:p>
        </w:tc>
        <w:tc>
          <w:tcPr>
            <w:tcBorders>
              <w:bottom w:val="single" w:sz="12" w:space="0" w:color="666666"/>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w:t>
            </w:r>
          </w:p>
        </w:tc>
      </w:tr>
      <w:tr>
        <w:trPr>
          <w:trHeight w:val="360" w:hRule="auto"/>
        </w:trPr>
        <w:tc>
          <w:tcPr>
            <w:gridSpan w:val="8"/>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Elaboración propia con base en U.S. Census Bureau, API de Comercio Internacional. Partidas (HS4) entre las 50 más importantes por valor de cada país en 2024, 2025, ene–ago 2026, depuradas de categorías sin interés para nearshoring, presentes simultáneamente en México y en al menos uno de los otros dos países en al menos uno de esos periodos. El sombreado indica que la partida figura en la lista del país en algún periodo. Los valores corresponden a los mismos meses (ene–ago 2025 y ene–ago 2026). Encabezados de capítulo en negrita.</w:t>
            </w:r>
          </w:p>
        </w:tc>
      </w:tr>
    </w:tbl>
    <w:sectPr>
      <w:pgMar w:header="708" w:bottom="1080" w:top="1080" w:right="1080" w:left="1080" w:footer="708" w:gutter="0"/>
      <w:pgSz w:h="12240" w:w="15840" w:orient="landscape"/>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2026-10-22T11:03:12Z</dcterms:modified>
  <cp:category/>
</cp:coreProperties>
</file>