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883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287" w:hRule="auto"/>
          <w:tblHeader/>
        </w:trPr>
        <w:tc>
          <w:tcPr>
            <w:gridSpan w:val="11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Partidas (HS4) en que México compite con Vietnam y/o Taiwán según el periodo de identificación</w:t>
            </w:r>
          </w:p>
        </w:tc>
      </w:tr>
      <w:tr>
        <w:trPr>
          <w:trHeight w:val="272" w:hRule="auto"/>
          <w:tblHeader/>
        </w:trPr>
        <w:tc>
          <w:tcPr>
            <w:gridSpan w:val="3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Valor 2025 (miles de millones USD)</w:t>
            </w:r>
          </w:p>
        </w:tc>
        <w:tc>
          <w:tcPr>
            <w:gridSpan w:val="3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la lista del país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Periodos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/>
            </w:r>
          </w:p>
        </w:tc>
      </w:tr>
      <w:tr>
        <w:trPr>
          <w:trHeight w:val="287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Capítulo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Partida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Nombre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México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Vietnam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Taiwán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México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Vietnam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Taiwán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Competencia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Situación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72 – Hierro y acero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7210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FLAT-ROLLED IRON OR NONALLOY STEEL PRODUCT...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○○○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●○○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●○○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Solo 2024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Turbinas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Compresores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Centrifugadoras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Herramientas de mano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Computadoras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89.91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33.77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Partes de oficina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13.55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46.31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Válvulas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3.63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Bombas de líquidos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Entra en 2025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 – Maquinaria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MACHINERY OR EQUIPMENT FOR THE TREATMENT O...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Solo 2026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Motores eléctricos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Transformadores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6.24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Baterías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●○●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Alumbrado vehicular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Teléfonos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13.26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30.86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Almacenamiento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4.14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Transmisores y cámaras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Televisores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9.78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Conmutación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Tableros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Semiconductores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Circuitos integrados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12.94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Otros eléctricos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5.18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Cables eléctricos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17.75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Calentadores eléctricos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Solo 2026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 – Eléctrico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Señalización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●○○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Solo 2024</w:t>
            </w:r>
          </w:p>
        </w:tc>
      </w:tr>
      <w:tr>
        <w:trPr>
          <w:trHeight w:val="2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87 – Vehículos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8708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Autopartes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34.88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28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90 – Óptica/médico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9018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Instrumentos médicos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12.95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○○○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●●●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En competencia en los 3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Puntos en orden: 2024 · 2025 · ene–ago 2026. ● = presente; ○ = ausente. Top 50 por valor por país, depurado de capítulos sin interés para NS. Elaboración propia con base en U.S. Census Bureau, International Trade API.</w:t>
            </w:r>
          </w:p>
        </w:tc>
      </w:tr>
    </w:tbl>
    <w:sectPr>
      <w:pgMar w:header="708" w:bottom="1080" w:top="1080" w:right="1080" w:left="1080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2026-10-22T10:28:04Z</dcterms:modified>
  <cp:category/>
</cp:coreProperties>
</file>