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rId35.png" ContentType="image/png"/>
  <Override PartName="/word/media/rId79.png" ContentType="image/png"/>
  <Override PartName="/word/media/rId83.png" ContentType="image/png"/>
  <Override PartName="/word/media/rId87.png" ContentType="image/png"/>
  <Override PartName="/word/media/rId91.png" ContentType="image/png"/>
  <Override PartName="/word/media/rId97.png" ContentType="image/png"/>
  <Override PartName="/word/media/rId40.png" ContentType="image/png"/>
  <Override PartName="/word/media/rId52.png" ContentType="image/png"/>
  <Override PartName="/word/media/rId61.png" ContentType="image/png"/>
  <Override PartName="/word/media/rId131.png" ContentType="image/png"/>
  <Override PartName="/word/media/rId126.png" ContentType="image/png"/>
  <Override PartName="/word/media/rId122.png" ContentType="image/png"/>
  <Override PartName="/word/media/rId135.png" ContentType="image/png"/>
  <Override PartName="/word/media/rId118.png" ContentType="image/png"/>
  <Override PartName="/word/media/rId114.png" ContentType="image/png"/>
  <Override PartName="/word/media/rId109.png" ContentType="image/png"/>
  <Override PartName="/word/media/rId56.png" ContentType="image/png"/>
  <Override PartName="/word/media/rId44.png" ContentType="image/png"/>
  <Override PartName="/word/media/rId101.png" ContentType="image/png"/>
  <Override PartName="/word/media/rId73.png" ContentType="image/png"/>
  <Override PartName="/word/media/rId192.png" ContentType="image/png"/>
  <Override PartName="/word/media/rId196.png" ContentType="image/png"/>
  <Override PartName="/word/media/rId200.png" ContentType="image/png"/>
  <Override PartName="/word/media/rId204.png" ContentType="image/png"/>
  <Override PartName="/word/media/rId180.png" ContentType="image/png"/>
  <Override PartName="/word/media/rId175.png" ContentType="image/png"/>
  <Override PartName="/word/media/rId167.png" ContentType="image/png"/>
  <Override PartName="/word/media/rId171.png" ContentType="image/png"/>
  <Override PartName="/word/media/rId163.png" ContentType="image/png"/>
  <Override PartName="/word/media/rId156.png" ContentType="image/png"/>
  <Override PartName="/word/media/rId152.png" ContentType="image/png"/>
  <Override PartName="/word/media/rId148.png" ContentType="image/png"/>
  <Override PartName="/word/media/rId144.png" ContentType="image/png"/>
  <Override PartName="/word/media/rId140.png" ContentType="image/png"/>
  <Override PartName="/word/media/rId18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 2018-2024</w:t>
      </w:r>
    </w:p>
    <w:p>
      <w:pPr>
        <w:pStyle w:val="Subtitle"/>
      </w:pPr>
      <w:r>
        <w:t xml:space="preserve">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2026-10-10</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34" w:name="introducción"/>
    <w:p>
      <w:pPr>
        <w:pStyle w:val="Heading2"/>
      </w:pPr>
      <w:r>
        <w:t xml:space="preserve">1 Introducción</w:t>
      </w:r>
    </w:p>
    <w:bookmarkStart w:id="20" w:name="X82bb249dbeb298b86f43b55ea07ca262bec7c11"/>
    <w:p>
      <w:pPr>
        <w:pStyle w:val="Heading3"/>
      </w:pPr>
      <w:r>
        <w:t xml:space="preserve">1.1 Nearshoring en México: lo que muestran los datos.</w:t>
      </w:r>
    </w:p>
    <w:p>
      <w:pPr>
        <w:pStyle w:val="FirstParagraph"/>
      </w:pPr>
      <w:r>
        <w:t xml:space="preserve">En el Capítulo 1 se identificaron trees tendencias que dieron impulso la nearshoring:</w:t>
      </w:r>
    </w:p>
    <w:p>
      <w:pPr>
        <w:pStyle w:val="Compact"/>
        <w:numPr>
          <w:ilvl w:val="0"/>
          <w:numId w:val="1001"/>
        </w:numPr>
      </w:pPr>
      <w:r>
        <w:t xml:space="preserve">El conflicto comercial entre EUA y China</w:t>
      </w:r>
    </w:p>
    <w:p>
      <w:pPr>
        <w:pStyle w:val="Compact"/>
        <w:numPr>
          <w:ilvl w:val="0"/>
          <w:numId w:val="1001"/>
        </w:numPr>
      </w:pPr>
      <w:r>
        <w:t xml:space="preserve">La fragilidad de las CGV que fue puesta en evidencia por la pandemia ceo COVID-19</w:t>
      </w:r>
    </w:p>
    <w:p>
      <w:pPr>
        <w:pStyle w:val="Compact"/>
        <w:numPr>
          <w:ilvl w:val="0"/>
          <w:numId w:val="1001"/>
        </w:numPr>
      </w:pPr>
      <w:r>
        <w:t xml:space="preserve">El retorno de la política industrial en EUA, orientada en parte por criterios de seguridad nacional</w:t>
      </w:r>
    </w:p>
    <w:p>
      <w:pPr>
        <w:pStyle w:val="FirstParagraph"/>
      </w:pPr>
      <w:r>
        <w:t xml:space="preserve">En ese capítulo también se argumentó que la reconfiguración de las CGV empieza por la reconfiguración de los flujos comerciales y no tiene por qué reflejarse, en el corto plazo, en cambios en los flujos de IED. Las decisiones en cuanto a localización de plantas de nuevas plantas de producción son lentas, los procesos son discretos (</w:t>
      </w:r>
      <w:r>
        <w:t xml:space="preserve">“lumpy”</w:t>
      </w:r>
      <w:r>
        <w:t xml:space="preserve">) e involucran sumas considerables, y el plazo entre la decisión y su ejecución también puede demorar varios años. Los flujos comerciales, en cambio, pueden ajustarse rápidamente, mediante mecanismos que incluyen traslado de líneas de producción, cambios en los destinos de los productos e incremento en la intensidad del uso de las plantas ya existentes.</w:t>
      </w:r>
    </w:p>
    <w:p>
      <w:pPr>
        <w:pStyle w:val="BodyText"/>
      </w:pPr>
      <w:r>
        <w:t xml:space="preserve">Se argumentó también que era un error asumir que la reconfiguración de las CGV es sinónimos de IED fresca para la construcción de nuevas plantas de producción. La reinversión de utilidades en la ampliación de plantas, ya sea para incrementar el volumen de producción o para introducir nuevas líneas de producción es un mecanismos de</w:t>
      </w:r>
      <w:r>
        <w:t xml:space="preserve"> </w:t>
      </w:r>
      <w:r>
        <w:t xml:space="preserve">“respuesta rápida”</w:t>
      </w:r>
      <w:r>
        <w:t xml:space="preserve"> </w:t>
      </w:r>
      <w:r>
        <w:t xml:space="preserve">ante cambios en las señales de mercado, y desde el punto de vista del NS la distinción entre inversión</w:t>
      </w:r>
      <w:r>
        <w:t xml:space="preserve"> </w:t>
      </w:r>
      <w:r>
        <w:t xml:space="preserve">“fresca”</w:t>
      </w:r>
      <w:r>
        <w:t xml:space="preserve"> </w:t>
      </w:r>
      <w:r>
        <w:t xml:space="preserve">y reinversión de utilidades es irrelevante.</w:t>
      </w:r>
    </w:p>
    <w:p>
      <w:pPr>
        <w:pStyle w:val="BodyText"/>
      </w:pPr>
      <w:r>
        <w:t xml:space="preserve">Finalmente, se argumentó que el NS no está asociado de manera exclusiva con la IED; la inversión doméstica en plantas que actúan como proveedoras de EMNs exportadoras, que de nuevo puede incluir tanto el incremento en el volumen de produccíon como la diversificación del portafolio y complejidad del portafolio de productos suministrados a las EMNs también es un mecanismo del nearshoring.</w:t>
      </w:r>
    </w:p>
    <w:p>
      <w:pPr>
        <w:pStyle w:val="BodyText"/>
      </w:pPr>
      <w:r>
        <w:t xml:space="preserve">Finalmente, en el Capítulo 1 se dio un primer vistazo a la evidencia de la operacion de estas tendencias y sus consecuencias para la economía exportadora de México.</w:t>
      </w:r>
    </w:p>
    <w:p>
      <w:pPr>
        <w:pStyle w:val="BodyText"/>
      </w:pPr>
      <w:r>
        <w:t xml:space="preserve">En este capítulo se examina en detalle la evidencia sobre el nearshoring, tal y como tuvo lugar entre el inicio del primer gobierno de Trump y el final del gobierno de Biden. A partir del segundo gobierno de Trump las reglas cambiaron, y esta segunda fase del nearshoring se examina detalladamente en el Capítulo 3. El Capítulo 4, como ya se indicó antes, ofrece una perspectiva distinta pero complementaria: presenta una serie de estudios de caso que muestran como empresas multinacionales y domésticas se han adaptado y respondido a los nuevos retos y oportunidades que ofrece el nearshoring.</w:t>
      </w:r>
    </w:p>
    <w:bookmarkEnd w:id="20"/>
    <w:bookmarkStart w:id="31" w:name="la-conversación-sobre-el-nearshoring."/>
    <w:p>
      <w:pPr>
        <w:pStyle w:val="Heading3"/>
      </w:pPr>
      <w:r>
        <w:t xml:space="preserve">1.2 La conversación sobre el nearshoring.</w:t>
      </w:r>
    </w:p>
    <w:p>
      <w:pPr>
        <w:pStyle w:val="FirstParagraph"/>
      </w:pPr>
      <w:r>
        <w:t xml:space="preserve">Nearshoring fue un tema de conversación al que prestaron atención tanto los ejecutivos de las empresas multinacionales como el público general. La</w:t>
      </w:r>
      <w:r>
        <w:t xml:space="preserve"> </w:t>
      </w:r>
      <w:hyperlink w:anchor="fig-nearshoring">
        <w:r>
          <w:rPr>
            <w:rStyle w:val="Hyperlink"/>
          </w:rPr>
          <w:t xml:space="preserve">Figura 1</w:t>
        </w:r>
      </w:hyperlink>
      <w:r>
        <w:t xml:space="preserve"> </w:t>
      </w:r>
      <w:r>
        <w:t xml:space="preserve">muestra cómo evolucionó la frecuencia con la que los gerentes generales de empresas multinaciones mencionaron ya sea</w:t>
      </w:r>
      <w:r>
        <w:t xml:space="preserve"> </w:t>
      </w:r>
      <w:r>
        <w:t xml:space="preserve">“nearshoring”</w:t>
      </w:r>
      <w:r>
        <w:t xml:space="preserve"> </w:t>
      </w:r>
      <w:r>
        <w:t xml:space="preserve">o</w:t>
      </w:r>
      <w:r>
        <w:t xml:space="preserve"> </w:t>
      </w:r>
      <w:r>
        <w:t xml:space="preserve">“reshoring”</w:t>
      </w:r>
      <w:r>
        <w:t xml:space="preserve"> </w:t>
      </w:r>
      <w:r>
        <w:t xml:space="preserve">en sus reportes de ganancias entre el segundo trimestre de 2019 y el último de 2024; es interesante que aunque el cambio en la participación de China en el mercado de importaciones de EUA se inició desde 2018, no es sino partir de 2020 que el tema eleva su perfil, en una tendencia ascendente que se mantiene durante todo el período cubierto por este capítulo.</w:t>
      </w:r>
    </w:p>
    <w:tbl>
      <w:tblPr>
        <w:tblStyle w:val="Table"/>
        <w:tblW w:type="pct" w:w="5000"/>
        <w:tblLayout w:type="fixed"/>
        <w:tblLook w:firstRow="0" w:lastRow="0" w:firstColumn="0" w:lastColumn="0" w:noHBand="0" w:noVBand="0" w:val="0000"/>
      </w:tblPr>
      <w:tblGrid>
        <w:gridCol w:w="7920"/>
      </w:tblGrid>
      <w:tr>
        <w:tc>
          <w:tcPr/>
          <w:bookmarkStart w:id="24"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2" name="Picture"/>
                  <a:graphic>
                    <a:graphicData uri="http://schemas.openxmlformats.org/drawingml/2006/picture">
                      <pic:pic>
                        <pic:nvPicPr>
                          <pic:cNvPr descr="../Images/nearshoring.png" id="23" name="Picture"/>
                          <pic:cNvPicPr>
                            <a:picLocks noChangeArrowheads="1" noChangeAspect="1"/>
                          </pic:cNvPicPr>
                        </pic:nvPicPr>
                        <pic:blipFill>
                          <a:blip r:embed="rId21"/>
                          <a:stretch>
                            <a:fillRect/>
                          </a:stretch>
                        </pic:blipFill>
                        <pic:spPr bwMode="auto">
                          <a:xfrm>
                            <a:off x="0" y="0"/>
                            <a:ext cx="5486400" cy="3116340"/>
                          </a:xfrm>
                          <a:prstGeom prst="rect">
                            <a:avLst/>
                          </a:prstGeom>
                          <a:noFill/>
                          <a:ln w="9525">
                            <a:noFill/>
                            <a:headEnd/>
                            <a:tailEnd/>
                          </a:ln>
                        </pic:spPr>
                      </pic:pic>
                    </a:graphicData>
                  </a:graphic>
                </wp:inline>
              </w:drawing>
            </w:r>
          </w:p>
          <w:bookmarkEnd w:id="24"/>
        </w:tc>
      </w:tr>
    </w:tbl>
    <w:p>
      <w:pPr>
        <w:pStyle w:val="BodyText"/>
      </w:pPr>
      <w:r>
        <w:t xml:space="preserve">Fuente:</w:t>
      </w:r>
      <w:r>
        <w:t xml:space="preserve"> </w:t>
      </w:r>
      <w:hyperlink r:id="rId25">
        <w:r>
          <w:rPr>
            <w:rStyle w:val="Hyperlink"/>
          </w:rPr>
          <w:t xml:space="preserve">https://iot-analytics.com/what-ceos-talked-about-in-q4-2024-tariffs-reshoring-agentic-ai/</w:t>
        </w:r>
      </w:hyperlink>
    </w:p>
    <w:p>
      <w:pPr>
        <w:pStyle w:val="BodyText"/>
      </w:pPr>
      <w:r>
        <w:t xml:space="preserve">Las menciones en la prensa de los términos nearshoring y reshoring ofrecen una perspectiva distinta sobre la evolución de esta conversación. La</w:t>
      </w:r>
      <w:r>
        <w:t xml:space="preserve"> </w:t>
      </w:r>
      <w:hyperlink w:anchor="fig-nearshoringMX">
        <w:r>
          <w:rPr>
            <w:rStyle w:val="Hyperlink"/>
          </w:rPr>
          <w:t xml:space="preserve">Figura 2</w:t>
        </w:r>
      </w:hyperlink>
      <w:r>
        <w:t xml:space="preserve"> </w:t>
      </w:r>
      <w:r>
        <w:t xml:space="preserve">muestra la evolución de estes menciones, tanto en EUA como en México, entre 2018 y 2024.</w:t>
      </w:r>
    </w:p>
    <w:p>
      <w:pPr>
        <w:pStyle w:val="BodyText"/>
      </w:pPr>
      <w:r>
        <w:t xml:space="preserve">Es de notar, en primer lugar, la diferencia en la intensidad de la atención de la prensa a este tema. En el panel superior en los períodos más intensos se reportan 80 referencias mensuales, mientras que en México se reportan más de 1000 menciones mensuales por varios meses.</w:t>
      </w:r>
    </w:p>
    <w:p>
      <w:pPr>
        <w:pStyle w:val="BodyText"/>
      </w:pPr>
      <w:r>
        <w:t xml:space="preserve">En segundo lugar, la atención de la presa a este tema se inicia mucho más tempranamente en EUA, en donde ya en 2018 la prensa le presta atención, alcanza un pico justo antes de la aprobación del T-MEC y, aunque con altibajos, de mantiene de 2022 en adelante, con una tendencia ascendente a final del período.</w:t>
      </w:r>
    </w:p>
    <w:p>
      <w:pPr>
        <w:pStyle w:val="BodyText"/>
      </w:pPr>
      <w:r>
        <w:t xml:space="preserve">En Méixo, en cambio, el tema no llega a ser prominente sino a partir de 2022, y el interés empieza a disminuir desde finales de 2023, quizá porque, como se mostró en el Capítulo 1, expectativas iniciales desproporcionadas dieron lugar a un sentimiento de desengaño, y a la percepción de que el nearshoring era una oportunidad que se había desaprovechado.</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y reshoring en medios en línea, EUA (arriba) y México (abajo), 2018-2024</w:t>
            </w:r>
          </w:p>
          <w:p>
            <w:pPr>
              <w:pStyle w:val="Compact"/>
              <w:jc w:val="center"/>
            </w:pPr>
            <w:r>
              <w:drawing>
                <wp:inline>
                  <wp:extent cx="5486400" cy="5486400"/>
                  <wp:effectExtent b="0" l="0" r="0" t="0"/>
                  <wp:docPr descr="" title="" id="27" name="Picture"/>
                  <a:graphic>
                    <a:graphicData uri="http://schemas.openxmlformats.org/drawingml/2006/picture">
                      <pic:pic>
                        <pic:nvPicPr>
                          <pic:cNvPr descr="C2_Revised_October_2026_v3_files/figure-docx/fig-nearshoringMX-1.png" id="28" name="Picture"/>
                          <pic:cNvPicPr>
                            <a:picLocks noChangeArrowheads="1" noChangeAspect="1"/>
                          </pic:cNvPicPr>
                        </pic:nvPicPr>
                        <pic:blipFill>
                          <a:blip r:embed="rId26"/>
                          <a:stretch>
                            <a:fillRect/>
                          </a:stretch>
                        </pic:blipFill>
                        <pic:spPr bwMode="auto">
                          <a:xfrm>
                            <a:off x="0" y="0"/>
                            <a:ext cx="5486400" cy="54864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p>
      <w:pPr>
        <w:pStyle w:val="BodyText"/>
      </w:pPr>
      <w:r>
        <w:t xml:space="preserve">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sin embargo,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w:t>
      </w:r>
      <w:r>
        <w:t xml:space="preserve">(</w:t>
      </w:r>
      <w:hyperlink w:anchor="ref-durán-fernández2025">
        <w:r>
          <w:rPr>
            <w:rStyle w:val="Hyperlink"/>
          </w:rPr>
          <w:t xml:space="preserve">Durán-Fernández y Stein 2025</w:t>
        </w:r>
      </w:hyperlink>
      <w:r>
        <w:t xml:space="preserve">)</w:t>
      </w:r>
      <w:r>
        <w:t xml:space="preserve">.</w:t>
      </w:r>
    </w:p>
    <w:p>
      <w:pPr>
        <w:pStyle w:val="BodyText"/>
      </w:pPr>
      <w:r>
        <w:t xml:space="preserve">Trabajos más recientes</w:t>
      </w:r>
      <w:r>
        <w:t xml:space="preserve"> </w:t>
      </w:r>
      <w:r>
        <w:rPr>
          <w:rStyle w:val="FootnoteReference"/>
        </w:rPr>
        <w:footnoteReference w:id="30"/>
      </w:r>
      <w:r>
        <w:t xml:space="preserve"> </w:t>
      </w:r>
      <w:r>
        <w:t xml:space="preserve">y la evidencia que se presenta en este capítulo y el siguiente zanjan la cuestión sin ambigüedades: el cambio en la organización geográfica de las CGV y en los flujos comerciales es profundo e innegable. La pregunta, desde el punto de vista de México, si ese cambio está teniendo lugar; la pregunta es cómo sacar el mejor provecho de él, consolidar las ganancias que ya se han cosechado, y crear nuevas oportunidades para el crecimiento y diversificación de las exportaciones mexicanas a EUA, y para la profundización de las redes de proveeduría en México.</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que ya antes se mencionaron,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3" w:name="alcance-del-capítulo"/>
    <w:p>
      <w:pPr>
        <w:pStyle w:val="Heading3"/>
      </w:pPr>
      <w:r>
        <w:t xml:space="preserve">1.3 Alcance del capítulo</w:t>
      </w:r>
    </w:p>
    <w:p>
      <w:pPr>
        <w:pStyle w:val="FirstParagraph"/>
      </w:pPr>
      <w:r>
        <w:t xml:space="preserve">En este capítulo, tal y como se indica en su título, se hace una presentación minuciosa de los</w:t>
      </w:r>
      <w:r>
        <w:t xml:space="preserve"> </w:t>
      </w:r>
      <w:r>
        <w:rPr>
          <w:b/>
          <w:bCs/>
        </w:rPr>
        <w:t xml:space="preserve">datos</w:t>
      </w:r>
      <w:r>
        <w:t xml:space="preserve"> </w:t>
      </w:r>
      <w:r>
        <w:t xml:space="preserve">sobre la primera fase del nearshoring en México, que ya de 2018 a 2024. El enfoque es fundamentalmente descriptivo: se aspira a identificar y caracterizar los hechos y con ello sentar la base fáctica para las discusiones que se abordan en los demás capítulo del libro, pero también se hace una síntesis de los principales econométricos que explorarn los cambios en las relaciones comerciales entre EUA y México durante este período, que se inicia con el primer gobierno del presidente Trump</w:t>
      </w:r>
      <w:r>
        <w:t xml:space="preserve"> </w:t>
      </w:r>
      <w:r>
        <w:rPr>
          <w:b/>
          <w:bCs/>
        </w:rPr>
        <w:t xml:space="preserve">REFERENCIAS</w:t>
      </w:r>
    </w:p>
    <w:p>
      <w:pPr>
        <w:pStyle w:val="BodyText"/>
      </w:pPr>
      <w:r>
        <w:t xml:space="preserve">El capítulo se organiza en cuatro apartados, además de esta introducción.</w:t>
      </w:r>
    </w:p>
    <w:p>
      <w:pPr>
        <w:pStyle w:val="BodyText"/>
      </w:pPr>
      <w:r>
        <w:t xml:space="preserve">En el apartado 2, se discuten los cambios en la distribución por origen de las importaciones de los Estados Unidos. Como se verá, países ganadores y perdedores (es decir, países que aumentan o ver disminuir su participación en ese mercado) cambian entre los años finales de la globalización ascendente, de 2010 a 2018, y esta primera fase del NS. En este período México llega a convertirse en el mayor exportador al mercado de EUA, al tiempo que Vietnam y Taiwán se convierten en</w:t>
      </w:r>
      <w:r>
        <w:t xml:space="preserve"> </w:t>
      </w:r>
      <w:r>
        <w:t xml:space="preserve">“estrellas ascendentes”</w:t>
      </w:r>
      <w:r>
        <w:t xml:space="preserve"> </w:t>
      </w:r>
      <w:r>
        <w:t xml:space="preserve">en ese mercado.</w:t>
      </w:r>
    </w:p>
    <w:p>
      <w:pPr>
        <w:pStyle w:val="BodyText"/>
      </w:pPr>
      <w:r>
        <w:t xml:space="preserve">En la apartado 3 el foco se traslada a los cambios en la composición de las exportaciones mexicanas a EUA. Empezando con un análisis al mayor nivel de agregación, las Secciones del Sistema Armonizado, el apartado concluye con la identificación de las Partidas más importantes y dinámicas del portafolio exportador de México</w:t>
      </w:r>
      <w:r>
        <w:t xml:space="preserve"> </w:t>
      </w:r>
      <w:r>
        <w:rPr>
          <w:rStyle w:val="FootnoteReference"/>
        </w:rPr>
        <w:footnoteReference w:id="32"/>
      </w:r>
      <w:r>
        <w:t xml:space="preserve">.</w:t>
      </w:r>
    </w:p>
    <w:p>
      <w:pPr>
        <w:pStyle w:val="BodyText"/>
      </w:pPr>
      <w:r>
        <w:t xml:space="preserve">En el apartado 4 aborda el impacto regional del NS. A pesar de que por razones de confidencialidad la información de acceso pública es limitada, los datos disponibles permiten establecer patrones claramente diferenciados en la participación de diversos estados y regiones mexicanas; la división entre</w:t>
      </w:r>
      <w:r>
        <w:t xml:space="preserve"> </w:t>
      </w:r>
      <w:r>
        <w:t xml:space="preserve">“dos Méxicos”</w:t>
      </w:r>
      <w:r>
        <w:t xml:space="preserve">, ampliamente discutida en los estudios sobre el desarrollo económico del país, no se está reduciendo [</w:t>
      </w:r>
      <w:r>
        <w:t xml:space="preserve">Aroca, Bosch, y Maloney (</w:t>
      </w:r>
      <w:hyperlink w:anchor="ref-aroca2005b">
        <w:r>
          <w:rPr>
            <w:rStyle w:val="Hyperlink"/>
          </w:rPr>
          <w:t xml:space="preserve">2005</w:t>
        </w:r>
      </w:hyperlink>
      <w:r>
        <w:t xml:space="preserve">)</w:t>
      </w:r>
      <w:r>
        <w:t xml:space="preserve">]</w:t>
      </w:r>
      <w:r>
        <w:t xml:space="preserve">(</w:t>
      </w:r>
      <w:hyperlink w:anchor="ref-chiquiar2005a">
        <w:r>
          <w:rPr>
            <w:rStyle w:val="Hyperlink"/>
          </w:rPr>
          <w:t xml:space="preserve">Chiquiar 2005a</w:t>
        </w:r>
      </w:hyperlink>
      <w:r>
        <w:t xml:space="preserve">)</w:t>
      </w:r>
      <w:r>
        <w:t xml:space="preserve">(</w:t>
      </w:r>
      <w:hyperlink w:anchor="ref-gómez2009b">
        <w:r>
          <w:rPr>
            <w:rStyle w:val="Hyperlink"/>
          </w:rPr>
          <w:t xml:space="preserve">Gómez y Ventosa-Santaularia 2009</w:t>
        </w:r>
      </w:hyperlink>
      <w:r>
        <w:t xml:space="preserve">)</w:t>
      </w:r>
      <w:r>
        <w:t xml:space="preserve">.</w:t>
      </w:r>
    </w:p>
    <w:p>
      <w:pPr>
        <w:pStyle w:val="BodyText"/>
      </w:pPr>
      <w:r>
        <w:t xml:space="preserve">En el apartado 5 se abordan dos temas complementarios: los flujos y distribución sectorial de la IED en México, tomando en cuentan tanto los datos históricos como los anuncios recientes de nueva inversión, así como la evolución de la demanda de suelos de uso industrial, que se ve afectada, claro está, no solo por la llegada de nuevos inversionistas, sino también por la expansión o contracción de las actividades de empresas que ya operan en México ^[Ernesto: en esta versión no están aún actualizados los datos de fDi: le pedí a Sergio que los actualizara o que coordinara con Ana para ver si ella lo podía hacer. Los datos de uso de suelo industrial no los he podido actualizar. Le escribí a CBRE, la fuente, preguntando por acceso, y ni siquiera me han contestado. Insistiré].</w:t>
      </w:r>
    </w:p>
    <w:p>
      <w:pPr>
        <w:pStyle w:val="BodyText"/>
      </w:pPr>
      <w:r>
        <w:t xml:space="preserve">En el apartado 6 se resumen los hallazos del capítulo y se concluye con un primer intento de identificar desafíos clave que México debe superar para obtener mayores beneficios del proceso de reorganización de las cadenas globales de valor en curso.</w:t>
      </w:r>
    </w:p>
    <w:p>
      <w:pPr>
        <w:pStyle w:val="BodyText"/>
      </w:pPr>
      <w:r>
        <w:t xml:space="preserve">Una pequeña serie de anexos ofrece información complementaria que puede ser de interés para algunos lectores.</w:t>
      </w:r>
    </w:p>
    <w:bookmarkEnd w:id="33"/>
    <w:bookmarkEnd w:id="34"/>
    <w:bookmarkStart w:id="49" w:name="X067df60ca32cc8002502336b6e3fe6d57a629a1"/>
    <w:p>
      <w:pPr>
        <w:pStyle w:val="Heading2"/>
      </w:pPr>
      <w:r>
        <w:t xml:space="preserve">2 El ascenso de México en el mercado de EUA.</w:t>
      </w:r>
    </w:p>
    <w:p>
      <w:pPr>
        <w:pStyle w:val="FirstParagraph"/>
      </w:pPr>
      <w:r>
        <w:t xml:space="preserve">La manifestación más obvia de que los CGV centradas en Estados Unidos se están reorganizando, surge del examen de la evolución de sus importaciones según su país de origen. Este examen pone de manifiesto, de manera contundente, el impacto del NS sobre México y cómo este ha logrado aprovechar las oportunidades que se derivan de este fenómeno, pero también muestra que otros países están cerrando la brecha que los separa de México, y que mantener el liderazgo en ese mercado demandará de una política comercial calibrada con precisión, de negociaciones delicadas con los EUA, y de políticas públicas que permiten superar</w:t>
      </w:r>
      <w:r>
        <w:t xml:space="preserve"> </w:t>
      </w:r>
      <w:r>
        <w:t xml:space="preserve">“cuellos de botella”</w:t>
      </w:r>
      <w:r>
        <w:t xml:space="preserve"> </w:t>
      </w:r>
      <w:r>
        <w:t xml:space="preserve">que ha impedido un crecimiento más acelerado de las exportaciones mexicanas.</w:t>
      </w:r>
    </w:p>
    <w:p>
      <w:pPr>
        <w:pStyle w:val="BodyText"/>
      </w:pPr>
      <w:r>
        <w:t xml:space="preserve">Nuestro análisis se inicia con la comparación de las exportaciones de México y China a EUA, mercado en el cual son los dos proveedores más importantes, y luego compara el desempeño de México con el de Vietnam y Taiwán, cuya participación porcentual es mucho menor, pero en rápido ascenso.</w:t>
      </w:r>
    </w:p>
    <w:bookmarkStart w:id="39" w:name="méxico-y-china"/>
    <w:p>
      <w:pPr>
        <w:pStyle w:val="Heading3"/>
      </w:pPr>
      <w:r>
        <w:t xml:space="preserve">2.1 México y China</w:t>
      </w:r>
    </w:p>
    <w:p>
      <w:pPr>
        <w:pStyle w:val="FirstParagraph"/>
      </w:pPr>
      <w:r>
        <w:t xml:space="preserve">En la</w:t>
      </w:r>
      <w:r>
        <w:t xml:space="preserve"> </w:t>
      </w:r>
      <w:hyperlink w:anchor="fig-ImpEUA-CHN-MEX">
        <w:r>
          <w:rPr>
            <w:rStyle w:val="Hyperlink"/>
          </w:rPr>
          <w:t xml:space="preserve">Figura 3</w:t>
        </w:r>
      </w:hyperlink>
      <w:r>
        <w:t xml:space="preserve"> </w:t>
      </w:r>
      <w:r>
        <w:t xml:space="preserve">se muestra la evolución de la participación en el mercado de importaciones de EUA de los sus dos principales proveedores: México y China.</w:t>
      </w:r>
    </w:p>
    <w:p>
      <w:pPr>
        <w:numPr>
          <w:ilvl w:val="0"/>
          <w:numId w:val="1002"/>
        </w:numPr>
      </w:pPr>
      <w:r>
        <w:t xml:space="preserve">Antes del inicio de la guerra comercial entre EUA y China, las exportaciones de México y China hacia ese país venían creciendo a un ritmo muy parecido: 5.1 y 5.0%, respectivamente. Aunque la tasa de crecimiento de las exportaciones mexicanas era ligeramente superior, la brecha entre ambos países se ensanchaba, porque el punto d partida de México era mucho más bajo.</w:t>
      </w:r>
    </w:p>
    <w:p>
      <w:pPr>
        <w:numPr>
          <w:ilvl w:val="0"/>
          <w:numId w:val="1002"/>
        </w:numPr>
      </w:pPr>
      <w:r>
        <w:t xml:space="preserve">Las cosas cambiaron de manera drástica entre 2018 y 2024: aunque las exportaciones chinas alcanzaron su nivel más alto en los primeros meses de 2020, para el perído en su conjunto la tasa compuesta anual de crecimiento (TCAC) es de -3.4%, mientras que la de las exportaciones mexicanas sube a un 6.6%. El conflicto comercial entre EUA y China, y la imposición por parte de EUA de aranceles diferenciados a las importaciones provenientes de China, permitió a México, cuyas exportaciones durante este período se rigen por las reglas del T-MEC, superar a China y convertirse en el primer exportador de bienes a EUA.</w:t>
      </w:r>
    </w:p>
    <w:p>
      <w:pPr>
        <w:pStyle w:val="FirstParagraph"/>
      </w:pPr>
      <w:r>
        <w:t xml:space="preserve">Una primera impresión, entonces, es que México se ha beneficiado tanto de la tendencia a la liberalización del comercio internacional que predominó hasta 2018 y de su participación en el NAFTA (hoy T-MEC) como del conflicto comercial entre EUA y China y de la nueva política arancelaria de EUA a partir de 2025, aunque con diferencias importantes en cada período.</w:t>
      </w:r>
    </w:p>
    <w:tbl>
      <w:tblPr>
        <w:tblStyle w:val="Table"/>
        <w:tblW w:type="pct" w:w="5000"/>
        <w:tblLayout w:type="fixed"/>
        <w:tblLook w:firstRow="0" w:lastRow="0" w:firstColumn="0" w:lastColumn="0" w:noHBand="0" w:noVBand="0" w:val="0000"/>
      </w:tblPr>
      <w:tblGrid>
        <w:gridCol w:w="7920"/>
      </w:tblGrid>
      <w:tr>
        <w:tc>
          <w:tcPr/>
          <w:bookmarkStart w:id="38" w:name="fig-ImpEUA-CHN-MEX"/>
          <w:p>
            <w:pPr>
              <w:jc w:val="center"/>
            </w:pPr>
            <w:pPr>
              <w:jc w:val="left"/>
              <w:spacing w:before="200"/>
              <w:pStyle w:val="ImageCaption"/>
            </w:pPr>
            <w:r>
              <w:t xml:space="preserve">Figura 3: EUA: importaciones mensuales desde China y México, 2010-2024</w:t>
            </w:r>
            <w:r>
              <w:t xml:space="preserve"> </w:t>
            </w:r>
            <w:r>
              <w:t xml:space="preserve">Miles de millones de dólares</w:t>
            </w:r>
          </w:p>
          <w:p>
            <w:pPr>
              <w:pStyle w:val="Compact"/>
              <w:jc w:val="center"/>
            </w:pPr>
            <w:r>
              <w:drawing>
                <wp:inline>
                  <wp:extent cx="5486400" cy="2992581"/>
                  <wp:effectExtent b="0" l="0" r="0" t="0"/>
                  <wp:docPr descr="" title="" id="36" name="Picture"/>
                  <a:graphic>
                    <a:graphicData uri="http://schemas.openxmlformats.org/drawingml/2006/picture">
                      <pic:pic>
                        <pic:nvPicPr>
                          <pic:cNvPr descr="../Plots/fig-ImpEUA-CHN-MEX_2024.png" id="37" name="Picture"/>
                          <pic:cNvPicPr>
                            <a:picLocks noChangeArrowheads="1" noChangeAspect="1"/>
                          </pic:cNvPicPr>
                        </pic:nvPicPr>
                        <pic:blipFill>
                          <a:blip r:embed="rId35"/>
                          <a:stretch>
                            <a:fillRect/>
                          </a:stretch>
                        </pic:blipFill>
                        <pic:spPr bwMode="auto">
                          <a:xfrm>
                            <a:off x="0" y="0"/>
                            <a:ext cx="5486400" cy="2992581"/>
                          </a:xfrm>
                          <a:prstGeom prst="rect">
                            <a:avLst/>
                          </a:prstGeom>
                          <a:noFill/>
                          <a:ln w="9525">
                            <a:noFill/>
                            <a:headEnd/>
                            <a:tailEnd/>
                          </a:ln>
                        </pic:spPr>
                      </pic:pic>
                    </a:graphicData>
                  </a:graphic>
                </wp:inline>
              </w:drawing>
            </w:r>
          </w:p>
          <w:bookmarkEnd w:id="38"/>
        </w:tc>
      </w:tr>
    </w:tbl>
    <w:p>
      <w:pPr>
        <w:pStyle w:val="BodyText"/>
      </w:pPr>
      <w:r>
        <w:t xml:space="preserve">Es necesario hacer tres acotaciones para no dar un peso injustificadamente elevado a estos primeros datos:</w:t>
      </w:r>
    </w:p>
    <w:p>
      <w:pPr>
        <w:numPr>
          <w:ilvl w:val="0"/>
          <w:numId w:val="1003"/>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3"/>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3"/>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39"/>
    <w:bookmarkStart w:id="48" w:name="X047798a1af3781520e6d48b572fceb602f3d792"/>
    <w:p>
      <w:pPr>
        <w:pStyle w:val="Heading3"/>
      </w:pPr>
      <w:r>
        <w:t xml:space="preserve">2.2 Los 20 participantes de más peso en el mercado de EUA</w:t>
      </w:r>
    </w:p>
    <w:p>
      <w:pPr>
        <w:pStyle w:val="FirstParagraph"/>
      </w:pPr>
      <w:r>
        <w:t xml:space="preserve">Tal y como se explicó en el capítulo 1, durante esta primera fase del nearshoring, México tuvo una ventaja considerable con respecto a China en las condiciones de acceso al mercado de EUA, pero otros países también se vieron en una posición de ventaja competitiva con respecto a China, y con una desventaja apenas moderada con respecto a México; si bien las exportaciones mexicanas al amparo del NAFTA y luego el T-MEC ingresaban a ese mercado sin pagar aranceles, otros países, al amparo de la norma de Nación más Favorecida (NMF) pagaban un arancel modesto, de alrededor del 2.5%. Las exportaciones mexicanas fuera de NAFTA / T-MEC pagaban ese mismo arancel.</w:t>
      </w:r>
    </w:p>
    <w:p>
      <w:pPr>
        <w:pStyle w:val="BodyText"/>
      </w:pPr>
      <w:r>
        <w:t xml:space="preserve">China y México son los dos exportadores más importantes a los EUA, pero no los únicos. Más importante: salvo que hubiese un cambio radical en el estado de las relaciones comerciales entre EUA y China, los principales retos competitivos para México en el mercado de EUA no vendrán de China, sino de otros países cuyas exportaciones están creciendo rápidamente, y en algunos casos justamente en los productos más importantes dentro de las exportaciones mexicanas.</w:t>
      </w:r>
    </w:p>
    <w:p>
      <w:pPr>
        <w:pStyle w:val="BodyText"/>
      </w:pPr>
      <w:r>
        <w:t xml:space="preserve">Es necesario, pues, ampliar la mirada. Con este propósito, se identificaron los 20 orígenes más importantes de las importaciones de Estados Unidos[^4] y los cambios en la participación de cada uno de ellos en los años finales de la globalización y durante la primera fase del nearshoring. Estos cambios se muestran en la</w:t>
      </w:r>
      <w:r>
        <w:t xml:space="preserve"> </w:t>
      </w:r>
      <w:hyperlink w:anchor="fig-imp-cambio-pais">
        <w:r>
          <w:rPr>
            <w:rStyle w:val="Hyperlink"/>
          </w:rPr>
          <w:t xml:space="preserve">Figura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imp-cambio-pais"/>
          <w:p>
            <w:pPr>
              <w:jc w:val="center"/>
            </w:pPr>
            <w:pPr>
              <w:jc w:val="left"/>
              <w:spacing w:before="200"/>
              <w:pStyle w:val="ImageCaption"/>
            </w:pPr>
            <w:r>
              <w:t xml:space="preserve">Figura 4: Cambios en la participación porcentual de los principales exportadores al mercado de EUA, 2010-2018 y 2018-2024</w:t>
            </w:r>
          </w:p>
          <w:p>
            <w:pPr>
              <w:pStyle w:val="Compact"/>
              <w:jc w:val="center"/>
            </w:pPr>
            <w:r>
              <w:drawing>
                <wp:inline>
                  <wp:extent cx="5486400" cy="5143499"/>
                  <wp:effectExtent b="0" l="0" r="0" t="0"/>
                  <wp:docPr descr="" title="" id="41" name="Picture"/>
                  <a:graphic>
                    <a:graphicData uri="http://schemas.openxmlformats.org/drawingml/2006/picture">
                      <pic:pic>
                        <pic:nvPicPr>
                          <pic:cNvPr descr="../Plots/fig-imp-cambio-pais_2024.png" id="42" name="Picture"/>
                          <pic:cNvPicPr>
                            <a:picLocks noChangeArrowheads="1" noChangeAspect="1"/>
                          </pic:cNvPicPr>
                        </pic:nvPicPr>
                        <pic:blipFill>
                          <a:blip r:embed="rId40"/>
                          <a:stretch>
                            <a:fillRect/>
                          </a:stretch>
                        </pic:blipFill>
                        <pic:spPr bwMode="auto">
                          <a:xfrm>
                            <a:off x="0" y="0"/>
                            <a:ext cx="5486400" cy="5143499"/>
                          </a:xfrm>
                          <a:prstGeom prst="rect">
                            <a:avLst/>
                          </a:prstGeom>
                          <a:noFill/>
                          <a:ln w="9525">
                            <a:noFill/>
                            <a:headEnd/>
                            <a:tailEnd/>
                          </a:ln>
                        </pic:spPr>
                      </pic:pic>
                    </a:graphicData>
                  </a:graphic>
                </wp:inline>
              </w:drawing>
            </w:r>
          </w:p>
          <w:bookmarkEnd w:id="43"/>
        </w:tc>
      </w:tr>
    </w:tbl>
    <w:p>
      <w:pPr>
        <w:numPr>
          <w:ilvl w:val="0"/>
          <w:numId w:val="1004"/>
        </w:numPr>
      </w:pPr>
      <w:r>
        <w:t xml:space="preserve">En los años finales de la globalización, China,México y Vietnam son los principales ganadores y el</w:t>
      </w:r>
      <w:r>
        <w:t xml:space="preserve"> </w:t>
      </w:r>
      <w:r>
        <w:t xml:space="preserve">“resto del mundo”</w:t>
      </w:r>
      <w:r>
        <w:t xml:space="preserve"> </w:t>
      </w:r>
      <w:r>
        <w:t xml:space="preserve">es el gran perdedor. Canadá, a pesar de su acceso preferencial, pierde 2 puntos porcentuales, seguida por Japón y Gran Bretaña.</w:t>
      </w:r>
    </w:p>
    <w:p>
      <w:pPr>
        <w:numPr>
          <w:ilvl w:val="0"/>
          <w:numId w:val="1004"/>
        </w:numPr>
      </w:pPr>
      <w:r>
        <w:t xml:space="preserve">En el período siguiente, China es por mucho el gran perdedor: 7.7 puntos porcentuales. Los ganadores son, de mayor a menor, Vietnam, México y Taiwán. Vitenam ya había aparecido entre los principales ganadores en el período anterior; no así Taiwán, cuya participación se mantuvo prácticamente estable (una pérdida insignificante) entre 2010 y 2018.</w:t>
      </w:r>
    </w:p>
    <w:p>
      <w:pPr>
        <w:pStyle w:val="FirstParagraph"/>
      </w:pPr>
      <w:r>
        <w:t xml:space="preserve">Vale la pena comparar directamente el desempeño de las exportaciones de México, Vietnam y Taiwán, no sólo por el dinamismo que exhiben las exportaciones de estos dos últimos paíes a partir de 2028 sino además por el papel que ocuparán a partir de 2025, que se examina en el capítulo 3.</w:t>
      </w:r>
    </w:p>
    <w:p>
      <w:pPr>
        <w:pStyle w:val="BodyText"/>
      </w:pPr>
      <w:r>
        <w:t xml:space="preserve">La</w:t>
      </w:r>
      <w:r>
        <w:t xml:space="preserve"> </w:t>
      </w:r>
      <w:hyperlink w:anchor="fig-ImpEUA-shares">
        <w:r>
          <w:rPr>
            <w:rStyle w:val="Hyperlink"/>
          </w:rPr>
          <w:t xml:space="preserve">Figura 5</w:t>
        </w:r>
      </w:hyperlink>
      <w:r>
        <w:t xml:space="preserve"> </w:t>
      </w:r>
      <w:r>
        <w:t xml:space="preserve">muestra el comportamiento de las exportaciones de estos tres países entre 2010 y 2024. Es evidente que tanto para Taiwán como para Vietnam se produce un cambio importante a partir de 2018: las participación de Taiwán, estable entre 2010 y 2018 empieza a crecer a partir de ese último año, mientras que las de Vietnam aceleran su crecimiento a partir de ese mismo año. Nótese en particular que entre 2023 y 2024 la participación de México práctamente no cambia, mientras que las de Taiwán y Vietnam crecen.</w:t>
      </w:r>
    </w:p>
    <w:p>
      <w:pPr>
        <w:pStyle w:val="BodyText"/>
      </w:pPr>
      <w:r>
        <w:t xml:space="preserve">Estos datos bastan para sugerir que estos dos países podrían ser los principales competidores de México en el mercado de los EUA, pero la intensidad de esa rivalidad dependerá de si están compitiendo en los mismos mercados (es decir, si están exportando los mismos productos) en los que compite México o no. Este tema se aborda en el Capítulo 3. Allí también se examina la cuestión de el impacto diferenciado de las nuevos aranceles de EUA, por país y producto, que en muchos casos han resultado favorables para México, pero en otros lo han puesto en una situación de desventaja competitiva.</w:t>
      </w:r>
    </w:p>
    <w:p>
      <w:pPr>
        <w:pStyle w:val="BodyText"/>
      </w:pPr>
      <w:r>
        <w:t xml:space="preserve">El relativo estancamiento de las exportaciones mexicanas a EUA también puede ser explicado, en parte, por restricciones internas que le impiden sacar pleno provecho de sus oportunidades comerciales. Dos de estas posibles restricciones, acceso a energía y acceso a agua se examinan en los capítulos 6 y 7, respectivamente.</w:t>
      </w:r>
    </w:p>
    <w:tbl>
      <w:tblPr>
        <w:tblStyle w:val="Table"/>
        <w:tblW w:type="pct" w:w="5000"/>
        <w:tblLayout w:type="fixed"/>
        <w:tblLook w:firstRow="0" w:lastRow="0" w:firstColumn="0" w:lastColumn="0" w:noHBand="0" w:noVBand="0" w:val="0000"/>
      </w:tblPr>
      <w:tblGrid>
        <w:gridCol w:w="7920"/>
      </w:tblGrid>
      <w:tr>
        <w:tc>
          <w:tcPr/>
          <w:bookmarkStart w:id="47"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2010-2024</w:t>
            </w:r>
          </w:p>
          <w:p>
            <w:pPr>
              <w:pStyle w:val="Compact"/>
              <w:jc w:val="center"/>
            </w:pPr>
            <w:r>
              <w:drawing>
                <wp:inline>
                  <wp:extent cx="5486400" cy="2992581"/>
                  <wp:effectExtent b="0" l="0" r="0" t="0"/>
                  <wp:docPr descr="" title="" id="45" name="Picture"/>
                  <a:graphic>
                    <a:graphicData uri="http://schemas.openxmlformats.org/drawingml/2006/picture">
                      <pic:pic>
                        <pic:nvPicPr>
                          <pic:cNvPr descr="../Plots/imp_pais_perc_2024.png" id="46" name="Picture"/>
                          <pic:cNvPicPr>
                            <a:picLocks noChangeArrowheads="1" noChangeAspect="1"/>
                          </pic:cNvPicPr>
                        </pic:nvPicPr>
                        <pic:blipFill>
                          <a:blip r:embed="rId44"/>
                          <a:stretch>
                            <a:fillRect/>
                          </a:stretch>
                        </pic:blipFill>
                        <pic:spPr bwMode="auto">
                          <a:xfrm>
                            <a:off x="0" y="0"/>
                            <a:ext cx="5486400" cy="2992581"/>
                          </a:xfrm>
                          <a:prstGeom prst="rect">
                            <a:avLst/>
                          </a:prstGeom>
                          <a:noFill/>
                          <a:ln w="9525">
                            <a:noFill/>
                            <a:headEnd/>
                            <a:tailEnd/>
                          </a:ln>
                        </pic:spPr>
                      </pic:pic>
                    </a:graphicData>
                  </a:graphic>
                </wp:inline>
              </w:drawing>
            </w:r>
          </w:p>
          <w:bookmarkEnd w:id="47"/>
        </w:tc>
      </w:tr>
    </w:tbl>
    <w:bookmarkEnd w:id="48"/>
    <w:bookmarkEnd w:id="49"/>
    <w:bookmarkStart w:id="72" w:name="X11fd1e698064750b7a2e21836c5a4f9897b1ccf"/>
    <w:p>
      <w:pPr>
        <w:pStyle w:val="Heading2"/>
      </w:pPr>
      <w:r>
        <w:t xml:space="preserve">3 Cambios en la composición de las exportaciones mexicanas a EUA</w:t>
      </w:r>
    </w:p>
    <w:bookmarkStart w:id="60" w:name="por-sección-del-sa"/>
    <w:p>
      <w:pPr>
        <w:pStyle w:val="Heading3"/>
      </w:pPr>
      <w:r>
        <w:t xml:space="preserve">3.1 Por Sección del SA</w:t>
      </w:r>
    </w:p>
    <w:p>
      <w:pPr>
        <w:pStyle w:val="FirstParagraph"/>
      </w:pPr>
      <w:r>
        <w:t xml:space="preserve">El crecimiento de las exportaciones mexicanas a EUA quedó documentado en el apartado sección anterior. Este crecimiento ha sido acompañado por un cambio sustancial de la composición de esas exportaciones, con diferentes sectores</w:t>
      </w:r>
      <w:r>
        <w:t xml:space="preserve"> </w:t>
      </w:r>
      <w:r>
        <w:t xml:space="preserve">“ganadores”</w:t>
      </w:r>
      <w:r>
        <w:t xml:space="preserve"> </w:t>
      </w:r>
      <w:r>
        <w:t xml:space="preserve">o</w:t>
      </w:r>
      <w:r>
        <w:t xml:space="preserve"> </w:t>
      </w:r>
      <w:r>
        <w:t xml:space="preserve">“perdedores”</w:t>
      </w:r>
      <w:r>
        <w:t xml:space="preserve"> </w:t>
      </w:r>
      <w:r>
        <w:t xml:space="preserve">(en el sentido de sectores cuya participación porcentual dentro del total de exportaciones mexicanas período aumentó o disminuyó) en cada período</w:t>
      </w:r>
      <w:r>
        <w:t xml:space="preserve"> </w:t>
      </w:r>
      <w:r>
        <w:rPr>
          <w:rStyle w:val="FootnoteReference"/>
        </w:rPr>
        <w:footnoteReference w:id="50"/>
      </w:r>
      <w:r>
        <w:t xml:space="preserve">.</w:t>
      </w:r>
    </w:p>
    <w:p>
      <w:pPr>
        <w:pStyle w:val="BodyText"/>
      </w:pPr>
      <w:r>
        <w:t xml:space="preserve">La</w:t>
      </w:r>
      <w:r>
        <w:t xml:space="preserve"> </w:t>
      </w:r>
      <w:hyperlink w:anchor="fig-imp-cambio-sec-mex">
        <w:r>
          <w:rPr>
            <w:rStyle w:val="Hyperlink"/>
          </w:rPr>
          <w:t xml:space="preserve">Figura 6</w:t>
        </w:r>
      </w:hyperlink>
      <w:r>
        <w:t xml:space="preserve"> </w:t>
      </w:r>
      <w:r>
        <w:t xml:space="preserve">permite visualizar claramente estos cambios.</w:t>
      </w:r>
    </w:p>
    <w:p>
      <w:pPr>
        <w:numPr>
          <w:ilvl w:val="0"/>
          <w:numId w:val="1005"/>
        </w:numPr>
      </w:pPr>
      <w:r>
        <w:t xml:space="preserve">Entre 2010 y 2018, Las exportaciones de la Sección XVII, Material de transporte, ganan casi 10 puntos porcentuales de participación, mientras que las de la Sección V, Productos Minerales, se contraer casi exactamente en la misma proporción.</w:t>
      </w:r>
    </w:p>
    <w:p>
      <w:pPr>
        <w:numPr>
          <w:ilvl w:val="0"/>
          <w:numId w:val="1005"/>
        </w:numPr>
      </w:pPr>
      <w:r>
        <w:t xml:space="preserve">La dinámica cambia en el período siguiente: el crecimiento en participación porcentual es liderado por la Sección XVII, Máquinas y aparatos eléctricos y por la IV, Alimentos. La Sección V, Productos minerales, continúa disminuyendo su participación.</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51"/>
      </w:r>
      <w:r>
        <w:t xml:space="preserve">. A priori, no hubiera parecido probable que el giro proteccionista en la politica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55" w:name="fig-imp-cambio-sec-mex"/>
          <w:p>
            <w:pPr>
              <w:jc w:val="center"/>
            </w:pPr>
            <w:pPr>
              <w:jc w:val="left"/>
              <w:spacing w:before="200"/>
              <w:pStyle w:val="ImageCaption"/>
            </w:pPr>
            <w:r>
              <w:t xml:space="preserve">Figura 6: Cambios en la participación porcentual por Secciones de las exportaciones mexicanas a EUA, 2010-2018 y 2018-2024</w:t>
            </w:r>
          </w:p>
          <w:p>
            <w:pPr>
              <w:pStyle w:val="Compact"/>
              <w:jc w:val="center"/>
            </w:pPr>
            <w:r>
              <w:drawing>
                <wp:inline>
                  <wp:extent cx="5486400" cy="5143499"/>
                  <wp:effectExtent b="0" l="0" r="0" t="0"/>
                  <wp:docPr descr="" title="" id="53" name="Picture"/>
                  <a:graphic>
                    <a:graphicData uri="http://schemas.openxmlformats.org/drawingml/2006/picture">
                      <pic:pic>
                        <pic:nvPicPr>
                          <pic:cNvPr descr="../Plots/fig-imp-cambio-sec-mex_2024.png" id="54" name="Picture"/>
                          <pic:cNvPicPr>
                            <a:picLocks noChangeArrowheads="1" noChangeAspect="1"/>
                          </pic:cNvPicPr>
                        </pic:nvPicPr>
                        <pic:blipFill>
                          <a:blip r:embed="rId52"/>
                          <a:stretch>
                            <a:fillRect/>
                          </a:stretch>
                        </pic:blipFill>
                        <pic:spPr bwMode="auto">
                          <a:xfrm>
                            <a:off x="0" y="0"/>
                            <a:ext cx="5486400" cy="5143499"/>
                          </a:xfrm>
                          <a:prstGeom prst="rect">
                            <a:avLst/>
                          </a:prstGeom>
                          <a:noFill/>
                          <a:ln w="9525">
                            <a:noFill/>
                            <a:headEnd/>
                            <a:tailEnd/>
                          </a:ln>
                        </pic:spPr>
                      </pic:pic>
                    </a:graphicData>
                  </a:graphic>
                </wp:inline>
              </w:drawing>
            </w:r>
          </w:p>
          <w:bookmarkEnd w:id="55"/>
        </w:tc>
      </w:tr>
    </w:tbl>
    <w:p>
      <w:pPr>
        <w:pStyle w:val="BodyText"/>
      </w:pPr>
      <w:r>
        <w:t xml:space="preserve">El resultado de este proceso es un portafolio exportador concentrado en las secciones XVI y XVII del Sistema Armonizado, que representan el 69% del total de exportaciones mexicanas en 2025, sequidas por la sección VIII, que representa un 5% adicional, para un total de 74%. Las demás secciones tienen una participación pequeña y en general su evolución no está relacionada con el NS. La</w:t>
      </w:r>
      <w:r>
        <w:t xml:space="preserve"> </w:t>
      </w:r>
      <w:hyperlink w:anchor="fig-tree-sec">
        <w:r>
          <w:rPr>
            <w:rStyle w:val="Hyperlink"/>
          </w:rPr>
          <w:t xml:space="preserve">Figura 7</w:t>
        </w:r>
      </w:hyperlink>
      <w:r>
        <w:t xml:space="preserve"> </w:t>
      </w:r>
      <w:r>
        <w:t xml:space="preserve">permite visualizar esta distribución.</w:t>
      </w:r>
    </w:p>
    <w:tbl>
      <w:tblPr>
        <w:tblStyle w:val="Table"/>
        <w:tblW w:type="pct" w:w="5000"/>
        <w:tblLayout w:type="fixed"/>
        <w:tblLook w:firstRow="0" w:lastRow="0" w:firstColumn="0" w:lastColumn="0" w:noHBand="0" w:noVBand="0" w:val="0000"/>
      </w:tblPr>
      <w:tblGrid>
        <w:gridCol w:w="7920"/>
      </w:tblGrid>
      <w:tr>
        <w:tc>
          <w:tcPr/>
          <w:bookmarkStart w:id="59" w:name="fig-tree-sec"/>
          <w:p>
            <w:pPr>
              <w:jc w:val="center"/>
            </w:pPr>
            <w:pPr>
              <w:jc w:val="left"/>
              <w:spacing w:before="200"/>
              <w:pStyle w:val="ImageCaption"/>
            </w:pPr>
            <w:r>
              <w:t xml:space="preserve">Figura 7: Distribución porcentual de las exportaciones de México a EUA, 2024</w:t>
            </w:r>
          </w:p>
          <w:p>
            <w:pPr>
              <w:pStyle w:val="Compact"/>
              <w:jc w:val="center"/>
            </w:pPr>
            <w:r>
              <w:drawing>
                <wp:inline>
                  <wp:extent cx="5486400" cy="2992581"/>
                  <wp:effectExtent b="0" l="0" r="0" t="0"/>
                  <wp:docPr descr="" title="" id="57" name="Picture"/>
                  <a:graphic>
                    <a:graphicData uri="http://schemas.openxmlformats.org/drawingml/2006/picture">
                      <pic:pic>
                        <pic:nvPicPr>
                          <pic:cNvPr descr="../Plots/impMex_sec_perc_2024.png" id="58" name="Picture"/>
                          <pic:cNvPicPr>
                            <a:picLocks noChangeArrowheads="1" noChangeAspect="1"/>
                          </pic:cNvPicPr>
                        </pic:nvPicPr>
                        <pic:blipFill>
                          <a:blip r:embed="rId56"/>
                          <a:stretch>
                            <a:fillRect/>
                          </a:stretch>
                        </pic:blipFill>
                        <pic:spPr bwMode="auto">
                          <a:xfrm>
                            <a:off x="0" y="0"/>
                            <a:ext cx="5486400" cy="2992581"/>
                          </a:xfrm>
                          <a:prstGeom prst="rect">
                            <a:avLst/>
                          </a:prstGeom>
                          <a:noFill/>
                          <a:ln w="9525">
                            <a:noFill/>
                            <a:headEnd/>
                            <a:tailEnd/>
                          </a:ln>
                        </pic:spPr>
                      </pic:pic>
                    </a:graphicData>
                  </a:graphic>
                </wp:inline>
              </w:drawing>
            </w:r>
          </w:p>
          <w:bookmarkEnd w:id="59"/>
        </w:tc>
      </w:tr>
    </w:tbl>
    <w:bookmarkEnd w:id="60"/>
    <w:bookmarkStart w:id="70" w:name="por-capítulo-y-partida-del-sa"/>
    <w:p>
      <w:pPr>
        <w:pStyle w:val="Heading3"/>
      </w:pPr>
      <w:r>
        <w:t xml:space="preserve">3.2 Por Capítulo y Partida del SA</w:t>
      </w:r>
    </w:p>
    <w:p>
      <w:pPr>
        <w:pStyle w:val="FirstParagraph"/>
      </w:pPr>
      <w:r>
        <w:t xml:space="preserve">El siguiente nivel de desagregación en el SA, tras las Secciones, son los Capítulos. Sin embargo, como lo muestra la</w:t>
      </w:r>
      <w:r>
        <w:t xml:space="preserve"> </w:t>
      </w:r>
      <w:hyperlink w:anchor="fig-treemap-caps-seccion">
        <w:r>
          <w:rPr>
            <w:rStyle w:val="Hyperlink"/>
          </w:rPr>
          <w:t xml:space="preserve">Figura 8</w:t>
        </w:r>
      </w:hyperlink>
      <w:r>
        <w:t xml:space="preserve">, las exportaciones de las tres Secciones en las que se concentran las exportaciones mexicanas a EUA se distribuyen en tan solo cuatro Capítulos, de manera que más informativo que detenernos en el examen de la distribución de las exportaciones por Capítulo, dentro de cada Sección, procederemos directamente al análisis de la evolución de las exportaciones por Partida, dentro de cada uno de esos cuatro capítulos.</w:t>
      </w:r>
    </w:p>
    <w:tbl>
      <w:tblPr>
        <w:tblStyle w:val="Table"/>
        <w:tblW w:type="pct" w:w="5000"/>
        <w:tblLayout w:type="fixed"/>
        <w:tblLook w:firstRow="0" w:lastRow="0" w:firstColumn="0" w:lastColumn="0" w:noHBand="0" w:noVBand="0" w:val="0000"/>
      </w:tblPr>
      <w:tblGrid>
        <w:gridCol w:w="7920"/>
      </w:tblGrid>
      <w:tr>
        <w:tc>
          <w:tcPr/>
          <w:bookmarkStart w:id="64" w:name="fig-treemap-caps-seccion"/>
          <w:p>
            <w:pPr>
              <w:jc w:val="center"/>
            </w:pPr>
            <w:pPr>
              <w:jc w:val="left"/>
              <w:spacing w:before="200"/>
              <w:pStyle w:val="ImageCaption"/>
            </w:pPr>
            <w:r>
              <w:t xml:space="preserve">Figura 8: México: distribución por capítulo de las exportaciones de Maquinaria, Transporte e Instrumentos, 2024</w:t>
            </w:r>
          </w:p>
          <w:p>
            <w:pPr>
              <w:pStyle w:val="Compact"/>
              <w:jc w:val="center"/>
            </w:pPr>
            <w:r>
              <w:drawing>
                <wp:inline>
                  <wp:extent cx="5486400" cy="2992581"/>
                  <wp:effectExtent b="0" l="0" r="0" t="0"/>
                  <wp:docPr descr="" title="" id="62" name="Picture"/>
                  <a:graphic>
                    <a:graphicData uri="http://schemas.openxmlformats.org/drawingml/2006/picture">
                      <pic:pic>
                        <pic:nvPicPr>
                          <pic:cNvPr descr="../Plots/fig-treemap-caps-seccion_2024.png" id="63" name="Picture"/>
                          <pic:cNvPicPr>
                            <a:picLocks noChangeArrowheads="1" noChangeAspect="1"/>
                          </pic:cNvPicPr>
                        </pic:nvPicPr>
                        <pic:blipFill>
                          <a:blip r:embed="rId61"/>
                          <a:stretch>
                            <a:fillRect/>
                          </a:stretch>
                        </pic:blipFill>
                        <pic:spPr bwMode="auto">
                          <a:xfrm>
                            <a:off x="0" y="0"/>
                            <a:ext cx="5486400" cy="2992581"/>
                          </a:xfrm>
                          <a:prstGeom prst="rect">
                            <a:avLst/>
                          </a:prstGeom>
                          <a:noFill/>
                          <a:ln w="9525">
                            <a:noFill/>
                            <a:headEnd/>
                            <a:tailEnd/>
                          </a:ln>
                        </pic:spPr>
                      </pic:pic>
                    </a:graphicData>
                  </a:graphic>
                </wp:inline>
              </w:drawing>
            </w:r>
          </w:p>
          <w:bookmarkEnd w:id="64"/>
        </w:tc>
      </w:tr>
    </w:tbl>
    <w:p>
      <w:pPr>
        <w:pStyle w:val="BodyText"/>
      </w:pPr>
      <w:r>
        <w:t xml:space="preserve">Con ese propósito, se procedió de la siguiente manera: se identificaron las 50 partidas de exportación de México más importantes de México en 2024. 2025 y 2026 (enero-agosto) y se determinó que existía poca variación entre ellas, por lo que se mantuvieron en un primer paso todas ellas. Luego, se ordenaron las partidas de mayor a menor en 2024</w:t>
      </w:r>
      <w:r>
        <w:t xml:space="preserve"> </w:t>
      </w:r>
      <w:r>
        <w:rPr>
          <w:rStyle w:val="FootnoteReference"/>
        </w:rPr>
        <w:footnoteReference w:id="65"/>
      </w:r>
      <w:r>
        <w:t xml:space="preserve"> </w:t>
      </w:r>
      <w:r>
        <w:t xml:space="preserve">y se seleccionaron las que representaban al menos el 89% de las exportaciones de cada capítulo para análisis individual. Las demás partidas se agrupaon en una categoríua resdual,</w:t>
      </w:r>
      <w:r>
        <w:t xml:space="preserve"> </w:t>
      </w:r>
      <w:r>
        <w:t xml:space="preserve">“Otros”</w:t>
      </w:r>
      <w:r>
        <w:t xml:space="preserve">.</w:t>
      </w:r>
    </w:p>
    <w:p>
      <w:pPr>
        <w:pStyle w:val="BodyText"/>
      </w:pPr>
      <w:r>
        <w:t xml:space="preserve">Se identificaron además las 50 partidas que mostraron el mayor crecimiento entre 2010 y 2025. En todos los casos, el punto de partida era muy bajo, y el volumen aún en 2025 aún muy pequeño, por lo que ninguna de ellas se incluyó en el análisis.</w:t>
      </w:r>
    </w:p>
    <w:p>
      <w:pPr>
        <w:pStyle w:val="BodyText"/>
      </w:pPr>
      <w:r>
        <w:t xml:space="preserve">Los resultados de este proceso de selección se resumen en las tablas siguientes, una por capítulo. Las Partidas identificadas de manera individual representan el 83.0% de las exportaciones del capitulo 84, el 80.1% de las exportaciones del Capítulo 85, el 989.9% de las del Capítulo 87, y el 88.2% de las exportaciones del Capítulo 90.</w:t>
      </w:r>
    </w:p>
    <w:p>
      <w:pPr>
        <w:pStyle w:val="BodyText"/>
      </w:pPr>
      <w:r>
        <w:t xml:space="preserve">Sumadas, equivalen al 59.3% de las exportaciones mexicanas a EUA en 2024. En el Anexo 7.1 se presenta esta misma información gráficamente, pero en términos de índices en vez de valores absolutos, y se identifican los puntos de quiebre de tendencia para cada Partida.</w:t>
      </w:r>
    </w:p>
    <w:p>
      <w:pPr>
        <w:pStyle w:val="BodyText"/>
      </w:pPr>
      <w:r>
        <w:t xml:space="preserve">En las tablas se destacan en amarillo las 16 partidas que crecieron más rápidamente en 2018-2024 que en 2010-20184:</w:t>
      </w:r>
    </w:p>
    <w:p>
      <w:pPr>
        <w:pStyle w:val="Compact"/>
        <w:numPr>
          <w:ilvl w:val="0"/>
          <w:numId w:val="1006"/>
        </w:numPr>
      </w:pPr>
      <w:r>
        <w:t xml:space="preserve">8473, Partes de oficina</w:t>
      </w:r>
    </w:p>
    <w:p>
      <w:pPr>
        <w:pStyle w:val="Compact"/>
        <w:numPr>
          <w:ilvl w:val="0"/>
          <w:numId w:val="1006"/>
        </w:numPr>
      </w:pPr>
      <w:r>
        <w:t xml:space="preserve">8421, Centrifugadoras</w:t>
      </w:r>
    </w:p>
    <w:p>
      <w:pPr>
        <w:pStyle w:val="Compact"/>
        <w:numPr>
          <w:ilvl w:val="0"/>
          <w:numId w:val="1006"/>
        </w:numPr>
      </w:pPr>
      <w:r>
        <w:t xml:space="preserve">8471, Computadoras</w:t>
      </w:r>
    </w:p>
    <w:p>
      <w:pPr>
        <w:pStyle w:val="Compact"/>
        <w:numPr>
          <w:ilvl w:val="0"/>
          <w:numId w:val="1006"/>
        </w:numPr>
      </w:pPr>
      <w:r>
        <w:t xml:space="preserve">8414, Compresores</w:t>
      </w:r>
    </w:p>
    <w:p>
      <w:pPr>
        <w:pStyle w:val="Compact"/>
        <w:numPr>
          <w:ilvl w:val="0"/>
          <w:numId w:val="1006"/>
        </w:numPr>
      </w:pPr>
      <w:r>
        <w:t xml:space="preserve">8418, Refrigeración</w:t>
      </w:r>
    </w:p>
    <w:p>
      <w:pPr>
        <w:pStyle w:val="Compact"/>
        <w:numPr>
          <w:ilvl w:val="0"/>
          <w:numId w:val="1006"/>
        </w:numPr>
      </w:pPr>
      <w:r>
        <w:t xml:space="preserve">8409, Partes de motores</w:t>
      </w:r>
    </w:p>
    <w:p>
      <w:pPr>
        <w:pStyle w:val="Compact"/>
        <w:numPr>
          <w:ilvl w:val="0"/>
          <w:numId w:val="1006"/>
        </w:numPr>
      </w:pPr>
      <w:r>
        <w:t xml:space="preserve">8504, Transformadores</w:t>
      </w:r>
    </w:p>
    <w:p>
      <w:pPr>
        <w:pStyle w:val="Compact"/>
        <w:numPr>
          <w:ilvl w:val="0"/>
          <w:numId w:val="1006"/>
        </w:numPr>
      </w:pPr>
      <w:r>
        <w:t xml:space="preserve">8516, Calentadores eléctricos</w:t>
      </w:r>
    </w:p>
    <w:p>
      <w:pPr>
        <w:pStyle w:val="Compact"/>
        <w:numPr>
          <w:ilvl w:val="0"/>
          <w:numId w:val="1006"/>
        </w:numPr>
      </w:pPr>
      <w:r>
        <w:t xml:space="preserve">8537, Tableros</w:t>
      </w:r>
    </w:p>
    <w:p>
      <w:pPr>
        <w:pStyle w:val="Compact"/>
        <w:numPr>
          <w:ilvl w:val="0"/>
          <w:numId w:val="1006"/>
        </w:numPr>
      </w:pPr>
      <w:r>
        <w:t xml:space="preserve">8536, Conmutación</w:t>
      </w:r>
    </w:p>
    <w:p>
      <w:pPr>
        <w:pStyle w:val="Compact"/>
        <w:numPr>
          <w:ilvl w:val="0"/>
          <w:numId w:val="1006"/>
        </w:numPr>
      </w:pPr>
      <w:r>
        <w:t xml:space="preserve">8501, Motores eléctricos</w:t>
      </w:r>
    </w:p>
    <w:p>
      <w:pPr>
        <w:pStyle w:val="Compact"/>
        <w:numPr>
          <w:ilvl w:val="0"/>
          <w:numId w:val="1006"/>
        </w:numPr>
      </w:pPr>
      <w:r>
        <w:t xml:space="preserve">8528, Televisores</w:t>
      </w:r>
    </w:p>
    <w:p>
      <w:pPr>
        <w:pStyle w:val="Compact"/>
        <w:numPr>
          <w:ilvl w:val="0"/>
          <w:numId w:val="1006"/>
        </w:numPr>
      </w:pPr>
      <w:r>
        <w:t xml:space="preserve">8517, Teléfonos</w:t>
      </w:r>
    </w:p>
    <w:p>
      <w:pPr>
        <w:pStyle w:val="Compact"/>
        <w:numPr>
          <w:ilvl w:val="0"/>
          <w:numId w:val="1006"/>
        </w:numPr>
      </w:pPr>
      <w:r>
        <w:t xml:space="preserve">9018, Instrumentos médicos</w:t>
      </w:r>
    </w:p>
    <w:p>
      <w:pPr>
        <w:pStyle w:val="Compact"/>
        <w:numPr>
          <w:ilvl w:val="0"/>
          <w:numId w:val="1006"/>
        </w:numPr>
      </w:pPr>
      <w:r>
        <w:t xml:space="preserve">9019, Aparatos de terapia</w:t>
      </w:r>
    </w:p>
    <w:p>
      <w:pPr>
        <w:pStyle w:val="Compact"/>
        <w:numPr>
          <w:ilvl w:val="0"/>
          <w:numId w:val="1006"/>
        </w:numPr>
      </w:pPr>
      <w:r>
        <w:t xml:space="preserve">9032, Reguladores</w:t>
      </w:r>
    </w:p>
    <w:p>
      <w:pPr>
        <w:pStyle w:val="FirstParagraph"/>
      </w:pPr>
      <w:r>
        <w:t xml:space="preserve">Se trata, pues, de un período en el que si bien la aceleración del crecimiento de las exportaciones se concentra en únicamente tres secciones del SA, comprende un número relativamente alto de partidas. Notablmente, todas las partidas del capítulo 87, equipo de transporte, pilar de la integración productiva entre México y EUA, reducen su ritmo de crecimiento en 2018 con respecto a 2024.</w:t>
      </w:r>
    </w:p>
    <w:p>
      <w:pPr>
        <w:pStyle w:val="BodyText"/>
      </w:pPr>
      <w:r>
        <w:t xml:space="preserve">Empezamos con el</w:t>
      </w:r>
      <w:r>
        <w:t xml:space="preserve"> </w:t>
      </w:r>
      <w:r>
        <w:rPr>
          <w:b/>
          <w:bCs/>
        </w:rPr>
        <w:t xml:space="preserve">Capítulo 84</w:t>
      </w:r>
      <w:r>
        <w:t xml:space="preserve">, Maquinaria.</w:t>
      </w:r>
    </w:p>
    <w:p>
      <w:pPr>
        <w:numPr>
          <w:ilvl w:val="0"/>
          <w:numId w:val="1007"/>
        </w:numPr>
      </w:pPr>
      <w:r>
        <w:t xml:space="preserve">Tres partidas individuales, más la partida residual (Resto), que en conjunto representan el 83.1% de las exportaciones del Capítulo, crecen más rápidamente en 2024-2025 que en el período anterior. Este Capítulo es el gran ganador de la nueva politica arancelaria de EUA. La estructura arancelaria que facilita este crecimiento se examina con detalla en el Capítulo 3 de este libro.</w:t>
      </w:r>
    </w:p>
    <w:p>
      <w:pPr>
        <w:numPr>
          <w:ilvl w:val="0"/>
          <w:numId w:val="1007"/>
        </w:numPr>
      </w:pPr>
      <w:r>
        <w:t xml:space="preserve">Las exportaciones del capítulo están altamente concentradas: la partida 8471 representa prácticamente el 60% de las exportaciones del Capítulo, y tuvo un crecimiento extraordinario, del 86%, en el último período.</w:t>
      </w:r>
    </w:p>
    <w:p>
      <w:pPr>
        <w:numPr>
          <w:ilvl w:val="0"/>
          <w:numId w:val="1007"/>
        </w:numPr>
      </w:pPr>
      <w:r>
        <w:t xml:space="preserve">Las partidas 8481 y 8409, aunque de menor preso, tienen un crecimiento superior al 4%, y al igual que las tres primeras partidas y la categoría residual, crecen en los tres períodos incluidos en la tabla.</w:t>
      </w:r>
    </w:p>
    <w:tbl>
      <w:tblPr>
        <w:tblStyle w:val="Table"/>
        <w:tblW w:type="pct" w:w="5000"/>
        <w:tblLayout w:type="fixed"/>
        <w:tblLook w:firstRow="0" w:lastRow="0" w:firstColumn="0" w:lastColumn="0" w:noHBand="0" w:noVBand="0" w:val="0000"/>
      </w:tblPr>
      <w:tblGrid>
        <w:gridCol w:w="7920"/>
      </w:tblGrid>
      <w:tr>
        <w:tc>
          <w:tcPr/>
          <w:bookmarkStart w:id="66" w:name="tbl-cap84"/>
          <w:p>
            <w:pPr>
              <w:jc w:val="center"/>
            </w:pPr>
            <w:pPr>
              <w:jc w:val="left"/>
              <w:spacing w:before="200"/>
              <w:pStyle w:val="ImageCaption"/>
            </w:pPr>
            <w:r>
              <w:t xml:space="preserve">Tabla 1: Capítulo 84: Maquinaria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4"/>
              <w:gridCol w:w="1931"/>
              <w:gridCol w:w="1161"/>
              <w:gridCol w:w="1161"/>
              <w:gridCol w:w="822"/>
              <w:gridCol w:w="964"/>
              <w:gridCol w:w="710"/>
              <w:gridCol w:w="964"/>
            </w:tblGrid>
            <w:tr>
              <w:trPr>
                <w:trHeight w:val="407"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Total, 2024</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r>
            <w:tr>
              <w:trPr>
                <w:trHeight w:val="392"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oficina</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13.4%</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14.6%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motores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16.0%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Motores a gasolina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17.3%</w:t>
                  </w:r>
                </w:p>
              </w:tc>
            </w:tr>
            <w:tr>
              <w:trPr>
                <w:trHeight w:val="407"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5.3%</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8.2%</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20.9%</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6"/>
        </w:tc>
      </w:tr>
    </w:tbl>
    <w:p>
      <w:pPr>
        <w:pStyle w:val="BodyText"/>
      </w:pPr>
      <w:r>
        <w:t xml:space="preserve">Continuamos con el</w:t>
      </w:r>
      <w:r>
        <w:t xml:space="preserve"> </w:t>
      </w:r>
      <w:r>
        <w:rPr>
          <w:b/>
          <w:bCs/>
        </w:rPr>
        <w:t xml:space="preserve">Capítulo 85</w:t>
      </w:r>
      <w:r>
        <w:t xml:space="preserve">, Maquinaria y equipo eléctrico.</w:t>
      </w:r>
    </w:p>
    <w:p>
      <w:pPr>
        <w:numPr>
          <w:ilvl w:val="0"/>
          <w:numId w:val="1008"/>
        </w:numPr>
      </w:pPr>
      <w:r>
        <w:t xml:space="preserve">Aunque el peso de las partidas individuales es relativamente bajo, el capítulo representó el 17% de las exportaciones mexicanas a EUA en 2025.</w:t>
      </w:r>
    </w:p>
    <w:p>
      <w:pPr>
        <w:numPr>
          <w:ilvl w:val="0"/>
          <w:numId w:val="1008"/>
        </w:numPr>
      </w:pPr>
      <w:r>
        <w:t xml:space="preserve">Es un Capitulo cuyas exportaciones por Partida están mucho menos concentradas que las del Capítulo 84. Solo hay tres Partidas con uns participación mayor al 10% del total del Capítulo y ninguna de ellas alcanza el 20% del total.</w:t>
      </w:r>
    </w:p>
    <w:p>
      <w:pPr>
        <w:numPr>
          <w:ilvl w:val="0"/>
          <w:numId w:val="1008"/>
        </w:numPr>
      </w:pPr>
      <w:r>
        <w:t xml:space="preserve">Tres partidas exhiben un crecimiento notable en 2024-2025: 8517, Teléfonos; 8543, Maquinaria eléctrica especial, un 17.5%, y Cables eléctricos, un 9.1%.</w:t>
      </w:r>
    </w:p>
    <w:p>
      <w:pPr>
        <w:numPr>
          <w:ilvl w:val="0"/>
          <w:numId w:val="1008"/>
        </w:numPr>
      </w:pPr>
      <w:r>
        <w:t xml:space="preserve">El 83% de las exportaciones del Capítulo muestran una tasa de crecimiento positiva en 2024-2025.</w:t>
      </w:r>
    </w:p>
    <w:tbl>
      <w:tblPr>
        <w:tblStyle w:val="Table"/>
        <w:tblW w:type="pct" w:w="5000"/>
        <w:tblLayout w:type="fixed"/>
        <w:tblLook w:firstRow="0" w:lastRow="0" w:firstColumn="0" w:lastColumn="0" w:noHBand="0" w:noVBand="0" w:val="0000"/>
      </w:tblPr>
      <w:tblGrid>
        <w:gridCol w:w="7920"/>
      </w:tblGrid>
      <w:tr>
        <w:tc>
          <w:tcPr/>
          <w:bookmarkStart w:id="67" w:name="tbl-cap85"/>
          <w:p>
            <w:pPr>
              <w:jc w:val="center"/>
            </w:pPr>
            <w:pPr>
              <w:jc w:val="left"/>
              <w:spacing w:before="200"/>
              <w:pStyle w:val="ImageCaption"/>
            </w:pPr>
            <w:r>
              <w:t xml:space="preserve">Tabla 2: Capítulo 85: Eléctrico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128"/>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8504</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Transformadores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68.0%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13.7%</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7"/>
        </w:tc>
      </w:tr>
    </w:tbl>
    <w:p>
      <w:pPr>
        <w:pStyle w:val="BodyText"/>
      </w:pPr>
      <w:r>
        <w:t xml:space="preserve">El panorama es muy distinto para el</w:t>
      </w:r>
      <w:r>
        <w:t xml:space="preserve"> </w:t>
      </w:r>
      <w:r>
        <w:rPr>
          <w:b/>
          <w:bCs/>
        </w:rPr>
        <w:t xml:space="preserve">Capitulo 87</w:t>
      </w:r>
      <w:r>
        <w:t xml:space="preserve">. Como vimos antes, la Sección XVII, Material de Transporte, fue la de más rápido crecimiento en el período 2010-2018, y el Capítulo 87, que comprende autopartes, cambios y automóviles, representa casi la totalidad de las exportaciones de esta Sección. En contraste con lo sucedido en 2010-2018, todas las partidas del Capítulo 87 se contraen en 2024 - 2025.</w:t>
      </w:r>
    </w:p>
    <w:tbl>
      <w:tblPr>
        <w:tblStyle w:val="Table"/>
        <w:tblW w:type="pct" w:w="5000"/>
        <w:tblLayout w:type="fixed"/>
        <w:tblLook w:firstRow="0" w:lastRow="0" w:firstColumn="0" w:lastColumn="0" w:noHBand="0" w:noVBand="0" w:val="0000"/>
      </w:tblPr>
      <w:tblGrid>
        <w:gridCol w:w="7920"/>
      </w:tblGrid>
      <w:tr>
        <w:tc>
          <w:tcPr/>
          <w:bookmarkStart w:id="68" w:name="tbl-cap87"/>
          <w:p>
            <w:pPr>
              <w:jc w:val="center"/>
            </w:pPr>
            <w:pPr>
              <w:jc w:val="left"/>
              <w:spacing w:before="200"/>
              <w:pStyle w:val="ImageCaption"/>
            </w:pPr>
            <w:r>
              <w:t xml:space="preserve">Tabla 3: Capítulo 87: Vehículos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05"/>
              <w:gridCol w:w="1381"/>
              <w:gridCol w:w="1273"/>
              <w:gridCol w:w="1273"/>
              <w:gridCol w:w="838"/>
              <w:gridCol w:w="1051"/>
              <w:gridCol w:w="724"/>
              <w:gridCol w:w="1051"/>
            </w:tblGrid>
            <w:tr>
              <w:trPr>
                <w:trHeight w:val="431"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Total, 2024</w:t>
                  </w:r>
                </w:p>
              </w:tc>
            </w:tr>
            <w:tr>
              <w:trPr>
                <w:trHeight w:val="43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r>
            <w:tr>
              <w:trPr>
                <w:trHeight w:val="4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Camiones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14.4%</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Automóviles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24.3%</w:t>
                  </w:r>
                </w:p>
              </w:tc>
            </w:tr>
            <w:tr>
              <w:trPr>
                <w:trHeight w:val="4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8"/>
        </w:tc>
      </w:tr>
    </w:tbl>
    <w:p>
      <w:pPr>
        <w:pStyle w:val="BodyText"/>
      </w:pPr>
      <w:r>
        <w:t xml:space="preserve">Finalmente, exploramos el comportamiento del</w:t>
      </w:r>
      <w:r>
        <w:t xml:space="preserve"> </w:t>
      </w:r>
      <w:r>
        <w:rPr>
          <w:b/>
          <w:bCs/>
        </w:rPr>
        <w:t xml:space="preserve">Capítulo 90</w:t>
      </w:r>
      <w:r>
        <w:t xml:space="preserve">. Al igual que en el caso del Capítulo 84, las exportaciones están fuertemente concentradas en una única partida, 9018, Instrumentos médicos, que representa el 53.7% de sus exportaciones. Únicamente esta partida, y la 9019, Aparatos para terapia, muestran un crecimiento fuerte en el último período. En las demas, el crecimiento es o muy cercando a cero, o en la mayor parte de los casos, negativo, como se muestra en la</w:t>
      </w:r>
      <w:r>
        <w:t xml:space="preserve"> </w:t>
      </w:r>
      <w:hyperlink w:anchor="tbl-cap90">
        <w:r>
          <w:rPr>
            <w:rStyle w:val="Hyperlink"/>
          </w:rPr>
          <w:t xml:space="preserve">Tabla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tbl-cap90"/>
          <w:p>
            <w:pPr>
              <w:jc w:val="center"/>
            </w:pPr>
            <w:pPr>
              <w:jc w:val="left"/>
              <w:spacing w:before="200"/>
              <w:pStyle w:val="ImageCaption"/>
            </w:pPr>
            <w:r>
              <w:t xml:space="preserve">Tabla 4: Capítulo 90: Óptica/médico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025"/>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Medición y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Instrumentos médicos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Aparatos de terapia</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Ortopedia y audífonos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Flujo, nivel y 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4.5%</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9"/>
        </w:tc>
      </w:tr>
    </w:tbl>
    <w:bookmarkEnd w:id="70"/>
    <w:bookmarkStart w:id="71" w:name="la-evidencia-econométrica"/>
    <w:p>
      <w:pPr>
        <w:pStyle w:val="Heading3"/>
      </w:pPr>
      <w:r>
        <w:t xml:space="preserve">3.3 La evidencia econométrica</w:t>
      </w:r>
    </w:p>
    <w:p>
      <w:pPr>
        <w:pStyle w:val="FirstParagraph"/>
      </w:pPr>
      <w:r>
        <w:t xml:space="preserve">ERNESTO: ESTA SECCIÓN NO LA TOQUE PORQUE ME DIJISTE QUE VOS LA QUERÍAS REVISAR</w:t>
      </w:r>
    </w:p>
    <w:p>
      <w:pPr>
        <w:pStyle w:val="BodyText"/>
      </w:pPr>
      <w:r>
        <w:rPr>
          <w:b/>
          <w:bCs/>
        </w:rPr>
        <w:t xml:space="preserve">Laura Alfaro y Davin Chor</w:t>
      </w:r>
    </w:p>
    <w:p>
      <w:pPr>
        <w:pStyle w:val="BodyText"/>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p>
      <w:pPr>
        <w:pStyle w:val="BodyText"/>
      </w:pPr>
      <w:r>
        <w:rPr>
          <w:b/>
          <w:bCs/>
        </w:rPr>
        <w:t xml:space="preserve">Daniel Chiquiar y Martin Tobal</w:t>
      </w:r>
    </w:p>
    <w:p>
      <w:pPr>
        <w:pStyle w:val="BodyText"/>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p>
      <w:pPr>
        <w:pStyle w:val="BodyText"/>
      </w:pPr>
      <w:r>
        <w:rPr>
          <w:b/>
          <w:bCs/>
        </w:rPr>
        <w:t xml:space="preserve">Utar, Zurita y Torres</w:t>
      </w:r>
    </w:p>
    <w:p>
      <w:pPr>
        <w:pStyle w:val="BodyText"/>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i/>
          <w:i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i/>
          <w:i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i/>
          <w:i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p>
      <w:pPr>
        <w:pStyle w:val="BodyText"/>
      </w:pPr>
      <w:r>
        <w:rPr>
          <w:b/>
          <w:bCs/>
        </w:rPr>
        <w:t xml:space="preserve">Freund, Mattoo, Mulabdic y Ruta</w:t>
      </w:r>
    </w:p>
    <w:p>
      <w:pPr>
        <w:pStyle w:val="BodyText"/>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 el desacoplamiento bilateral EE.UU.-China es real, pero las cadenas de valor siguen entrelazadas con China.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 países en desarrollo de mayor tamaño con ventaja comparativa revelada en los productos afectados. Un resultado contraintuitivo: la distancia geográfica a EE.UU. tiene signo positivo — favorece a países lejanos tanto como a países fronterizos —, lo que es inconsistente con la narrativa del nearshoring como fenómeno generalizado. El nearshoring aparece exclusivamente en países con frontera terrestre con EE.UU. (México y Canadá), sin extensión a países cercanos pero no fronterizos.</w:t>
      </w:r>
    </w:p>
    <w:p>
      <w:pPr>
        <w:pStyle w:val="BodyText"/>
      </w:pPr>
      <w:r>
        <w:t xml:space="preserve">El resultado más provocador del paper es el rol de la integración con cadenas de suministro chinas: los países que más exportaron a EE.UU. son precisamente los que más profundizaron su integración con China. El índice de comercio intraindustrial con China (Grubel-Lloyd) es el predictor más robusto del crecimiento exportador hacia EE.UU. en industrias estratégicas. Dicho de otro modo, para desplazar a China en el mercado estadounidense, los países tuvieron que abrazar las cadenas de suministro chinas. En electrónica — el sector con mayor recomposición — la correlación entre crecimiento de importaciones desde China y crecimiento de exportaciones a EE.UU. es positiva y significativa, con evidencia adicional de posible triangulación (transshipment) en bienes estratégicos.</w:t>
      </w:r>
    </w:p>
    <w:p>
      <w:pPr>
        <w:pStyle w:val="BodyText"/>
      </w:pPr>
      <w:r>
        <w:t xml:space="preserve">El patrón de diversificación es consistente con una estrategia</w:t>
      </w:r>
      <w:r>
        <w:t xml:space="preserve"> </w:t>
      </w:r>
      <w: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 sigue siendo proveedor top-3* en más del 60% de los productos donde perdió cuota de mercado.</w:t>
      </w:r>
    </w:p>
    <w:bookmarkEnd w:id="71"/>
    <w:bookmarkEnd w:id="72"/>
    <w:bookmarkStart w:id="106"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w:t>
      </w:r>
      <w:r>
        <w:t xml:space="preserve">Chiquiar (</w:t>
      </w:r>
      <w:hyperlink w:anchor="ref-chiquiar2005">
        <w:r>
          <w:rPr>
            <w:rStyle w:val="Hyperlink"/>
          </w:rPr>
          <w:t xml:space="preserve">2005b</w:t>
        </w:r>
      </w:hyperlink>
      <w:r>
        <w:t xml:space="preserve">)</w:t>
      </w:r>
      <w:r>
        <w:t xml:space="preserve">]</w:t>
      </w:r>
      <w:r>
        <w:t xml:space="preserve">(</w:t>
      </w:r>
      <w:hyperlink w:anchor="ref-gómez2009">
        <w:r>
          <w:rPr>
            <w:rStyle w:val="Hyperlink"/>
          </w:rPr>
          <w:t xml:space="preserve">Gómez y Ventosa-Sataularia 2009</w:t>
        </w:r>
      </w:hyperlink>
      <w:r>
        <w:t xml:space="preserve">)</w:t>
      </w:r>
      <w:r>
        <w:t xml:space="preserve">.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78"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Trump-Biden y Trump 2.</w:t>
      </w:r>
    </w:p>
    <w:p>
      <w:pPr>
        <w:pStyle w:val="BodyText"/>
      </w:pPr>
      <w:r>
        <w:t xml:space="preserve">Durante los últimos 8 años de la</w:t>
      </w:r>
      <w:r>
        <w:t xml:space="preserve"> </w:t>
      </w:r>
      <w:r>
        <w:t xml:space="preserve">“normalidad globalizadora”</w:t>
      </w:r>
      <w:r>
        <w:t xml:space="preserve">, la tasa de crecimiento de las exportaciones de Campeche, Chiapas, y Tabasco fue negativa, mientras que en el resto del país no solo fue positiva, sino que en numerosos estados superó los dos dígitos (ver el panel superior izquierdo de la</w:t>
      </w:r>
      <w:r>
        <w:t xml:space="preserve"> </w:t>
      </w:r>
      <w:hyperlink w:anchor="fig-tcac-estados">
        <w:r>
          <w:rPr>
            <w:rStyle w:val="Hyperlink"/>
          </w:rPr>
          <w:t xml:space="preserve">Figura 9</w:t>
        </w:r>
      </w:hyperlink>
      <w:r>
        <w:t xml:space="preserve">).</w:t>
      </w:r>
    </w:p>
    <w:p>
      <w:pPr>
        <w:pStyle w:val="BodyText"/>
      </w:pPr>
      <w:r>
        <w:t xml:space="preserve">Durante Trump-Biden, el panorama cambia favorablemente desde el punto de vista de su distribución geográfica: las exportaciones de prácticamente todos los estados crecen, aunque generalmente a un ritmo inferior al de período anterior. Las dos excepciones, los dos únicos estados cuyas exportaciones se contraen, son Campeche y Quintana Roo.</w:t>
      </w:r>
    </w:p>
    <w:p>
      <w:pPr>
        <w:pStyle w:val="BodyText"/>
      </w:pPr>
      <w:r>
        <w:t xml:space="preserve">Trump 2 tiene un impacto negativo bastante generalizado, pero se caracteriza además por la intensificación de las disparidades entre regiones: las exportaciones de 16 estados se contraen y en seis casos la contracción es de dos dígitos, pero al mismo tiempo, las exportaciones de Chihuahua, Jalisco, Yucatán, Zacatecas, Chiapas, Colima y Potosí crecen a un ritmo de dos dígitos. Particularmente notables son los casos de Chihuahua, con un crecimiento de 45%, y Jalisco, con un crecimiento de 66%.</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la sección siguiente.</w:t>
      </w:r>
    </w:p>
    <w:tbl>
      <w:tblPr>
        <w:tblStyle w:val="Table"/>
        <w:tblW w:type="pct" w:w="5000"/>
        <w:tblLayout w:type="fixed"/>
        <w:tblLook w:firstRow="0" w:lastRow="0" w:firstColumn="0" w:lastColumn="0" w:noHBand="0" w:noVBand="0" w:val="0000"/>
      </w:tblPr>
      <w:tblGrid>
        <w:gridCol w:w="7920"/>
      </w:tblGrid>
      <w:tr>
        <w:tc>
          <w:tcPr/>
          <w:bookmarkStart w:id="76" w:name="fig-tcac-estados"/>
          <w:p>
            <w:pPr>
              <w:jc w:val="center"/>
            </w:pPr>
            <w:pPr>
              <w:jc w:val="left"/>
              <w:spacing w:before="200"/>
              <w:pStyle w:val="ImageCaption"/>
            </w:pPr>
            <w:r>
              <w:t xml:space="preserve">Figura 9: Tasas de crecimiento de las exportaciones por estado, 2010-2018 y 2018-2024</w:t>
            </w:r>
          </w:p>
          <w:p>
            <w:pPr>
              <w:pStyle w:val="Compact"/>
              <w:jc w:val="center"/>
            </w:pPr>
            <w:r>
              <w:drawing>
                <wp:inline>
                  <wp:extent cx="5486400" cy="4488872"/>
                  <wp:effectExtent b="0" l="0" r="0" t="0"/>
                  <wp:docPr descr="" title="" id="74" name="Picture"/>
                  <a:graphic>
                    <a:graphicData uri="http://schemas.openxmlformats.org/drawingml/2006/picture">
                      <pic:pic>
                        <pic:nvPicPr>
                          <pic:cNvPr descr="../Plots/mapa_xmex_2periodos_tcac_2024.png" id="75" name="Picture"/>
                          <pic:cNvPicPr>
                            <a:picLocks noChangeArrowheads="1" noChangeAspect="1"/>
                          </pic:cNvPicPr>
                        </pic:nvPicPr>
                        <pic:blipFill>
                          <a:blip r:embed="rId73"/>
                          <a:stretch>
                            <a:fillRect/>
                          </a:stretch>
                        </pic:blipFill>
                        <pic:spPr bwMode="auto">
                          <a:xfrm>
                            <a:off x="0" y="0"/>
                            <a:ext cx="5486400" cy="4488872"/>
                          </a:xfrm>
                          <a:prstGeom prst="rect">
                            <a:avLst/>
                          </a:prstGeom>
                          <a:noFill/>
                          <a:ln w="9525">
                            <a:noFill/>
                            <a:headEnd/>
                            <a:tailEnd/>
                          </a:ln>
                        </pic:spPr>
                      </pic:pic>
                    </a:graphicData>
                  </a:graphic>
                </wp:inline>
              </w:drawing>
            </w:r>
          </w:p>
          <w:bookmarkEnd w:id="76"/>
        </w:tc>
      </w:tr>
    </w:tbl>
    <w:tbl>
      <w:tblPr>
        <w:tblStyle w:val="Table"/>
        <w:tblW w:type="pct" w:w="5000"/>
        <w:tblLayout w:type="fixed"/>
        <w:tblLook w:firstRow="0" w:lastRow="0" w:firstColumn="0" w:lastColumn="0" w:noHBand="0" w:noVBand="0" w:val="0000"/>
      </w:tblPr>
      <w:tblGrid>
        <w:gridCol w:w="7920"/>
      </w:tblGrid>
      <w:tr>
        <w:tc>
          <w:tcPr/>
          <w:bookmarkStart w:id="77" w:name="tbl-tcac-estados"/>
          <w:p>
            <w:pPr>
              <w:jc w:val="center"/>
            </w:pPr>
            <w:pPr>
              <w:jc w:val="left"/>
              <w:spacing w:before="200"/>
              <w:pStyle w:val="ImageCaption"/>
            </w:pPr>
            <w:r>
              <w:t xml:space="preserve">Tabla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50"/>
              <w:gridCol w:w="1161"/>
              <w:gridCol w:w="1161"/>
              <w:gridCol w:w="1471"/>
              <w:gridCol w:w="1161"/>
              <w:gridCol w:w="1161"/>
            </w:tblGrid>
            <w:tr>
              <w:trPr>
                <w:trHeight w:val="503" w:hRule="auto"/>
                <w:tblHeader/>
              </w:trPr>
              <w:tc>
                <w:tcPr>
                  <w:gridSpan w:val="6"/>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TCAC de las exportaciones estatales por subperíodo</w:t>
                  </w:r>
                </w:p>
              </w:tc>
            </w:tr>
            <w:tr>
              <w:trPr>
                <w:trHeight w:val="392" w:hRule="auto"/>
                <w:tblHeader/>
              </w:trPr>
              <w:tc>
                <w:tcPr>
                  <w:gridSpan w:val="6"/>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compuesto (%), por entidad federativa</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r>
            <w:tr>
              <w:trPr>
                <w:trHeight w:val="23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7.5%</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Morelos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5.5%</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-15.7%</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29.9%</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6.6%</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8.5%</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6.3%</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w:t>
                  </w:r>
                </w:p>
              </w:tc>
            </w:tr>
            <w:tr>
              <w:trPr>
                <w:trHeight w:val="24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Michoacán</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20.2%</w:t>
                  </w:r>
                </w:p>
              </w:tc>
              <w:tc>
                <w:tcPr>
                  <w:tcBorders>
                    <w:bottom w:val="single" w:sz="12" w:space="0" w:color="666666"/>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3.8%</w:t>
                  </w:r>
                </w:p>
              </w:tc>
              <w:tc>
                <w:tcPr>
                  <w:tcBorders>
                    <w:bottom w:val="single" w:sz="12"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77"/>
        </w:tc>
      </w:tr>
    </w:tbl>
    <w:bookmarkEnd w:id="78"/>
    <w:bookmarkStart w:id="95"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09"/>
        </w:numPr>
      </w:pPr>
      <w:r>
        <w:t xml:space="preserve">En primer lugar, la información por entidad federativa no está disponible utilizando el SA, sino únicamente el SCIAN a 3 dígitos, lo que nos da</w:t>
      </w:r>
      <w:r>
        <w:t xml:space="preserve"> </w:t>
      </w:r>
      <w:r>
        <w:t xml:space="preserve">“sectores”</w:t>
      </w:r>
      <w:r>
        <w:t xml:space="preserve"> </w:t>
      </w:r>
      <w:r>
        <w:t xml:space="preserve">más agregados que los que utilizamos en la sección 3.2 de este capítulo.</w:t>
      </w:r>
    </w:p>
    <w:p>
      <w:pPr>
        <w:numPr>
          <w:ilvl w:val="0"/>
          <w:numId w:val="1009"/>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las</w:t>
      </w:r>
      <w:r>
        <w:t xml:space="preserve"> </w:t>
      </w:r>
      <w:hyperlink w:anchor="fig-scian-333">
        <w:r>
          <w:rPr>
            <w:rStyle w:val="Hyperlink"/>
          </w:rPr>
          <w:t xml:space="preserve">Figura 10</w:t>
        </w:r>
      </w:hyperlink>
      <w:r>
        <w:t xml:space="preserve">,</w:t>
      </w:r>
      <w:r>
        <w:t xml:space="preserve"> </w:t>
      </w:r>
      <w:hyperlink w:anchor="fig-scian-334">
        <w:r>
          <w:rPr>
            <w:rStyle w:val="Hyperlink"/>
          </w:rPr>
          <w:t xml:space="preserve">Figura 11</w:t>
        </w:r>
      </w:hyperlink>
      <w:r>
        <w:t xml:space="preserve">,</w:t>
      </w:r>
      <w:r>
        <w:t xml:space="preserve"> </w:t>
      </w:r>
      <w:hyperlink w:anchor="fig-scian-335">
        <w:r>
          <w:rPr>
            <w:rStyle w:val="Hyperlink"/>
          </w:rPr>
          <w:t xml:space="preserve">Figura 12</w:t>
        </w:r>
      </w:hyperlink>
      <w:r>
        <w:t xml:space="preserve"> </w:t>
      </w:r>
      <w:r>
        <w:t xml:space="preserve">y</w:t>
      </w:r>
      <w:r>
        <w:t xml:space="preserve"> </w:t>
      </w:r>
      <w:hyperlink w:anchor="fig-scian-336">
        <w:r>
          <w:rPr>
            <w:rStyle w:val="Hyperlink"/>
          </w:rPr>
          <w:t xml:space="preserve">Figura 13</w:t>
        </w:r>
      </w:hyperlink>
      <w:r>
        <w:t xml:space="preserve">.</w:t>
      </w:r>
    </w:p>
    <w:p>
      <w:pPr>
        <w:pStyle w:val="BodyText"/>
      </w:pPr>
      <w:r>
        <w:t xml:space="preserve">Destacan, en primer lugar, el predominio de Nuevo León en Maquinaria y equipo (Sector 333) y en Accesorios y equipo eléctrico (Sector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(Sector 334) son notables el predominio de Chihuahua y Jalisco, y la aceleración que tiene lugar a partir de 2024. La evolución de estas exportaciones se examina con detalle en el próximo capítulo.</w:t>
      </w:r>
    </w:p>
    <w:p>
      <w:pPr>
        <w:pStyle w:val="BodyText"/>
      </w:pPr>
      <w:r>
        <w:t xml:space="preserve">Finalmente, los problemas de Equipo de Transporte (Sección 336) quedan en evidencia, con efectos particularmente fuertes en Coahuila y Guanajuato, los principales estados exportadores de este sector.</w:t>
      </w:r>
    </w:p>
    <w:tbl>
      <w:tblPr>
        <w:tblStyle w:val="Table"/>
        <w:tblW w:type="pct" w:w="5000"/>
        <w:tblLayout w:type="fixed"/>
        <w:tblLook w:firstRow="0" w:lastRow="0" w:firstColumn="0" w:lastColumn="0" w:noHBand="0" w:noVBand="0" w:val="0000"/>
      </w:tblPr>
      <w:tblGrid>
        <w:gridCol w:w="7920"/>
      </w:tblGrid>
      <w:tr>
        <w:tc>
          <w:tcPr/>
          <w:bookmarkStart w:id="82" w:name="fig-scian-333"/>
          <w:p>
            <w:pPr>
              <w:jc w:val="center"/>
            </w:pPr>
            <w:pPr>
              <w:jc w:val="left"/>
              <w:spacing w:before="200"/>
              <w:pStyle w:val="ImageCaption"/>
            </w:pPr>
            <w:r>
              <w:t xml:space="preserve">Figura 10: Exportaciones por entidad federativa, sector SCIAN 333, Maquinaria y equipo, 2010-2024. Solo estados sin datos suprimidos por confidencialidad</w:t>
            </w:r>
          </w:p>
          <w:p>
            <w:pPr>
              <w:pStyle w:val="Compact"/>
              <w:jc w:val="center"/>
            </w:pPr>
            <w:r>
              <w:drawing>
                <wp:inline>
                  <wp:extent cx="5486400" cy="3017520"/>
                  <wp:effectExtent b="0" l="0" r="0" t="0"/>
                  <wp:docPr descr="" title="" id="80" name="Picture"/>
                  <a:graphic>
                    <a:graphicData uri="http://schemas.openxmlformats.org/drawingml/2006/picture">
                      <pic:pic>
                        <pic:nvPicPr>
                          <pic:cNvPr descr="../Plots/fig-etef-sector-333_2024.png" id="81" name="Picture"/>
                          <pic:cNvPicPr>
                            <a:picLocks noChangeArrowheads="1" noChangeAspect="1"/>
                          </pic:cNvPicPr>
                        </pic:nvPicPr>
                        <pic:blipFill>
                          <a:blip r:embed="rId79"/>
                          <a:stretch>
                            <a:fillRect/>
                          </a:stretch>
                        </pic:blipFill>
                        <pic:spPr bwMode="auto">
                          <a:xfrm>
                            <a:off x="0" y="0"/>
                            <a:ext cx="5486400" cy="3017520"/>
                          </a:xfrm>
                          <a:prstGeom prst="rect">
                            <a:avLst/>
                          </a:prstGeom>
                          <a:noFill/>
                          <a:ln w="9525">
                            <a:noFill/>
                            <a:headEnd/>
                            <a:tailEnd/>
                          </a:ln>
                        </pic:spPr>
                      </pic:pic>
                    </a:graphicData>
                  </a:graphic>
                </wp:inline>
              </w:drawing>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scian-334"/>
          <w:p>
            <w:pPr>
              <w:jc w:val="center"/>
            </w:pPr>
            <w:pPr>
              <w:jc w:val="left"/>
              <w:spacing w:before="200"/>
              <w:pStyle w:val="ImageCaption"/>
            </w:pPr>
            <w:r>
              <w:t xml:space="preserve">Figura 11: Exportaciones por entidad federativa, sector SCIAN 334, Equipo de computación y comunicación, 2010-2024. Solo estados sin datos suprimidos por confidencialidad</w:t>
            </w:r>
          </w:p>
          <w:p>
            <w:pPr>
              <w:pStyle w:val="Compact"/>
              <w:jc w:val="center"/>
            </w:pPr>
            <w:r>
              <w:drawing>
                <wp:inline>
                  <wp:extent cx="5486400" cy="3017520"/>
                  <wp:effectExtent b="0" l="0" r="0" t="0"/>
                  <wp:docPr descr="" title="" id="84" name="Picture"/>
                  <a:graphic>
                    <a:graphicData uri="http://schemas.openxmlformats.org/drawingml/2006/picture">
                      <pic:pic>
                        <pic:nvPicPr>
                          <pic:cNvPr descr="../Plots/fig-etef-sector-334_2024.png" id="85" name="Picture"/>
                          <pic:cNvPicPr>
                            <a:picLocks noChangeArrowheads="1" noChangeAspect="1"/>
                          </pic:cNvPicPr>
                        </pic:nvPicPr>
                        <pic:blipFill>
                          <a:blip r:embed="rId83"/>
                          <a:stretch>
                            <a:fillRect/>
                          </a:stretch>
                        </pic:blipFill>
                        <pic:spPr bwMode="auto">
                          <a:xfrm>
                            <a:off x="0" y="0"/>
                            <a:ext cx="5486400" cy="3017520"/>
                          </a:xfrm>
                          <a:prstGeom prst="rect">
                            <a:avLst/>
                          </a:prstGeom>
                          <a:noFill/>
                          <a:ln w="9525">
                            <a:noFill/>
                            <a:headEnd/>
                            <a:tailEnd/>
                          </a:ln>
                        </pic:spPr>
                      </pic:pic>
                    </a:graphicData>
                  </a:graphic>
                </wp:inline>
              </w:drawing>
            </w:r>
          </w:p>
          <w:bookmarkEnd w:id="86"/>
        </w:tc>
      </w:tr>
    </w:tbl>
    <w:tbl>
      <w:tblPr>
        <w:tblStyle w:val="Table"/>
        <w:tblW w:type="pct" w:w="5000"/>
        <w:tblLayout w:type="fixed"/>
        <w:tblLook w:firstRow="0" w:lastRow="0" w:firstColumn="0" w:lastColumn="0" w:noHBand="0" w:noVBand="0" w:val="0000"/>
      </w:tblPr>
      <w:tblGrid>
        <w:gridCol w:w="7920"/>
      </w:tblGrid>
      <w:tr>
        <w:tc>
          <w:tcPr/>
          <w:bookmarkStart w:id="90" w:name="fig-scian-335"/>
          <w:p>
            <w:pPr>
              <w:jc w:val="center"/>
            </w:pPr>
            <w:pPr>
              <w:jc w:val="left"/>
              <w:spacing w:before="200"/>
              <w:pStyle w:val="ImageCaption"/>
            </w:pPr>
            <w:r>
              <w:t xml:space="preserve">Figura 12: Exportaciones por entidad federativa, sector SCIAN 335, Accesorios y equipo eléctrico, 2010-2024. Solo estados sin datos suprimidos por confidencialidad</w:t>
            </w:r>
          </w:p>
          <w:p>
            <w:pPr>
              <w:pStyle w:val="Compact"/>
              <w:jc w:val="center"/>
            </w:pPr>
            <w:r>
              <w:drawing>
                <wp:inline>
                  <wp:extent cx="5486400" cy="3017520"/>
                  <wp:effectExtent b="0" l="0" r="0" t="0"/>
                  <wp:docPr descr="" title="" id="88" name="Picture"/>
                  <a:graphic>
                    <a:graphicData uri="http://schemas.openxmlformats.org/drawingml/2006/picture">
                      <pic:pic>
                        <pic:nvPicPr>
                          <pic:cNvPr descr="../Plots/fig-etef-sector-335_2024.png" id="89" name="Picture"/>
                          <pic:cNvPicPr>
                            <a:picLocks noChangeArrowheads="1" noChangeAspect="1"/>
                          </pic:cNvPicPr>
                        </pic:nvPicPr>
                        <pic:blipFill>
                          <a:blip r:embed="rId87"/>
                          <a:stretch>
                            <a:fillRect/>
                          </a:stretch>
                        </pic:blipFill>
                        <pic:spPr bwMode="auto">
                          <a:xfrm>
                            <a:off x="0" y="0"/>
                            <a:ext cx="5486400" cy="3017520"/>
                          </a:xfrm>
                          <a:prstGeom prst="rect">
                            <a:avLst/>
                          </a:prstGeom>
                          <a:noFill/>
                          <a:ln w="9525">
                            <a:noFill/>
                            <a:headEnd/>
                            <a:tailEnd/>
                          </a:ln>
                        </pic:spPr>
                      </pic:pic>
                    </a:graphicData>
                  </a:graphic>
                </wp:inline>
              </w:drawing>
            </w:r>
          </w:p>
          <w:bookmarkEnd w:id="90"/>
        </w:tc>
      </w:tr>
    </w:tbl>
    <w:tbl>
      <w:tblPr>
        <w:tblStyle w:val="Table"/>
        <w:tblW w:type="pct" w:w="5000"/>
        <w:tblLayout w:type="fixed"/>
        <w:tblLook w:firstRow="0" w:lastRow="0" w:firstColumn="0" w:lastColumn="0" w:noHBand="0" w:noVBand="0" w:val="0000"/>
      </w:tblPr>
      <w:tblGrid>
        <w:gridCol w:w="7920"/>
      </w:tblGrid>
      <w:tr>
        <w:tc>
          <w:tcPr/>
          <w:bookmarkStart w:id="94" w:name="fig-scian-336"/>
          <w:p>
            <w:pPr>
              <w:jc w:val="center"/>
            </w:pPr>
            <w:pPr>
              <w:jc w:val="left"/>
              <w:spacing w:before="200"/>
              <w:pStyle w:val="ImageCaption"/>
            </w:pPr>
            <w:r>
              <w:t xml:space="preserve">Figura 13: Exportaciones por entidad federativa, sector SCIAN 336, Equipo de transporte, 2010-2024. Solo estados sin datos suprimidos por confidencialidad</w:t>
            </w:r>
          </w:p>
          <w:p>
            <w:pPr>
              <w:pStyle w:val="Compact"/>
              <w:jc w:val="center"/>
            </w:pPr>
            <w:r>
              <w:drawing>
                <wp:inline>
                  <wp:extent cx="5486400" cy="3017520"/>
                  <wp:effectExtent b="0" l="0" r="0" t="0"/>
                  <wp:docPr descr="" title="" id="92" name="Picture"/>
                  <a:graphic>
                    <a:graphicData uri="http://schemas.openxmlformats.org/drawingml/2006/picture">
                      <pic:pic>
                        <pic:nvPicPr>
                          <pic:cNvPr descr="../Plots/fig-etef-sector-336_2024.png" id="93" name="Picture"/>
                          <pic:cNvPicPr>
                            <a:picLocks noChangeArrowheads="1" noChangeAspect="1"/>
                          </pic:cNvPicPr>
                        </pic:nvPicPr>
                        <pic:blipFill>
                          <a:blip r:embed="rId91"/>
                          <a:stretch>
                            <a:fillRect/>
                          </a:stretch>
                        </pic:blipFill>
                        <pic:spPr bwMode="auto">
                          <a:xfrm>
                            <a:off x="0" y="0"/>
                            <a:ext cx="5486400" cy="3017520"/>
                          </a:xfrm>
                          <a:prstGeom prst="rect">
                            <a:avLst/>
                          </a:prstGeom>
                          <a:noFill/>
                          <a:ln w="9525">
                            <a:noFill/>
                            <a:headEnd/>
                            <a:tailEnd/>
                          </a:ln>
                        </pic:spPr>
                      </pic:pic>
                    </a:graphicData>
                  </a:graphic>
                </wp:inline>
              </w:drawing>
            </w:r>
          </w:p>
          <w:bookmarkEnd w:id="94"/>
        </w:tc>
      </w:tr>
    </w:tbl>
    <w:bookmarkEnd w:id="95"/>
    <w:bookmarkStart w:id="105"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14</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w:t>
      </w:r>
    </w:p>
    <w:p>
      <w:pPr>
        <w:pStyle w:val="BodyText"/>
      </w:pPr>
      <w:r>
        <w:t xml:space="preserve">A pesar del aumento de las exportaciones mexicanas, el empleo IMMEX modera su crecimiento durante Trump-Biden con respecto al que se observó durante la normalidad globalizadora y decrece durante Trump 2. Esta disminución está en parte asociada con una imperfecta asociación entre empleo exportador y empleo IMMEX: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96"/>
      </w:r>
      <w:r>
        <w:t xml:space="preserve">.</w:t>
      </w:r>
    </w:p>
    <w:p>
      <w:pPr>
        <w:pStyle w:val="BodyText"/>
      </w:pPr>
      <w:r>
        <w:t xml:space="preserve">Sin embargo, debe tomarse nota de que la caída está claramente asociada a la disminución del empleo IMMEX en la ZLFN a partir de 2022. El resto del empleo IMMEX tiene una tasa de crecimiento del 5.4% durante la normalidad globalizadora, que solo se reduce en 0.4 pp durante Trump-Biden. Durante Trump 2, ese empleo se contrae en 1.4%, mientras que el empleo IMMEX en la ZLFN se contrae 3.5%, lo que pone en evidencia que existen factores específicos que afectan el empleo IMMEX en esta zona: la política diferenciada de salario mínimo para la ZLFN y el resto de México puede ser uno de ellos. Este tema se aborda en el capítulo dedicado al análisis de la IED china en México.</w:t>
      </w:r>
    </w:p>
    <w:tbl>
      <w:tblPr>
        <w:tblStyle w:val="Table"/>
        <w:tblW w:type="pct" w:w="5000"/>
        <w:tblLayout w:type="fixed"/>
        <w:tblLook w:firstRow="0" w:lastRow="0" w:firstColumn="0" w:lastColumn="0" w:noHBand="0" w:noVBand="0" w:val="0000"/>
      </w:tblPr>
      <w:tblGrid>
        <w:gridCol w:w="7920"/>
      </w:tblGrid>
      <w:tr>
        <w:tc>
          <w:tcPr/>
          <w:bookmarkStart w:id="100" w:name="fig-immex-empleo"/>
          <w:p>
            <w:pPr>
              <w:jc w:val="center"/>
            </w:pPr>
            <w:pPr>
              <w:jc w:val="left"/>
              <w:spacing w:before="200"/>
              <w:pStyle w:val="ImageCaption"/>
            </w:pPr>
            <w:r>
              <w:t xml:space="preserve">Figura 14: Empleo IMMEX en manufactura: Total, ZLFN y Resto, 2010-2024 (miles de personas, diciembre)</w:t>
            </w:r>
          </w:p>
          <w:p>
            <w:pPr>
              <w:pStyle w:val="Compact"/>
              <w:jc w:val="center"/>
            </w:pPr>
            <w:r>
              <w:drawing>
                <wp:inline>
                  <wp:extent cx="5486400" cy="3291840"/>
                  <wp:effectExtent b="0" l="0" r="0" t="0"/>
                  <wp:docPr descr="" title="" id="98" name="Picture"/>
                  <a:graphic>
                    <a:graphicData uri="http://schemas.openxmlformats.org/drawingml/2006/picture">
                      <pic:pic>
                        <pic:nvPicPr>
                          <pic:cNvPr descr="../Plots/fig-immex-empleo_2024.png" id="99" name="Picture"/>
                          <pic:cNvPicPr>
                            <a:picLocks noChangeArrowheads="1" noChangeAspect="1"/>
                          </pic:cNvPicPr>
                        </pic:nvPicPr>
                        <pic:blipFill>
                          <a:blip r:embed="rId97"/>
                          <a:stretch>
                            <a:fillRect/>
                          </a:stretch>
                        </pic:blipFill>
                        <pic:spPr bwMode="auto">
                          <a:xfrm>
                            <a:off x="0" y="0"/>
                            <a:ext cx="5486400" cy="3291840"/>
                          </a:xfrm>
                          <a:prstGeom prst="rect">
                            <a:avLst/>
                          </a:prstGeom>
                          <a:noFill/>
                          <a:ln w="9525">
                            <a:noFill/>
                            <a:headEnd/>
                            <a:tailEnd/>
                          </a:ln>
                        </pic:spPr>
                      </pic:pic>
                    </a:graphicData>
                  </a:graphic>
                </wp:inline>
              </w:drawing>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mapa-immex-4periodos"/>
          <w:p>
            <w:pPr>
              <w:jc w:val="center"/>
            </w:pPr>
            <w:pPr>
              <w:jc w:val="left"/>
              <w:spacing w:before="200"/>
              <w:pStyle w:val="ImageCaption"/>
            </w:pPr>
            <w:r>
              <w:t xml:space="preserve">Figura 15: Cambio en la participación porcentual del empleo IMMEX por entidad federativa, cuatro períodos seleccionados</w:t>
            </w:r>
          </w:p>
          <w:p>
            <w:pPr>
              <w:pStyle w:val="Compact"/>
              <w:jc w:val="center"/>
            </w:pPr>
            <w:r>
              <w:drawing>
                <wp:inline>
                  <wp:extent cx="5486400" cy="1995054"/>
                  <wp:effectExtent b="0" l="0" r="0" t="0"/>
                  <wp:docPr descr="" title="" id="102" name="Picture"/>
                  <a:graphic>
                    <a:graphicData uri="http://schemas.openxmlformats.org/drawingml/2006/picture">
                      <pic:pic>
                        <pic:nvPicPr>
                          <pic:cNvPr descr="../Plots/mapa_immex_4periodos_2024.png" id="103" name="Picture"/>
                          <pic:cNvPicPr>
                            <a:picLocks noChangeArrowheads="1" noChangeAspect="1"/>
                          </pic:cNvPicPr>
                        </pic:nvPicPr>
                        <pic:blipFill>
                          <a:blip r:embed="rId101"/>
                          <a:stretch>
                            <a:fillRect/>
                          </a:stretch>
                        </pic:blipFill>
                        <pic:spPr bwMode="auto">
                          <a:xfrm>
                            <a:off x="0" y="0"/>
                            <a:ext cx="5486400" cy="1995054"/>
                          </a:xfrm>
                          <a:prstGeom prst="rect">
                            <a:avLst/>
                          </a:prstGeom>
                          <a:noFill/>
                          <a:ln w="9525">
                            <a:noFill/>
                            <a:headEnd/>
                            <a:tailEnd/>
                          </a:ln>
                        </pic:spPr>
                      </pic:pic>
                    </a:graphicData>
                  </a:graphic>
                </wp:inline>
              </w:drawing>
            </w:r>
          </w:p>
          <w:bookmarkEnd w:id="104"/>
        </w:tc>
      </w:tr>
    </w:tbl>
    <w:bookmarkEnd w:id="105"/>
    <w:bookmarkEnd w:id="106"/>
    <w:bookmarkStart w:id="190" w:name="la-inversión-extranjera-directa"/>
    <w:p>
      <w:pPr>
        <w:pStyle w:val="Heading2"/>
      </w:pPr>
      <w:r>
        <w:t xml:space="preserve">5 La inversión extranjera directa</w:t>
      </w:r>
    </w:p>
    <w:p>
      <w:pPr>
        <w:pStyle w:val="FirstParagraph"/>
      </w:pPr>
      <w:r>
        <w:t xml:space="preserve">Como ya se explicó anteriormente, es un error identificar el NS con los anuncios de construcción de nuevas plantas por parte de EMNs. Más aún, se señaló que la IED es tan solo un componente del proceso de NS, y que las inversiones domésticas (o el redireccionamiento de la producción) por parte de empresas domésticas también juega un papel importante.</w:t>
      </w:r>
    </w:p>
    <w:p>
      <w:pPr>
        <w:pStyle w:val="BodyText"/>
      </w:pPr>
      <w:r>
        <w:t xml:space="preserve">Aun así, la IED es</w:t>
      </w:r>
      <w:r>
        <w:t xml:space="preserve"> </w:t>
      </w:r>
      <w:r>
        <w:rPr>
          <w:b/>
          <w:bCs/>
        </w:rPr>
        <w:t xml:space="preserve">uno</w:t>
      </w:r>
      <w:r>
        <w:t xml:space="preserve"> </w:t>
      </w:r>
      <w:r>
        <w:t xml:space="preserve">de los componentes del proceso, cuyo comportamiento examinamos en esta sección.</w:t>
      </w:r>
    </w:p>
    <w:bookmarkStart w:id="113"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16</w:t>
        </w:r>
      </w:hyperlink>
      <w:r>
        <w:t xml:space="preserve"> </w:t>
      </w:r>
      <w:r>
        <w:t xml:space="preserve">se muestra la evolución de la IED en México de 2010 al tercer trimestre de 2025. De 2010 a 2020 la IED oscila entre los 50 mil y los 75 mil millones de USD, con la única excepción de 2013, que refleja la adquisición del Grupo Modelo por parte de AB InBev</w:t>
      </w:r>
      <w:r>
        <w:rPr>
          <w:rStyle w:val="FootnoteReference"/>
        </w:rPr>
        <w:footnoteReference w:id="107"/>
      </w:r>
      <w:r>
        <w:t xml:space="preserve">.</w:t>
      </w:r>
    </w:p>
    <w:p>
      <w:pPr>
        <w:pStyle w:val="BodyText"/>
      </w:pPr>
      <w:r>
        <w:t xml:space="preserve">Como sucede también con otras variables, el impacto de Trump-Biden se hace evidente después de la pandemia: mientras que entre 2014 y 2019 la IED se mantiene fundamentalmente estable, de 2020 en adelante la tendencia es positiva, y se acelera entre 2024 y 2025.</w:t>
      </w:r>
    </w:p>
    <w:tbl>
      <w:tblPr>
        <w:tblStyle w:val="Table"/>
        <w:tblW w:type="pct" w:w="5000"/>
        <w:tblLayout w:type="fixed"/>
        <w:tblLook w:firstRow="0" w:lastRow="0" w:firstColumn="0" w:lastColumn="0" w:noHBand="0" w:noVBand="0" w:val="0000"/>
      </w:tblPr>
      <w:tblGrid>
        <w:gridCol w:w="7920"/>
      </w:tblGrid>
      <w:tr>
        <w:tc>
          <w:tcPr/>
          <w:bookmarkStart w:id="112" w:name="fig-ied-total-origen"/>
          <w:p>
            <w:pPr>
              <w:jc w:val="center"/>
            </w:pPr>
            <w:pPr>
              <w:jc w:val="left"/>
              <w:spacing w:before="200"/>
              <w:pStyle w:val="ImageCaption"/>
            </w:pPr>
            <w:r>
              <w:t xml:space="preserve">Figura 16: Inversión extranjera directa en México</w:t>
            </w:r>
          </w:p>
          <w:p>
            <w:pPr>
              <w:pStyle w:val="Compact"/>
              <w:jc w:val="center"/>
            </w:pPr>
            <w:r>
              <w:drawing>
                <wp:inline>
                  <wp:extent cx="5486400" cy="4937760"/>
                  <wp:effectExtent b="0" l="0" r="0" t="0"/>
                  <wp:docPr descr="" title="" id="110" name="Picture"/>
                  <a:graphic>
                    <a:graphicData uri="http://schemas.openxmlformats.org/drawingml/2006/picture">
                      <pic:pic>
                        <pic:nvPicPr>
                          <pic:cNvPr descr="../Plots/ied_total_origen_2024.png" id="111" name="Picture"/>
                          <pic:cNvPicPr>
                            <a:picLocks noChangeArrowheads="1" noChangeAspect="1"/>
                          </pic:cNvPicPr>
                        </pic:nvPicPr>
                        <pic:blipFill>
                          <a:blip r:embed="rId109"/>
                          <a:stretch>
                            <a:fillRect/>
                          </a:stretch>
                        </pic:blipFill>
                        <pic:spPr bwMode="auto">
                          <a:xfrm>
                            <a:off x="0" y="0"/>
                            <a:ext cx="5486400" cy="4937760"/>
                          </a:xfrm>
                          <a:prstGeom prst="rect">
                            <a:avLst/>
                          </a:prstGeom>
                          <a:noFill/>
                          <a:ln w="9525">
                            <a:noFill/>
                            <a:headEnd/>
                            <a:tailEnd/>
                          </a:ln>
                        </pic:spPr>
                      </pic:pic>
                    </a:graphicData>
                  </a:graphic>
                </wp:inline>
              </w:drawing>
            </w:r>
          </w:p>
          <w:bookmarkEnd w:id="112"/>
        </w:tc>
      </w:tr>
    </w:tbl>
    <w:bookmarkEnd w:id="113"/>
    <w:bookmarkStart w:id="130"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17</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16</w:t>
        </w:r>
      </w:hyperlink>
      <w:r>
        <w:t xml:space="preserve">, que muestra un repunte a partir de 2020, aquí vemos justamente lo contrario: una tendencia decreciente a partir de ese mismo año (el año 2013 es excepcional, por razones que recién se explicaron).</w:t>
      </w:r>
    </w:p>
    <w:p>
      <w:pPr>
        <w:pStyle w:val="BodyText"/>
      </w:pPr>
      <w:r>
        <w:t xml:space="preserve">Nótese que la importancia de la IED se reduce no solo en términos de la participación en el PIB, sino también como porcentaje de la formación bruta de capital fijo (panel inferior de la</w:t>
      </w:r>
      <w:r>
        <w:t xml:space="preserve"> </w:t>
      </w:r>
      <w:hyperlink w:anchor="fig-ied-ratios">
        <w:r>
          <w:rPr>
            <w:rStyle w:val="Hyperlink"/>
          </w:rPr>
          <w:t xml:space="preserve">Figura 17</w:t>
        </w:r>
      </w:hyperlink>
      <w:r>
        <w:t xml:space="preserv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pobre desempeño.</w:t>
      </w:r>
    </w:p>
    <w:tbl>
      <w:tblPr>
        <w:tblStyle w:val="Table"/>
        <w:tblW w:type="pct" w:w="5000"/>
        <w:tblLayout w:type="fixed"/>
        <w:tblLook w:firstRow="0" w:lastRow="0" w:firstColumn="0" w:lastColumn="0" w:noHBand="0" w:noVBand="0" w:val="0000"/>
      </w:tblPr>
      <w:tblGrid>
        <w:gridCol w:w="7920"/>
      </w:tblGrid>
      <w:tr>
        <w:tc>
          <w:tcPr/>
          <w:bookmarkStart w:id="117" w:name="fig-ied-ratios"/>
          <w:p>
            <w:pPr>
              <w:jc w:val="center"/>
            </w:pPr>
            <w:pPr>
              <w:jc w:val="left"/>
              <w:spacing w:before="200"/>
              <w:pStyle w:val="ImageCaption"/>
            </w:pPr>
            <w:r>
              <w:t xml:space="preserve">Figura 17: Inversión extranjera directa como porcentaje del PIB (panel superior)</w:t>
            </w:r>
            <w:r>
              <w:t xml:space="preserve"> </w:t>
            </w:r>
            <w:r>
              <w:t xml:space="preserve">y de la formación bruta de capital fijo (panel inferior), 2010–2024.</w:t>
            </w:r>
            <w:r>
              <w:t xml:space="preserve"> </w:t>
            </w:r>
            <w:r>
              <w:t xml:space="preserve">Datos anuales. Fuente: Secretaría de Economía / SE.</w:t>
            </w:r>
          </w:p>
          <w:p>
            <w:pPr>
              <w:pStyle w:val="Compact"/>
              <w:jc w:val="center"/>
            </w:pPr>
            <w:r>
              <w:drawing>
                <wp:inline>
                  <wp:extent cx="5486400" cy="4389120"/>
                  <wp:effectExtent b="0" l="0" r="0" t="0"/>
                  <wp:docPr descr="" title="" id="115" name="Picture"/>
                  <a:graphic>
                    <a:graphicData uri="http://schemas.openxmlformats.org/drawingml/2006/picture">
                      <pic:pic>
                        <pic:nvPicPr>
                          <pic:cNvPr descr="../Plots/ied_ratios_2024.png" id="116" name="Picture"/>
                          <pic:cNvPicPr>
                            <a:picLocks noChangeArrowheads="1" noChangeAspect="1"/>
                          </pic:cNvPicPr>
                        </pic:nvPicPr>
                        <pic:blipFill>
                          <a:blip r:embed="rId114"/>
                          <a:stretch>
                            <a:fillRect/>
                          </a:stretch>
                        </pic:blipFill>
                        <pic:spPr bwMode="auto">
                          <a:xfrm>
                            <a:off x="0" y="0"/>
                            <a:ext cx="5486400" cy="4389120"/>
                          </a:xfrm>
                          <a:prstGeom prst="rect">
                            <a:avLst/>
                          </a:prstGeom>
                          <a:noFill/>
                          <a:ln w="9525">
                            <a:noFill/>
                            <a:headEnd/>
                            <a:tailEnd/>
                          </a:ln>
                        </pic:spPr>
                      </pic:pic>
                    </a:graphicData>
                  </a:graphic>
                </wp:inline>
              </w:drawing>
            </w:r>
          </w:p>
          <w:bookmarkEnd w:id="117"/>
        </w:tc>
      </w:tr>
    </w:tbl>
    <w:p>
      <w:pPr>
        <w:pStyle w:val="BodyText"/>
      </w:pPr>
      <w:r>
        <w:t xml:space="preserve">Este pobre desempeño en atracción de IED no refleja una tendencia general en los países con los que México compite en el mercado de EUA. En la</w:t>
      </w:r>
      <w:r>
        <w:t xml:space="preserve"> </w:t>
      </w:r>
      <w:hyperlink w:anchor="fig-ied-pib-comparadores">
        <w:r>
          <w:rPr>
            <w:rStyle w:val="Hyperlink"/>
          </w:rPr>
          <w:t xml:space="preserve">Figura 18</w:t>
        </w:r>
      </w:hyperlink>
      <w:r>
        <w:t xml:space="preserve"> </w:t>
      </w:r>
      <w:r>
        <w:t xml:space="preserve">se muestra la IED como porcentaje del PIB para Costa Rica, México, R. Dominicana y Vietnam (los puntos en el gráfico) así como su tendencia lineal. De los cuatro países, México es sistemáticamente el que recibe menos inversión como porcentaje del PIB.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21" w:name="fig-ied-pib-comparadores"/>
          <w:p>
            <w:pPr>
              <w:jc w:val="center"/>
            </w:pPr>
            <w:pPr>
              <w:jc w:val="left"/>
              <w:spacing w:before="200"/>
              <w:pStyle w:val="ImageCaption"/>
            </w:pPr>
            <w:r>
              <w:t xml:space="preserve">Figura 18: IED como porcentaje del PIB. Costa Rica, México, R. Dominicana y Vietnam, 2010-2024</w:t>
            </w:r>
          </w:p>
          <w:p>
            <w:pPr>
              <w:pStyle w:val="Compact"/>
              <w:jc w:val="center"/>
            </w:pPr>
            <w:r>
              <w:drawing>
                <wp:inline>
                  <wp:extent cx="5486400" cy="3352800"/>
                  <wp:effectExtent b="0" l="0" r="0" t="0"/>
                  <wp:docPr descr="" title="" id="119" name="Picture"/>
                  <a:graphic>
                    <a:graphicData uri="http://schemas.openxmlformats.org/drawingml/2006/picture">
                      <pic:pic>
                        <pic:nvPicPr>
                          <pic:cNvPr descr="../Plots/ied_pib_comparativo_wdi_2024.png" id="120" name="Picture"/>
                          <pic:cNvPicPr>
                            <a:picLocks noChangeArrowheads="1" noChangeAspect="1"/>
                          </pic:cNvPicPr>
                        </pic:nvPicPr>
                        <pic:blipFill>
                          <a:blip r:embed="rId118"/>
                          <a:stretch>
                            <a:fillRect/>
                          </a:stretch>
                        </pic:blipFill>
                        <pic:spPr bwMode="auto">
                          <a:xfrm>
                            <a:off x="0" y="0"/>
                            <a:ext cx="5486400" cy="3352800"/>
                          </a:xfrm>
                          <a:prstGeom prst="rect">
                            <a:avLst/>
                          </a:prstGeom>
                          <a:noFill/>
                          <a:ln w="9525">
                            <a:noFill/>
                            <a:headEnd/>
                            <a:tailEnd/>
                          </a:ln>
                        </pic:spPr>
                      </pic:pic>
                    </a:graphicData>
                  </a:graphic>
                </wp:inline>
              </w:drawing>
            </w:r>
          </w:p>
          <w:bookmarkEnd w:id="121"/>
        </w:tc>
      </w:tr>
    </w:tbl>
    <w:p>
      <w:pPr>
        <w:pStyle w:val="BodyText"/>
      </w:pPr>
      <w:r>
        <w:t xml:space="preserve">Dado que la IED solo representa alrededor del 12% de la inversión total del país, resulta apropiado analizar el comportamiento de la FBCF. La FBCF privada creció de manera considerable en años recientes tras la recuperación de la pandemia, lo que contrasta además con la caída de la inversión pública. A precios de 2018, la FBCF privada anual promedio pasó de 4,389 mil MDP en 2010-2017 a 5,239 mil MDP en 2022-2024, un crecimiento de 19.4%. En contraste, la FBCF pública cayó de 922 a 647 mil MDP (-29.8%). A pesar de la caída de la inversión pública, la inversión anual promedio total creció 10.8% entre ambos periodos, dado que el sector privado origina alrededor del 84% de la FBCF nacional.</w:t>
      </w:r>
    </w:p>
    <w:tbl>
      <w:tblPr>
        <w:tblStyle w:val="Table"/>
        <w:tblW w:type="pct" w:w="5000"/>
        <w:tblLayout w:type="fixed"/>
        <w:tblLook w:firstRow="0" w:lastRow="0" w:firstColumn="0" w:lastColumn="0" w:noHBand="0" w:noVBand="0" w:val="0000"/>
      </w:tblPr>
      <w:tblGrid>
        <w:gridCol w:w="7920"/>
      </w:tblGrid>
      <w:tr>
        <w:tc>
          <w:tcPr/>
          <w:bookmarkStart w:id="125" w:name="fig-fbcf-publica-privada"/>
          <w:p>
            <w:pPr>
              <w:jc w:val="center"/>
            </w:pPr>
            <w:pPr>
              <w:jc w:val="left"/>
              <w:spacing w:before="200"/>
              <w:pStyle w:val="ImageCaption"/>
            </w:pPr>
            <w:r>
              <w:t xml:space="preserve">Figura 19: México. Formación bruta de capital fijo, pública y privada, 2010-2024</w:t>
            </w:r>
          </w:p>
          <w:p>
            <w:pPr>
              <w:pStyle w:val="Compact"/>
              <w:jc w:val="center"/>
            </w:pPr>
            <w:r>
              <w:drawing>
                <wp:inline>
                  <wp:extent cx="5486400" cy="3017520"/>
                  <wp:effectExtent b="0" l="0" r="0" t="0"/>
                  <wp:docPr descr="" title="" id="123" name="Picture"/>
                  <a:graphic>
                    <a:graphicData uri="http://schemas.openxmlformats.org/drawingml/2006/picture">
                      <pic:pic>
                        <pic:nvPicPr>
                          <pic:cNvPr descr="../Plots/ied_fbcf_privada_publica_2024.png" id="124" name="Picture"/>
                          <pic:cNvPicPr>
                            <a:picLocks noChangeArrowheads="1" noChangeAspect="1"/>
                          </pic:cNvPicPr>
                        </pic:nvPicPr>
                        <pic:blipFill>
                          <a:blip r:embed="rId122"/>
                          <a:stretch>
                            <a:fillRect/>
                          </a:stretch>
                        </pic:blipFill>
                        <pic:spPr bwMode="auto">
                          <a:xfrm>
                            <a:off x="0" y="0"/>
                            <a:ext cx="5486400" cy="3017520"/>
                          </a:xfrm>
                          <a:prstGeom prst="rect">
                            <a:avLst/>
                          </a:prstGeom>
                          <a:noFill/>
                          <a:ln w="9525">
                            <a:noFill/>
                            <a:headEnd/>
                            <a:tailEnd/>
                          </a:ln>
                        </pic:spPr>
                      </pic:pic>
                    </a:graphicData>
                  </a:graphic>
                </wp:inline>
              </w:drawing>
            </w:r>
          </w:p>
          <w:bookmarkEnd w:id="125"/>
        </w:tc>
      </w:tr>
    </w:tbl>
    <w:p>
      <w:pPr>
        <w:pStyle w:val="BodyText"/>
      </w:pPr>
      <w:r>
        <w:t xml:space="preserve">El crecimiento de la FBCF por tipo de bien sugiere que el sector privado está expandiendo capacidad productiva e importando bienes de capital para nuevos procesos. Por tipo de bien, la FBCF anual promedio privada en construcción (que representa el 55% de la inversión privada) creció 15.1% entre 2010-2017 y 2022-2024, mientras que en Maquinaria y equipo (que representa el otro 45%) creció 23.5%.</w:t>
      </w:r>
    </w:p>
    <w:tbl>
      <w:tblPr>
        <w:tblStyle w:val="Table"/>
        <w:tblW w:type="pct" w:w="5000"/>
        <w:tblLayout w:type="fixed"/>
        <w:tblLook w:firstRow="0" w:lastRow="0" w:firstColumn="0" w:lastColumn="0" w:noHBand="0" w:noVBand="0" w:val="0000"/>
      </w:tblPr>
      <w:tblGrid>
        <w:gridCol w:w="7920"/>
      </w:tblGrid>
      <w:tr>
        <w:tc>
          <w:tcPr/>
          <w:bookmarkStart w:id="129" w:name="fig-fbcf-tipo-bien"/>
          <w:p>
            <w:pPr>
              <w:jc w:val="center"/>
            </w:pPr>
            <w:pPr>
              <w:jc w:val="left"/>
              <w:spacing w:before="200"/>
              <w:pStyle w:val="ImageCaption"/>
            </w:pPr>
            <w:r>
              <w:t xml:space="preserve">Figura 20: México. FBCF privada por tipo de bien: construcción y maquinaria y equipo, 2010-2024</w:t>
            </w:r>
          </w:p>
          <w:p>
            <w:pPr>
              <w:pStyle w:val="Compact"/>
              <w:jc w:val="center"/>
            </w:pPr>
            <w:r>
              <w:drawing>
                <wp:inline>
                  <wp:extent cx="5486400" cy="3017520"/>
                  <wp:effectExtent b="0" l="0" r="0" t="0"/>
                  <wp:docPr descr="" title="" id="127" name="Picture"/>
                  <a:graphic>
                    <a:graphicData uri="http://schemas.openxmlformats.org/drawingml/2006/picture">
                      <pic:pic>
                        <pic:nvPicPr>
                          <pic:cNvPr descr="../Plots/ied_fbcf_privada_por_tipo_bien_2024.png" id="128" name="Picture"/>
                          <pic:cNvPicPr>
                            <a:picLocks noChangeArrowheads="1" noChangeAspect="1"/>
                          </pic:cNvPicPr>
                        </pic:nvPicPr>
                        <pic:blipFill>
                          <a:blip r:embed="rId126"/>
                          <a:stretch>
                            <a:fillRect/>
                          </a:stretch>
                        </pic:blipFill>
                        <pic:spPr bwMode="auto">
                          <a:xfrm>
                            <a:off x="0" y="0"/>
                            <a:ext cx="5486400" cy="3017520"/>
                          </a:xfrm>
                          <a:prstGeom prst="rect">
                            <a:avLst/>
                          </a:prstGeom>
                          <a:noFill/>
                          <a:ln w="9525">
                            <a:noFill/>
                            <a:headEnd/>
                            <a:tailEnd/>
                          </a:ln>
                        </pic:spPr>
                      </pic:pic>
                    </a:graphicData>
                  </a:graphic>
                </wp:inline>
              </w:drawing>
            </w:r>
          </w:p>
          <w:bookmarkEnd w:id="129"/>
        </w:tc>
      </w:tr>
    </w:tbl>
    <w:bookmarkEnd w:id="130"/>
    <w:bookmarkStart w:id="139" w:name="la-distribución-sectorial-de-la-ied"/>
    <w:p>
      <w:pPr>
        <w:pStyle w:val="Heading3"/>
      </w:pPr>
      <w:r>
        <w:t xml:space="preserve">5.3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21</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34" w:name="fig-ied-actividad-combinado"/>
          <w:p>
            <w:pPr>
              <w:jc w:val="center"/>
            </w:pPr>
            <w:pPr>
              <w:jc w:val="left"/>
              <w:spacing w:before="200"/>
              <w:pStyle w:val="ImageCaption"/>
            </w:pPr>
            <w:r>
              <w:t xml:space="preserve">Figura 21: IED en México: total, manufactura (sectores 31–33) y resto, 2010–2024.</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32" name="Picture"/>
                  <a:graphic>
                    <a:graphicData uri="http://schemas.openxmlformats.org/drawingml/2006/picture">
                      <pic:pic>
                        <pic:nvPicPr>
                          <pic:cNvPr descr="../Plots/ied_actividad_combinado_2024.png" id="133" name="Picture"/>
                          <pic:cNvPicPr>
                            <a:picLocks noChangeArrowheads="1" noChangeAspect="1"/>
                          </pic:cNvPicPr>
                        </pic:nvPicPr>
                        <pic:blipFill>
                          <a:blip r:embed="rId131"/>
                          <a:stretch>
                            <a:fillRect/>
                          </a:stretch>
                        </pic:blipFill>
                        <pic:spPr bwMode="auto">
                          <a:xfrm>
                            <a:off x="0" y="0"/>
                            <a:ext cx="5486400" cy="5486400"/>
                          </a:xfrm>
                          <a:prstGeom prst="rect">
                            <a:avLst/>
                          </a:prstGeom>
                          <a:noFill/>
                          <a:ln w="9525">
                            <a:noFill/>
                            <a:headEnd/>
                            <a:tailEnd/>
                          </a:ln>
                        </pic:spPr>
                      </pic:pic>
                    </a:graphicData>
                  </a:graphic>
                </wp:inline>
              </w:drawing>
            </w:r>
          </w:p>
          <w:bookmarkEnd w:id="134"/>
        </w:tc>
      </w:tr>
    </w:tbl>
    <w:p>
      <w:pPr>
        <w:pStyle w:val="BodyText"/>
      </w:pPr>
      <w:r>
        <w:t xml:space="preserve">En la</w:t>
      </w:r>
      <w:r>
        <w:t xml:space="preserve"> </w:t>
      </w:r>
      <w:hyperlink w:anchor="fig-ied-manuf-subsector">
        <w:r>
          <w:rPr>
            <w:rStyle w:val="Hyperlink"/>
          </w:rPr>
          <w:t xml:space="preserve">Figura 22</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38" w:name="fig-ied-manuf-subsector"/>
          <w:p>
            <w:pPr>
              <w:jc w:val="center"/>
            </w:pPr>
            <w:pPr>
              <w:jc w:val="left"/>
              <w:spacing w:before="200"/>
              <w:pStyle w:val="ImageCaption"/>
            </w:pPr>
            <w:r>
              <w:t xml:space="preserve">Figura 22: IED en México: industrias manufactureras (31-33) por subsector, 2010–2024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36" name="Picture"/>
                  <a:graphic>
                    <a:graphicData uri="http://schemas.openxmlformats.org/drawingml/2006/picture">
                      <pic:pic>
                        <pic:nvPicPr>
                          <pic:cNvPr descr="../Plots/ied_manuf_subsector_2024.png" id="137" name="Picture"/>
                          <pic:cNvPicPr>
                            <a:picLocks noChangeArrowheads="1" noChangeAspect="1"/>
                          </pic:cNvPicPr>
                        </pic:nvPicPr>
                        <pic:blipFill>
                          <a:blip r:embed="rId135"/>
                          <a:stretch>
                            <a:fillRect/>
                          </a:stretch>
                        </pic:blipFill>
                        <pic:spPr bwMode="auto">
                          <a:xfrm>
                            <a:off x="0" y="0"/>
                            <a:ext cx="5486400" cy="5486400"/>
                          </a:xfrm>
                          <a:prstGeom prst="rect">
                            <a:avLst/>
                          </a:prstGeom>
                          <a:noFill/>
                          <a:ln w="9525">
                            <a:noFill/>
                            <a:headEnd/>
                            <a:tailEnd/>
                          </a:ln>
                        </pic:spPr>
                      </pic:pic>
                    </a:graphicData>
                  </a:graphic>
                </wp:inline>
              </w:drawing>
            </w:r>
          </w:p>
          <w:bookmarkEnd w:id="138"/>
        </w:tc>
      </w:tr>
    </w:tbl>
    <w:bookmarkEnd w:id="139"/>
    <w:bookmarkStart w:id="160" w:name="los-anuncios-de-inversión"/>
    <w:p>
      <w:pPr>
        <w:pStyle w:val="Heading3"/>
      </w:pPr>
      <w:r>
        <w:t xml:space="preserve">5.4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tbl>
      <w:tblPr>
        <w:tblStyle w:val="Table"/>
        <w:tblW w:type="pct" w:w="5000"/>
        <w:tblLayout w:type="fixed"/>
        <w:tblLook w:firstRow="0" w:lastRow="0" w:firstColumn="0" w:lastColumn="0" w:noHBand="0" w:noVBand="0" w:val="0000"/>
      </w:tblPr>
      <w:tblGrid>
        <w:gridCol w:w="7920"/>
      </w:tblGrid>
      <w:tr>
        <w:tc>
          <w:tcPr/>
          <w:bookmarkStart w:id="143" w:name="fig-capex-tipo-inversion"/>
          <w:p>
            <w:pPr>
              <w:jc w:val="center"/>
            </w:pPr>
            <w:pPr>
              <w:jc w:val="left"/>
              <w:spacing w:before="200"/>
              <w:pStyle w:val="ImageCaption"/>
            </w:pPr>
            <w:r>
              <w:t xml:space="preserve">Figura 23: CAPEX de proyectos de IED de manufactura anunciados en México, por tipo de inversión (MDD)</w:t>
            </w:r>
          </w:p>
          <w:p>
            <w:pPr>
              <w:pStyle w:val="Compact"/>
              <w:jc w:val="center"/>
            </w:pPr>
            <w:r>
              <w:drawing>
                <wp:inline>
                  <wp:extent cx="5256603" cy="3992720"/>
                  <wp:effectExtent b="0" l="0" r="0" t="0"/>
                  <wp:docPr descr="" title="" id="141" name="Picture"/>
                  <a:graphic>
                    <a:graphicData uri="http://schemas.openxmlformats.org/drawingml/2006/picture">
                      <pic:pic>
                        <pic:nvPicPr>
                          <pic:cNvPr descr="../Plots/zafra-capex-tipo.png" id="142" name="Picture"/>
                          <pic:cNvPicPr>
                            <a:picLocks noChangeArrowheads="1" noChangeAspect="1"/>
                          </pic:cNvPicPr>
                        </pic:nvPicPr>
                        <pic:blipFill>
                          <a:blip r:embed="rId140"/>
                          <a:stretch>
                            <a:fillRect/>
                          </a:stretch>
                        </pic:blipFill>
                        <pic:spPr bwMode="auto">
                          <a:xfrm>
                            <a:off x="0" y="0"/>
                            <a:ext cx="5256603" cy="3992720"/>
                          </a:xfrm>
                          <a:prstGeom prst="rect">
                            <a:avLst/>
                          </a:prstGeom>
                          <a:noFill/>
                          <a:ln w="9525">
                            <a:noFill/>
                            <a:headEnd/>
                            <a:tailEnd/>
                          </a:ln>
                        </pic:spPr>
                      </pic:pic>
                    </a:graphicData>
                  </a:graphic>
                </wp:inline>
              </w:drawing>
            </w:r>
          </w:p>
          <w:bookmarkEnd w:id="143"/>
        </w:tc>
      </w:tr>
    </w:tbl>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tbl>
      <w:tblPr>
        <w:tblStyle w:val="Table"/>
        <w:tblW w:type="pct" w:w="5000"/>
        <w:tblLayout w:type="fixed"/>
        <w:tblLook w:firstRow="0" w:lastRow="0" w:firstColumn="0" w:lastColumn="0" w:noHBand="0" w:noVBand="0" w:val="0000"/>
      </w:tblPr>
      <w:tblGrid>
        <w:gridCol w:w="7920"/>
      </w:tblGrid>
      <w:tr>
        <w:tc>
          <w:tcPr/>
          <w:bookmarkStart w:id="147" w:name="fig-capex-sectores"/>
          <w:p>
            <w:pPr>
              <w:jc w:val="center"/>
            </w:pPr>
            <w:pPr>
              <w:jc w:val="left"/>
              <w:spacing w:before="200"/>
              <w:pStyle w:val="ImageCaption"/>
            </w:pPr>
            <w:r>
              <w:t xml:space="preserve">Figura 24: CAPEX de proyectos de IED de manufactura anunciados en México: sectores con incrementos en 2022-2024 (MDD)</w:t>
            </w:r>
          </w:p>
          <w:p>
            <w:pPr>
              <w:pStyle w:val="Compact"/>
              <w:jc w:val="center"/>
            </w:pPr>
            <w:r>
              <w:drawing>
                <wp:inline>
                  <wp:extent cx="5285327" cy="4031019"/>
                  <wp:effectExtent b="0" l="0" r="0" t="0"/>
                  <wp:docPr descr="" title="" id="145" name="Picture"/>
                  <a:graphic>
                    <a:graphicData uri="http://schemas.openxmlformats.org/drawingml/2006/picture">
                      <pic:pic>
                        <pic:nvPicPr>
                          <pic:cNvPr descr="../Plots/zafra-capex-sectores.png" id="146" name="Picture"/>
                          <pic:cNvPicPr>
                            <a:picLocks noChangeArrowheads="1" noChangeAspect="1"/>
                          </pic:cNvPicPr>
                        </pic:nvPicPr>
                        <pic:blipFill>
                          <a:blip r:embed="rId144"/>
                          <a:stretch>
                            <a:fillRect/>
                          </a:stretch>
                        </pic:blipFill>
                        <pic:spPr bwMode="auto">
                          <a:xfrm>
                            <a:off x="0" y="0"/>
                            <a:ext cx="5285327" cy="4031019"/>
                          </a:xfrm>
                          <a:prstGeom prst="rect">
                            <a:avLst/>
                          </a:prstGeom>
                          <a:noFill/>
                          <a:ln w="9525">
                            <a:noFill/>
                            <a:headEnd/>
                            <a:tailEnd/>
                          </a:ln>
                        </pic:spPr>
                      </pic:pic>
                    </a:graphicData>
                  </a:graphic>
                </wp:inline>
              </w:drawing>
            </w:r>
          </w:p>
          <w:bookmarkEnd w:id="147"/>
        </w:tc>
      </w:tr>
    </w:tbl>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tbl>
      <w:tblPr>
        <w:tblStyle w:val="Table"/>
        <w:tblW w:type="pct" w:w="5000"/>
        <w:tblLayout w:type="fixed"/>
        <w:tblLook w:firstRow="0" w:lastRow="0" w:firstColumn="0" w:lastColumn="0" w:noHBand="0" w:noVBand="0" w:val="0000"/>
      </w:tblPr>
      <w:tblGrid>
        <w:gridCol w:w="7920"/>
      </w:tblGrid>
      <w:tr>
        <w:tc>
          <w:tcPr/>
          <w:bookmarkStart w:id="151" w:name="tbl-capex-region"/>
          <w:p>
            <w:pPr>
              <w:jc w:val="center"/>
            </w:pPr>
            <w:pPr>
              <w:jc w:val="left"/>
              <w:spacing w:before="200"/>
              <w:pStyle w:val="ImageCaption"/>
            </w:pPr>
            <w:r>
              <w:t xml:space="preserve">Tabla 6: CAPEX de anuncios de inversión de manufactura en México por región (MDD)</w:t>
            </w:r>
          </w:p>
          <w:p>
            <w:pPr>
              <w:jc w:val="center"/>
            </w:pPr>
            <w:r>
              <w:drawing>
                <wp:inline>
                  <wp:extent cx="5026806" cy="6625809"/>
                  <wp:effectExtent b="0" l="0" r="0" t="0"/>
                  <wp:docPr descr="" title="" id="149" name="Picture"/>
                  <a:graphic>
                    <a:graphicData uri="http://schemas.openxmlformats.org/drawingml/2006/picture">
                      <pic:pic>
                        <pic:nvPicPr>
                          <pic:cNvPr descr="../Plots/zafra-capex-region.png" id="150" name="Picture"/>
                          <pic:cNvPicPr>
                            <a:picLocks noChangeArrowheads="1" noChangeAspect="1"/>
                          </pic:cNvPicPr>
                        </pic:nvPicPr>
                        <pic:blipFill>
                          <a:blip r:embed="rId148"/>
                          <a:stretch>
                            <a:fillRect/>
                          </a:stretch>
                        </pic:blipFill>
                        <pic:spPr bwMode="auto">
                          <a:xfrm>
                            <a:off x="0" y="0"/>
                            <a:ext cx="5026806" cy="6625809"/>
                          </a:xfrm>
                          <a:prstGeom prst="rect">
                            <a:avLst/>
                          </a:prstGeom>
                          <a:noFill/>
                          <a:ln w="9525">
                            <a:noFill/>
                            <a:headEnd/>
                            <a:tailEnd/>
                          </a:ln>
                        </pic:spPr>
                      </pic:pic>
                    </a:graphicData>
                  </a:graphic>
                </wp:inline>
              </w:drawing>
            </w:r>
          </w:p>
          <w:bookmarkEnd w:id="151"/>
        </w:tc>
      </w:tr>
    </w:tbl>
    <w:tbl>
      <w:tblPr>
        <w:tblStyle w:val="Table"/>
        <w:tblW w:type="pct" w:w="5000"/>
        <w:tblLayout w:type="fixed"/>
        <w:tblLook w:firstRow="0" w:lastRow="0" w:firstColumn="0" w:lastColumn="0" w:noHBand="0" w:noVBand="0" w:val="0000"/>
      </w:tblPr>
      <w:tblGrid>
        <w:gridCol w:w="7920"/>
      </w:tblGrid>
      <w:tr>
        <w:tc>
          <w:tcPr/>
          <w:bookmarkStart w:id="155" w:name="fig-capex-pais-origen"/>
          <w:p>
            <w:pPr>
              <w:jc w:val="center"/>
            </w:pPr>
            <w:pPr>
              <w:jc w:val="left"/>
              <w:spacing w:before="200"/>
              <w:pStyle w:val="ImageCaption"/>
            </w:pPr>
            <w:r>
              <w:t xml:space="preserve">Figura 25: CAPEX de anuncios de inversión en México, principales países de origen</w:t>
            </w:r>
          </w:p>
          <w:p>
            <w:pPr>
              <w:pStyle w:val="Compact"/>
              <w:jc w:val="center"/>
            </w:pPr>
            <w:r>
              <w:drawing>
                <wp:inline>
                  <wp:extent cx="4969357" cy="2642663"/>
                  <wp:effectExtent b="0" l="0" r="0" t="0"/>
                  <wp:docPr descr="" title="" id="153" name="Picture"/>
                  <a:graphic>
                    <a:graphicData uri="http://schemas.openxmlformats.org/drawingml/2006/picture">
                      <pic:pic>
                        <pic:nvPicPr>
                          <pic:cNvPr descr="../Plots/zafra-capex-plotregion.png" id="154" name="Picture"/>
                          <pic:cNvPicPr>
                            <a:picLocks noChangeArrowheads="1" noChangeAspect="1"/>
                          </pic:cNvPicPr>
                        </pic:nvPicPr>
                        <pic:blipFill>
                          <a:blip r:embed="rId152"/>
                          <a:stretch>
                            <a:fillRect/>
                          </a:stretch>
                        </pic:blipFill>
                        <pic:spPr bwMode="auto">
                          <a:xfrm>
                            <a:off x="0" y="0"/>
                            <a:ext cx="4969357" cy="2642663"/>
                          </a:xfrm>
                          <a:prstGeom prst="rect">
                            <a:avLst/>
                          </a:prstGeom>
                          <a:noFill/>
                          <a:ln w="9525">
                            <a:noFill/>
                            <a:headEnd/>
                            <a:tailEnd/>
                          </a:ln>
                        </pic:spPr>
                      </pic:pic>
                    </a:graphicData>
                  </a:graphic>
                </wp:inline>
              </w:drawing>
            </w:r>
          </w:p>
          <w:bookmarkEnd w:id="155"/>
        </w:tc>
      </w:tr>
    </w:tbl>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tbl>
      <w:tblPr>
        <w:tblStyle w:val="Table"/>
        <w:tblW w:type="pct" w:w="5000"/>
        <w:tblLayout w:type="fixed"/>
        <w:tblLook w:firstRow="0" w:lastRow="0" w:firstColumn="0" w:lastColumn="0" w:noHBand="0" w:noVBand="0" w:val="0000"/>
      </w:tblPr>
      <w:tblGrid>
        <w:gridCol w:w="7920"/>
      </w:tblGrid>
      <w:tr>
        <w:tc>
          <w:tcPr/>
          <w:bookmarkStart w:id="159" w:name="fig-capex-pais-origen2"/>
          <w:p>
            <w:pPr>
              <w:jc w:val="center"/>
            </w:pPr>
            <w:pPr>
              <w:jc w:val="left"/>
              <w:spacing w:before="200"/>
              <w:pStyle w:val="ImageCaption"/>
            </w:pPr>
            <w:r>
              <w:t xml:space="preserve">Figura 26: CAPEX de anuncios de inversión en México, principales países de origen</w:t>
            </w:r>
          </w:p>
          <w:p>
            <w:pPr>
              <w:pStyle w:val="Compact"/>
              <w:jc w:val="center"/>
            </w:pPr>
            <w:r>
              <w:drawing>
                <wp:inline>
                  <wp:extent cx="4260816" cy="4749135"/>
                  <wp:effectExtent b="0" l="0" r="0" t="0"/>
                  <wp:docPr descr="" title="" id="157" name="Picture"/>
                  <a:graphic>
                    <a:graphicData uri="http://schemas.openxmlformats.org/drawingml/2006/picture">
                      <pic:pic>
                        <pic:nvPicPr>
                          <pic:cNvPr descr="../Plots/zafra-capex-origen.png" id="158" name="Picture"/>
                          <pic:cNvPicPr>
                            <a:picLocks noChangeArrowheads="1" noChangeAspect="1"/>
                          </pic:cNvPicPr>
                        </pic:nvPicPr>
                        <pic:blipFill>
                          <a:blip r:embed="rId156"/>
                          <a:stretch>
                            <a:fillRect/>
                          </a:stretch>
                        </pic:blipFill>
                        <pic:spPr bwMode="auto">
                          <a:xfrm>
                            <a:off x="0" y="0"/>
                            <a:ext cx="4260816" cy="4749135"/>
                          </a:xfrm>
                          <a:prstGeom prst="rect">
                            <a:avLst/>
                          </a:prstGeom>
                          <a:noFill/>
                          <a:ln w="9525">
                            <a:noFill/>
                            <a:headEnd/>
                            <a:tailEnd/>
                          </a:ln>
                        </pic:spPr>
                      </pic:pic>
                    </a:graphicData>
                  </a:graphic>
                </wp:inline>
              </w:drawing>
            </w:r>
          </w:p>
          <w:bookmarkEnd w:id="159"/>
        </w:tc>
      </w:tr>
    </w:tbl>
    <w:bookmarkEnd w:id="160"/>
    <w:bookmarkStart w:id="184" w:name="desarrollo-inmobiliario-industrial"/>
    <w:p>
      <w:pPr>
        <w:pStyle w:val="Heading3"/>
      </w:pPr>
      <w:r>
        <w:t xml:space="preserve">5.5 Desarrollo inmobiliario industrial</w:t>
      </w:r>
    </w:p>
    <w:p>
      <w:pPr>
        <w:pStyle w:val="FirstParagraph"/>
      </w:pPr>
      <w:r>
        <w:t xml:space="preserve">El impacto del nearshoring también se evidencia en la demanda de suelo industrial. Según CBRE</w:t>
      </w:r>
      <w:r>
        <w:rPr>
          <w:rStyle w:val="FootnoteReference"/>
        </w:rPr>
        <w:footnoteReference w:id="161"/>
      </w:r>
      <w:r>
        <w:t xml:space="preserve">, la demanda anual de bienes raíces industriales atribuida al nearshoring</w:t>
      </w:r>
      <w:r>
        <w:rPr>
          <w:rStyle w:val="FootnoteReference"/>
        </w:rPr>
        <w:footnoteReference w:id="162"/>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66" w:name="fig-absorcion-bruta-nearshoring"/>
          <w:p>
            <w:pPr>
              <w:jc w:val="center"/>
            </w:pPr>
            <w:pPr>
              <w:jc w:val="left"/>
              <w:spacing w:before="200"/>
              <w:pStyle w:val="ImageCaption"/>
            </w:pPr>
            <w:r>
              <w:t xml:space="preserve">Figura 27: Absorción bruta de inmuebles industriales atribuidos al nearshoring (millones de pies cuadrados)</w:t>
            </w:r>
          </w:p>
          <w:p>
            <w:pPr>
              <w:pStyle w:val="Compact"/>
              <w:jc w:val="center"/>
            </w:pPr>
            <w:r>
              <w:drawing>
                <wp:inline>
                  <wp:extent cx="5160854" cy="3111832"/>
                  <wp:effectExtent b="0" l="0" r="0" t="0"/>
                  <wp:docPr descr="" title="" id="164" name="Picture"/>
                  <a:graphic>
                    <a:graphicData uri="http://schemas.openxmlformats.org/drawingml/2006/picture">
                      <pic:pic>
                        <pic:nvPicPr>
                          <pic:cNvPr descr="../Plots/zafra-absorcion.png" id="165" name="Picture"/>
                          <pic:cNvPicPr>
                            <a:picLocks noChangeArrowheads="1" noChangeAspect="1"/>
                          </pic:cNvPicPr>
                        </pic:nvPicPr>
                        <pic:blipFill>
                          <a:blip r:embed="rId163"/>
                          <a:stretch>
                            <a:fillRect/>
                          </a:stretch>
                        </pic:blipFill>
                        <pic:spPr bwMode="auto">
                          <a:xfrm>
                            <a:off x="0" y="0"/>
                            <a:ext cx="5160854" cy="3111832"/>
                          </a:xfrm>
                          <a:prstGeom prst="rect">
                            <a:avLst/>
                          </a:prstGeom>
                          <a:noFill/>
                          <a:ln w="9525">
                            <a:noFill/>
                            <a:headEnd/>
                            <a:tailEnd/>
                          </a:ln>
                        </pic:spPr>
                      </pic:pic>
                    </a:graphicData>
                  </a:graphic>
                </wp:inline>
              </w:drawing>
            </w:r>
          </w:p>
          <w:bookmarkEnd w:id="166"/>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tbl>
      <w:tblPr>
        <w:tblStyle w:val="Table"/>
        <w:tblW w:type="pct" w:w="5000"/>
        <w:tblLayout w:type="fixed"/>
        <w:tblLook w:firstRow="0" w:lastRow="0" w:firstColumn="0" w:lastColumn="0" w:noHBand="0" w:noVBand="0" w:val="0000"/>
      </w:tblPr>
      <w:tblGrid>
        <w:gridCol w:w="7920"/>
      </w:tblGrid>
      <w:tr>
        <w:tc>
          <w:tcPr/>
          <w:bookmarkStart w:id="170" w:name="fig-absorcion-estado"/>
          <w:p>
            <w:pPr>
              <w:jc w:val="center"/>
            </w:pPr>
            <w:pPr>
              <w:jc w:val="left"/>
              <w:spacing w:before="200"/>
              <w:pStyle w:val="ImageCaption"/>
            </w:pPr>
            <w:r>
              <w:t xml:space="preserve">Figura 28: Absorción bruta de inmuebles industriales atribuidos al nearshoring, por estado (% del total): 2022, 2023, 2024</w:t>
            </w:r>
          </w:p>
          <w:p>
            <w:pPr>
              <w:pStyle w:val="Compact"/>
              <w:jc w:val="center"/>
            </w:pPr>
            <w:r>
              <w:drawing>
                <wp:inline>
                  <wp:extent cx="4624661" cy="5333202"/>
                  <wp:effectExtent b="0" l="0" r="0" t="0"/>
                  <wp:docPr descr="" title="" id="168" name="Picture"/>
                  <a:graphic>
                    <a:graphicData uri="http://schemas.openxmlformats.org/drawingml/2006/picture">
                      <pic:pic>
                        <pic:nvPicPr>
                          <pic:cNvPr descr="../Plots/zafra-absorcion-region.png" id="169" name="Picture"/>
                          <pic:cNvPicPr>
                            <a:picLocks noChangeArrowheads="1" noChangeAspect="1"/>
                          </pic:cNvPicPr>
                        </pic:nvPicPr>
                        <pic:blipFill>
                          <a:blip r:embed="rId167"/>
                          <a:stretch>
                            <a:fillRect/>
                          </a:stretch>
                        </pic:blipFill>
                        <pic:spPr bwMode="auto">
                          <a:xfrm>
                            <a:off x="0" y="0"/>
                            <a:ext cx="4624661" cy="5333202"/>
                          </a:xfrm>
                          <a:prstGeom prst="rect">
                            <a:avLst/>
                          </a:prstGeom>
                          <a:noFill/>
                          <a:ln w="9525">
                            <a:noFill/>
                            <a:headEnd/>
                            <a:tailEnd/>
                          </a:ln>
                        </pic:spPr>
                      </pic:pic>
                    </a:graphicData>
                  </a:graphic>
                </wp:inline>
              </w:drawing>
            </w:r>
          </w:p>
          <w:bookmarkEnd w:id="170"/>
        </w:tc>
      </w:tr>
    </w:tbl>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tbl>
      <w:tblPr>
        <w:tblStyle w:val="Table"/>
        <w:tblW w:type="pct" w:w="5000"/>
        <w:tblLayout w:type="fixed"/>
        <w:tblLook w:firstRow="0" w:lastRow="0" w:firstColumn="0" w:lastColumn="0" w:noHBand="0" w:noVBand="0" w:val="0000"/>
      </w:tblPr>
      <w:tblGrid>
        <w:gridCol w:w="7920"/>
      </w:tblGrid>
      <w:tr>
        <w:tc>
          <w:tcPr/>
          <w:bookmarkStart w:id="174" w:name="fig-demanda-sector-origen"/>
          <w:p>
            <w:pPr>
              <w:jc w:val="center"/>
            </w:pPr>
            <w:pPr>
              <w:jc w:val="left"/>
              <w:spacing w:before="200"/>
              <w:pStyle w:val="ImageCaption"/>
            </w:pPr>
            <w:r>
              <w:t xml:space="preserve">Figura 29: Absorción bruta de inmuebles industriales atribuidos al nearshoring por sector, (% del total)</w:t>
            </w:r>
          </w:p>
          <w:p>
            <w:pPr>
              <w:pStyle w:val="Compact"/>
              <w:jc w:val="center"/>
            </w:pPr>
            <w:r>
              <w:drawing>
                <wp:inline>
                  <wp:extent cx="4844883" cy="4701260"/>
                  <wp:effectExtent b="0" l="0" r="0" t="0"/>
                  <wp:docPr descr="" title="" id="172" name="Picture"/>
                  <a:graphic>
                    <a:graphicData uri="http://schemas.openxmlformats.org/drawingml/2006/picture">
                      <pic:pic>
                        <pic:nvPicPr>
                          <pic:cNvPr descr="../Plots/zafra-absorcion-sector.png" id="173" name="Picture"/>
                          <pic:cNvPicPr>
                            <a:picLocks noChangeArrowheads="1" noChangeAspect="1"/>
                          </pic:cNvPicPr>
                        </pic:nvPicPr>
                        <pic:blipFill>
                          <a:blip r:embed="rId171"/>
                          <a:stretch>
                            <a:fillRect/>
                          </a:stretch>
                        </pic:blipFill>
                        <pic:spPr bwMode="auto">
                          <a:xfrm>
                            <a:off x="0" y="0"/>
                            <a:ext cx="4844883" cy="4701260"/>
                          </a:xfrm>
                          <a:prstGeom prst="rect">
                            <a:avLst/>
                          </a:prstGeom>
                          <a:noFill/>
                          <a:ln w="9525">
                            <a:noFill/>
                            <a:headEnd/>
                            <a:tailEnd/>
                          </a:ln>
                        </pic:spPr>
                      </pic:pic>
                    </a:graphicData>
                  </a:graphic>
                </wp:inline>
              </w:drawing>
            </w:r>
          </w:p>
          <w:bookmarkEnd w:id="174"/>
        </w:tc>
      </w:tr>
    </w:tbl>
    <w:p>
      <w:pPr>
        <w:pStyle w:val="BodyText"/>
      </w:pPr>
      <w:r>
        <w:t xml:space="preserve">Por país de origen, China concentró el 37% de la demanda de suelo industrial por nearshoring entre 2019 y 2024, seguido por Estados Unidos (19%), Corea, Taiwán y Alemania (9% cada uno).</w:t>
      </w:r>
    </w:p>
    <w:tbl>
      <w:tblPr>
        <w:tblStyle w:val="Table"/>
        <w:tblW w:type="pct" w:w="5000"/>
        <w:tblLayout w:type="fixed"/>
        <w:tblLook w:firstRow="0" w:lastRow="0" w:firstColumn="0" w:lastColumn="0" w:noHBand="0" w:noVBand="0" w:val="0000"/>
      </w:tblPr>
      <w:tblGrid>
        <w:gridCol w:w="7920"/>
      </w:tblGrid>
      <w:tr>
        <w:tc>
          <w:tcPr/>
          <w:bookmarkStart w:id="178" w:name="fig-demanda-pais-origen"/>
          <w:p>
            <w:pPr>
              <w:jc w:val="center"/>
            </w:pPr>
            <w:pPr>
              <w:jc w:val="left"/>
              <w:spacing w:before="200"/>
              <w:pStyle w:val="ImageCaption"/>
            </w:pPr>
            <w:r>
              <w:t xml:space="preserve">Figura 30: Demanda de inmuebles industriales atribuidos al nearshoring entre 2019 y 2024, por país de origen (% del total)</w:t>
            </w:r>
          </w:p>
          <w:p>
            <w:pPr>
              <w:pStyle w:val="Compact"/>
              <w:jc w:val="center"/>
            </w:pPr>
            <w:r>
              <w:drawing>
                <wp:inline>
                  <wp:extent cx="4174642" cy="1685176"/>
                  <wp:effectExtent b="0" l="0" r="0" t="0"/>
                  <wp:docPr descr="" title="" id="176" name="Picture"/>
                  <a:graphic>
                    <a:graphicData uri="http://schemas.openxmlformats.org/drawingml/2006/picture">
                      <pic:pic>
                        <pic:nvPicPr>
                          <pic:cNvPr descr="../Plots/zafra-absorcion-origen.png" id="177" name="Picture"/>
                          <pic:cNvPicPr>
                            <a:picLocks noChangeArrowheads="1" noChangeAspect="1"/>
                          </pic:cNvPicPr>
                        </pic:nvPicPr>
                        <pic:blipFill>
                          <a:blip r:embed="rId175"/>
                          <a:stretch>
                            <a:fillRect/>
                          </a:stretch>
                        </pic:blipFill>
                        <pic:spPr bwMode="auto">
                          <a:xfrm>
                            <a:off x="0" y="0"/>
                            <a:ext cx="4174642" cy="1685176"/>
                          </a:xfrm>
                          <a:prstGeom prst="rect">
                            <a:avLst/>
                          </a:prstGeom>
                          <a:noFill/>
                          <a:ln w="9525">
                            <a:noFill/>
                            <a:headEnd/>
                            <a:tailEnd/>
                          </a:ln>
                        </pic:spPr>
                      </pic:pic>
                    </a:graphicData>
                  </a:graphic>
                </wp:inline>
              </w:drawing>
            </w:r>
          </w:p>
          <w:bookmarkEnd w:id="178"/>
        </w:tc>
      </w:tr>
    </w:tbl>
    <w:p>
      <w:pPr>
        <w:pStyle w:val="BodyText"/>
      </w:pPr>
      <w:r>
        <w:t xml:space="preserve">Con información de la absorción neta (superficie ocupada menos desalojada) de suelo industrial en principales ciudades provistas por Logan Valuation</w:t>
      </w:r>
      <w:r>
        <w:rPr>
          <w:rStyle w:val="FootnoteReference"/>
        </w:rPr>
        <w:footnoteReference w:id="179"/>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tbl>
      <w:tblPr>
        <w:tblStyle w:val="Table"/>
        <w:tblW w:type="pct" w:w="5000"/>
        <w:tblLayout w:type="fixed"/>
        <w:tblLook w:firstRow="0" w:lastRow="0" w:firstColumn="0" w:lastColumn="0" w:noHBand="0" w:noVBand="0" w:val="0000"/>
      </w:tblPr>
      <w:tblGrid>
        <w:gridCol w:w="7920"/>
      </w:tblGrid>
      <w:tr>
        <w:tc>
          <w:tcPr/>
          <w:bookmarkStart w:id="183" w:name="fig-absorcion-neta-ciudades"/>
          <w:p>
            <w:pPr>
              <w:pStyle w:val="Compact"/>
              <w:jc w:val="center"/>
            </w:pPr>
            <w:r>
              <w:drawing>
                <wp:inline>
                  <wp:extent cx="4643811" cy="4634236"/>
                  <wp:effectExtent b="0" l="0" r="0" t="0"/>
                  <wp:docPr descr="" title="" id="181" name="Picture"/>
                  <a:graphic>
                    <a:graphicData uri="http://schemas.openxmlformats.org/drawingml/2006/picture">
                      <pic:pic>
                        <pic:nvPicPr>
                          <pic:cNvPr descr="../Plots/zafra-absorcion-ciudades.png" id="182" name="Picture"/>
                          <pic:cNvPicPr>
                            <a:picLocks noChangeArrowheads="1" noChangeAspect="1"/>
                          </pic:cNvPicPr>
                        </pic:nvPicPr>
                        <pic:blipFill>
                          <a:blip r:embed="rId180"/>
                          <a:stretch>
                            <a:fillRect/>
                          </a:stretch>
                        </pic:blipFill>
                        <pic:spPr bwMode="auto">
                          <a:xfrm>
                            <a:off x="0" y="0"/>
                            <a:ext cx="4643811" cy="4634236"/>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Absorción neta de suelo industrial de principales ciudades del país: por ciudad (m²) y por región (2019=100)</w:t>
            </w:r>
          </w:p>
          <w:bookmarkEnd w:id="183"/>
        </w:tc>
      </w:tr>
    </w:tbl>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84"/>
    <w:bookmarkStart w:id="189" w:name="otros-indicadores"/>
    <w:p>
      <w:pPr>
        <w:pStyle w:val="Heading3"/>
      </w:pPr>
      <w:r>
        <w:t xml:space="preserve">5.6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tbl>
      <w:tblPr>
        <w:tblStyle w:val="Table"/>
        <w:tblW w:type="pct" w:w="5000"/>
        <w:tblLayout w:type="fixed"/>
        <w:tblLook w:firstRow="0" w:lastRow="0" w:firstColumn="0" w:lastColumn="0" w:noHBand="0" w:noVBand="0" w:val="0000"/>
      </w:tblPr>
      <w:tblGrid>
        <w:gridCol w:w="7920"/>
      </w:tblGrid>
      <w:tr>
        <w:tc>
          <w:tcPr/>
          <w:bookmarkStart w:id="188" w:name="tbl-intenciones-ied"/>
          <w:p>
            <w:pPr>
              <w:jc w:val="center"/>
            </w:pPr>
            <w:pPr>
              <w:jc w:val="left"/>
              <w:spacing w:before="200"/>
              <w:pStyle w:val="ImageCaption"/>
            </w:pPr>
            <w:r>
              <w:t xml:space="preserve">Tabla 7: Distribución de intenciones de inversion de EMN manufactureras en países de ALC ceranos a EUA (proporción país-sector del subgrupo)</w:t>
            </w:r>
          </w:p>
          <w:p>
            <w:pPr>
              <w:jc w:val="center"/>
            </w:pPr>
            <w:r>
              <w:drawing>
                <wp:inline>
                  <wp:extent cx="5227878" cy="1752201"/>
                  <wp:effectExtent b="0" l="0" r="0" t="0"/>
                  <wp:docPr descr="" title="" id="186" name="Picture"/>
                  <a:graphic>
                    <a:graphicData uri="http://schemas.openxmlformats.org/drawingml/2006/picture">
                      <pic:pic>
                        <pic:nvPicPr>
                          <pic:cNvPr descr="../Plots/zafra-intenciones.png" id="187" name="Picture"/>
                          <pic:cNvPicPr>
                            <a:picLocks noChangeArrowheads="1" noChangeAspect="1"/>
                          </pic:cNvPicPr>
                        </pic:nvPicPr>
                        <pic:blipFill>
                          <a:blip r:embed="rId185"/>
                          <a:stretch>
                            <a:fillRect/>
                          </a:stretch>
                        </pic:blipFill>
                        <pic:spPr bwMode="auto">
                          <a:xfrm>
                            <a:off x="0" y="0"/>
                            <a:ext cx="5227878" cy="1752201"/>
                          </a:xfrm>
                          <a:prstGeom prst="rect">
                            <a:avLst/>
                          </a:prstGeom>
                          <a:noFill/>
                          <a:ln w="9525">
                            <a:noFill/>
                            <a:headEnd/>
                            <a:tailEnd/>
                          </a:ln>
                        </pic:spPr>
                      </pic:pic>
                    </a:graphicData>
                  </a:graphic>
                </wp:inline>
              </w:drawing>
            </w:r>
          </w:p>
          <w:bookmarkEnd w:id="188"/>
        </w:tc>
      </w:tr>
    </w:tbl>
    <w:bookmarkEnd w:id="189"/>
    <w:bookmarkEnd w:id="190"/>
    <w:bookmarkStart w:id="191" w:name="síntesis-y-conclusiones"/>
    <w:p>
      <w:pPr>
        <w:pStyle w:val="Heading2"/>
      </w:pPr>
      <w:r>
        <w:t xml:space="preserve">6 Síntesis y conclusiones</w:t>
      </w:r>
    </w:p>
    <w:p>
      <w:pPr>
        <w:pStyle w:val="FirstParagraph"/>
      </w:pPr>
      <w:r>
        <w:t xml:space="preserve">México ha tenido un desempeño exportador exitoso, tanto en términos del valor de sus exportaciones como en términos de su capacidad de integrarse en cadenas de valor sofisticada, y de ser, junto con Costa Rica, uno de los dos únicos países en ALC cuyas exportaciones no están concentradas en bienes primarios. Su éxito tiene raíces ya lejanas, pero el desempeño durante la primara fase del NS, entre 2018 y 2024 fue notable, y le permitió convertirse en el primer exportador de bienes al mercado de EUA.</w:t>
      </w:r>
    </w:p>
    <w:p>
      <w:pPr>
        <w:pStyle w:val="BodyText"/>
      </w:pPr>
      <w:r>
        <w:t xml:space="preserve">Aunque las exportaciones mexicanas a EUA han seguido creciendo durante la segunda fase del NS, su participación relativa en ese mercado se ha estabilizado, y nuevos competidores, que aún tienen una participación pequeña, están aumentando rápidamente sus exportaciones. Es posible que Taiwán y Vietnam se conviertan en rivales estratégicos de México en los próximos años. El tema se explora con más detalle en el Capítulo 3 de este libro.</w:t>
      </w:r>
    </w:p>
    <w:p>
      <w:pPr>
        <w:pStyle w:val="BodyText"/>
      </w:pPr>
      <w:r>
        <w:t xml:space="preserve">De manera quizá sorpresiva, uno de los pilares de la integración de México en el mercado de América del Norte, el sector automotriz, ha sido colocado en una posición de desventaja competitiva, y sus exportaciones se han contraido. Este tema también se aborda con más detalle en el Capítulo 3.</w:t>
      </w:r>
    </w:p>
    <w:p>
      <w:pPr>
        <w:pStyle w:val="BodyText"/>
      </w:pPr>
      <w:r>
        <w:t xml:space="preserve">A pesar de estos éxitos, las exportaciones de bienes de México están altamente concentradas, tanto en términos de destinos (EUA absorbe más del 80% del total) como en términos de productos, medidos hasta ahora hasta el nivel de Partida arancelaria, y el crecimiento reciente está aún más concentrado que la distribución total de las exportaciones, como se ha puesto en evidencia en este Capítulo.</w:t>
      </w:r>
    </w:p>
    <w:p>
      <w:pPr>
        <w:pStyle w:val="BodyText"/>
      </w:pPr>
      <w:r>
        <w:t xml:space="preserve">A partir de este análisis es posible identificar cuatro retos importantes que México deberá enfrentar en la próxima década:</w:t>
      </w:r>
    </w:p>
    <w:p>
      <w:pPr>
        <w:numPr>
          <w:ilvl w:val="0"/>
          <w:numId w:val="1010"/>
        </w:numPr>
      </w:pPr>
      <w:r>
        <w:t xml:space="preserve">Profundizar el arraigo de los sectores exportadores más exitosos. La profundización o en su caso la creación de redes de proveedores de alto valor agregado puede contribuir a este arraigo, y en el Capítulo 5 de este libro se presenta una propuesta de cómo hacerlo en el caso del sector exportador que más rápidamente está creciendo en México: el de servidores para centros de datos. Superar los cuellos de botella en infraestructura pública puede ser igualmente importante, y el caso específico del suministro de energía se examina en el Capítulo 6.</w:t>
      </w:r>
    </w:p>
    <w:p>
      <w:pPr>
        <w:numPr>
          <w:ilvl w:val="0"/>
          <w:numId w:val="1010"/>
        </w:numPr>
      </w:pPr>
      <w:r>
        <w:t xml:space="preserve">Diversificar gradualmente el portafolio exportador. Este tema supera el ámbito de este libro, pero otro proyecto del CEPCAN,</w:t>
      </w:r>
      <w:r>
        <w:t xml:space="preserve"> </w:t>
      </w:r>
      <w:r>
        <w:t xml:space="preserve">“Diversificación Productiva de México”</w:t>
      </w:r>
      <w:r>
        <w:t xml:space="preserve"> </w:t>
      </w:r>
      <w:r>
        <w:t xml:space="preserve">está dedicado exclusivamente a este tema. Y en ese mismo proyecto se aborda un reto complementario: el de incorporar a más estados y regiones de México al éxito de la economía exportadora.</w:t>
      </w:r>
    </w:p>
    <w:p>
      <w:pPr>
        <w:numPr>
          <w:ilvl w:val="0"/>
          <w:numId w:val="1010"/>
        </w:numPr>
      </w:pPr>
      <w:r>
        <w:t xml:space="preserve">Finalmente, un reto de más largo plazo, quizá menos urgente pero no menos importante: diversificar los destinos de las exportaciones de México. La turbulencia de la política arancelaria de EUA hace que esta sea una tarea indispensable pero difícil y delicada. Quizá sea el momento oportuno para considerar la (re) creación de una agencia federal dedicada a la promoción de exportaciones mexicanas a nuevos mercados, cuya labor sería doblemente efectiva si se complementa con agencias estatales con una misión semejante. Una red de organizaciones privadas de promoción de las exportaciones, que ya existen en varios estados, sería el complemento indispensable para un proyecto cuyo éxito dependerá, en buena medida, de procesos eficaces de colaboración y co-descubrimiento de oportunidades de exportación entre el sector público y el sector privado.</w:t>
      </w:r>
    </w:p>
    <w:bookmarkEnd w:id="191"/>
    <w:bookmarkStart w:id="212" w:name="anexos"/>
    <w:p>
      <w:pPr>
        <w:pStyle w:val="Heading2"/>
      </w:pPr>
      <w:r>
        <w:t xml:space="preserve">7 Anexos</w:t>
      </w:r>
    </w:p>
    <w:bookmarkStart w:id="208" w:name="Xd8d9c2b0b388aab97453b4e2b99ac09dc696809"/>
    <w:p>
      <w:pPr>
        <w:pStyle w:val="Heading3"/>
      </w:pPr>
      <w:r>
        <w:t xml:space="preserve">7.1 Evolución y puntos de quiebre de tendencia de las principales exportaciones por partida</w:t>
      </w:r>
    </w:p>
    <w:p>
      <w:pPr>
        <w:pStyle w:val="FirstParagraph"/>
      </w:pPr>
      <w:r>
        <w:t xml:space="preserve">Capítulo 84</w:t>
      </w:r>
    </w:p>
    <w:tbl>
      <w:tblPr>
        <w:tblStyle w:val="Table"/>
        <w:tblW w:type="pct" w:w="5000"/>
        <w:tblLayout w:type="fixed"/>
        <w:tblLook w:firstRow="0" w:lastRow="0" w:firstColumn="0" w:lastColumn="0" w:noHBand="0" w:noVBand="0" w:val="0000"/>
      </w:tblPr>
      <w:tblGrid>
        <w:gridCol w:w="7920"/>
      </w:tblGrid>
      <w:tr>
        <w:tc>
          <w:tcPr/>
          <w:bookmarkStart w:id="195" w:name="fig-cap84-partidas"/>
          <w:p>
            <w:pPr>
              <w:jc w:val="center"/>
            </w:pPr>
            <w:pPr>
              <w:jc w:val="left"/>
              <w:spacing w:before="200"/>
              <w:pStyle w:val="ImageCaption"/>
            </w:pPr>
            <w:r>
              <w:t xml:space="preserve">Figura 32: México. Exportaciones Capítulo 84, Partidas Seleccionadas, 2010-2024</w:t>
            </w:r>
          </w:p>
          <w:p>
            <w:pPr>
              <w:pStyle w:val="Compact"/>
              <w:jc w:val="center"/>
            </w:pPr>
            <w:r>
              <w:drawing>
                <wp:inline>
                  <wp:extent cx="5486400" cy="9052560"/>
                  <wp:effectExtent b="0" l="0" r="0" t="0"/>
                  <wp:docPr descr="" title="" id="193" name="Picture"/>
                  <a:graphic>
                    <a:graphicData uri="http://schemas.openxmlformats.org/drawingml/2006/picture">
                      <pic:pic>
                        <pic:nvPicPr>
                          <pic:cNvPr descr="../Plots/panel_partidas_cap84_2024.png" id="194" name="Picture"/>
                          <pic:cNvPicPr>
                            <a:picLocks noChangeArrowheads="1" noChangeAspect="1"/>
                          </pic:cNvPicPr>
                        </pic:nvPicPr>
                        <pic:blipFill>
                          <a:blip r:embed="rId192"/>
                          <a:stretch>
                            <a:fillRect/>
                          </a:stretch>
                        </pic:blipFill>
                        <pic:spPr bwMode="auto">
                          <a:xfrm>
                            <a:off x="0" y="0"/>
                            <a:ext cx="5486400" cy="9052560"/>
                          </a:xfrm>
                          <a:prstGeom prst="rect">
                            <a:avLst/>
                          </a:prstGeom>
                          <a:noFill/>
                          <a:ln w="9525">
                            <a:noFill/>
                            <a:headEnd/>
                            <a:tailEnd/>
                          </a:ln>
                        </pic:spPr>
                      </pic:pic>
                    </a:graphicData>
                  </a:graphic>
                </wp:inline>
              </w:drawing>
            </w:r>
          </w:p>
          <w:bookmarkEnd w:id="195"/>
        </w:tc>
      </w:tr>
    </w:tbl>
    <w:p>
      <w:pPr>
        <w:pStyle w:val="BodyText"/>
      </w:pPr>
      <w:r>
        <w:t xml:space="preserve">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p>
      <w:pPr>
        <w:numPr>
          <w:ilvl w:val="0"/>
          <w:numId w:val="1011"/>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11"/>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p>
      <w:pPr>
        <w:pStyle w:val="FirstParagraph"/>
      </w:pPr>
      <w:r>
        <w:t xml:space="preserve">Capítulo 85</w:t>
      </w:r>
    </w:p>
    <w:tbl>
      <w:tblPr>
        <w:tblStyle w:val="Table"/>
        <w:tblW w:type="pct" w:w="5000"/>
        <w:tblLayout w:type="fixed"/>
        <w:tblLook w:firstRow="0" w:lastRow="0" w:firstColumn="0" w:lastColumn="0" w:noHBand="0" w:noVBand="0" w:val="0000"/>
      </w:tblPr>
      <w:tblGrid>
        <w:gridCol w:w="7920"/>
      </w:tblGrid>
      <w:tr>
        <w:tc>
          <w:tcPr/>
          <w:bookmarkStart w:id="199" w:name="fig-cap85-partidas"/>
          <w:p>
            <w:pPr>
              <w:jc w:val="center"/>
            </w:pPr>
            <w:pPr>
              <w:jc w:val="left"/>
              <w:spacing w:before="200"/>
              <w:pStyle w:val="ImageCaption"/>
            </w:pPr>
            <w:r>
              <w:t xml:space="preserve">Figura 33: México. Exportaciones Capítulo 85, Partidas seleccionadas, 2010-2024</w:t>
            </w:r>
          </w:p>
          <w:p>
            <w:pPr>
              <w:pStyle w:val="Compact"/>
              <w:jc w:val="center"/>
            </w:pPr>
            <w:r>
              <w:drawing>
                <wp:inline>
                  <wp:extent cx="5486400" cy="9052560"/>
                  <wp:effectExtent b="0" l="0" r="0" t="0"/>
                  <wp:docPr descr="" title="" id="197" name="Picture"/>
                  <a:graphic>
                    <a:graphicData uri="http://schemas.openxmlformats.org/drawingml/2006/picture">
                      <pic:pic>
                        <pic:nvPicPr>
                          <pic:cNvPr descr="../Plots/panel_partidas_cap85_2024.png" id="198" name="Picture"/>
                          <pic:cNvPicPr>
                            <a:picLocks noChangeArrowheads="1" noChangeAspect="1"/>
                          </pic:cNvPicPr>
                        </pic:nvPicPr>
                        <pic:blipFill>
                          <a:blip r:embed="rId196"/>
                          <a:stretch>
                            <a:fillRect/>
                          </a:stretch>
                        </pic:blipFill>
                        <pic:spPr bwMode="auto">
                          <a:xfrm>
                            <a:off x="0" y="0"/>
                            <a:ext cx="5486400" cy="9052560"/>
                          </a:xfrm>
                          <a:prstGeom prst="rect">
                            <a:avLst/>
                          </a:prstGeom>
                          <a:noFill/>
                          <a:ln w="9525">
                            <a:noFill/>
                            <a:headEnd/>
                            <a:tailEnd/>
                          </a:ln>
                        </pic:spPr>
                      </pic:pic>
                    </a:graphicData>
                  </a:graphic>
                </wp:inline>
              </w:drawing>
            </w:r>
          </w:p>
          <w:bookmarkEnd w:id="199"/>
        </w:tc>
      </w:tr>
    </w:tbl>
    <w:p>
      <w:pPr>
        <w:pStyle w:val="BodyText"/>
      </w:pPr>
      <w:r>
        <w:t xml:space="preserve">La</w:t>
      </w:r>
      <w:r>
        <w:t xml:space="preserve"> </w:t>
      </w:r>
      <w:hyperlink w:anchor="fig-cap85-partidas">
        <w:r>
          <w:rPr>
            <w:rStyle w:val="Hyperlink"/>
          </w:rPr>
          <w:t xml:space="preserve">Figura 33</w:t>
        </w:r>
      </w:hyperlink>
      <w:r>
        <w:t xml:space="preserve"> </w:t>
      </w:r>
      <w:r>
        <w:t xml:space="preserve">presenta gráficamente la evolución de las exportaciones por partida. Al igual que en el caso anterior, se usan índices en vez de valores absolutos, y se identifican puntos de quiebre de tendencia.</w:t>
      </w:r>
    </w:p>
    <w:p>
      <w:pPr>
        <w:numPr>
          <w:ilvl w:val="0"/>
          <w:numId w:val="1012"/>
        </w:numPr>
      </w:pPr>
      <w:r>
        <w:t xml:space="preserve">Dos partidas, la 8512 y la 8528 muestran un cambio de tendencia negativo, pero se da en 2022, por lo que ese cambio no se pued atribuir a la nueva política arancelaria de EUA, mientras que una partida, la 8517, tiene un comportamiento inestable, con cambios de tendendia frecuentes, u un volumn de exportaciones al final del período prácticamente igual al de el inicio del período.</w:t>
      </w:r>
    </w:p>
    <w:p>
      <w:pPr>
        <w:numPr>
          <w:ilvl w:val="0"/>
          <w:numId w:val="1012"/>
        </w:numPr>
      </w:pPr>
      <w:r>
        <w:t xml:space="preserve">En todos los demás casos las tendencias son uniformemente positivas, y curiosamente, en todos los casos en los que el ritmo de crecimiento se atenúa hacia el final de la serie, el cambio de tendencia tiene lugar en 2022, de manera que esa desaceleración tampoco puede atribuirse al cambio en la política arancelaria de EUA a partir de 2025. 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tbl>
      <w:tblPr>
        <w:tblStyle w:val="Table"/>
        <w:tblW w:type="pct" w:w="5000"/>
        <w:tblLayout w:type="fixed"/>
        <w:tblLook w:firstRow="0" w:lastRow="0" w:firstColumn="0" w:lastColumn="0" w:noHBand="0" w:noVBand="0" w:val="0000"/>
      </w:tblPr>
      <w:tblGrid>
        <w:gridCol w:w="7920"/>
      </w:tblGrid>
      <w:tr>
        <w:tc>
          <w:tcPr/>
          <w:bookmarkStart w:id="203" w:name="fig-cap87-partidas"/>
          <w:p>
            <w:pPr>
              <w:jc w:val="center"/>
            </w:pPr>
            <w:pPr>
              <w:jc w:val="left"/>
              <w:spacing w:before="200"/>
              <w:pStyle w:val="ImageCaption"/>
            </w:pPr>
            <w:r>
              <w:t xml:space="preserve">Figura 34: México. Exportaciones Capítulo 87, Partidas seleccionadas, 2010-2024</w:t>
            </w:r>
          </w:p>
          <w:p>
            <w:pPr>
              <w:pStyle w:val="Compact"/>
              <w:jc w:val="center"/>
            </w:pPr>
            <w:r>
              <w:drawing>
                <wp:inline>
                  <wp:extent cx="5486400" cy="3017520"/>
                  <wp:effectExtent b="0" l="0" r="0" t="0"/>
                  <wp:docPr descr="" title="" id="201" name="Picture"/>
                  <a:graphic>
                    <a:graphicData uri="http://schemas.openxmlformats.org/drawingml/2006/picture">
                      <pic:pic>
                        <pic:nvPicPr>
                          <pic:cNvPr descr="../Plots/panel_partidas_cap87_2024.png" id="202" name="Picture"/>
                          <pic:cNvPicPr>
                            <a:picLocks noChangeArrowheads="1" noChangeAspect="1"/>
                          </pic:cNvPicPr>
                        </pic:nvPicPr>
                        <pic:blipFill>
                          <a:blip r:embed="rId200"/>
                          <a:stretch>
                            <a:fillRect/>
                          </a:stretch>
                        </pic:blipFill>
                        <pic:spPr bwMode="auto">
                          <a:xfrm>
                            <a:off x="0" y="0"/>
                            <a:ext cx="5486400" cy="3017520"/>
                          </a:xfrm>
                          <a:prstGeom prst="rect">
                            <a:avLst/>
                          </a:prstGeom>
                          <a:noFill/>
                          <a:ln w="9525">
                            <a:noFill/>
                            <a:headEnd/>
                            <a:tailEnd/>
                          </a:ln>
                        </pic:spPr>
                      </pic:pic>
                    </a:graphicData>
                  </a:graphic>
                </wp:inline>
              </w:drawing>
            </w:r>
          </w:p>
          <w:bookmarkEnd w:id="203"/>
        </w:tc>
      </w:tr>
    </w:tbl>
    <w:p>
      <w:pPr>
        <w:pStyle w:val="BodyText"/>
      </w:pPr>
      <w:r>
        <w:t xml:space="preserve">Aunque en la</w:t>
      </w:r>
      <w:r>
        <w:t xml:space="preserve"> </w:t>
      </w:r>
      <w:hyperlink w:anchor="fig-cap87-partidas">
        <w:r>
          <w:rPr>
            <w:rStyle w:val="Hyperlink"/>
          </w:rPr>
          <w:t xml:space="preserve">Figura 34</w:t>
        </w:r>
      </w:hyperlink>
      <w:r>
        <w:t xml:space="preserve"> </w:t>
      </w:r>
      <w:r>
        <w:t xml:space="preserve">no se logró identificar estadísticamente cambios de tendencia en ninguna de las partidas analizadas, en el próximo capítulo, en el que se analizan las tarifas que enfrentan tanto México como sus principales competidores en este capítulo, se presenta evidencia que sugiere que el rápido crecimiento del período 2010-2018 no se repetirá y que no se puede descartar que la contracción de 2024-2025 se repita en 2026.</w:t>
      </w:r>
    </w:p>
    <w:tbl>
      <w:tblPr>
        <w:tblStyle w:val="Table"/>
        <w:tblW w:type="pct" w:w="5000"/>
        <w:tblLayout w:type="fixed"/>
        <w:tblLook w:firstRow="0" w:lastRow="0" w:firstColumn="0" w:lastColumn="0" w:noHBand="0" w:noVBand="0" w:val="0000"/>
      </w:tblPr>
      <w:tblGrid>
        <w:gridCol w:w="7920"/>
      </w:tblGrid>
      <w:tr>
        <w:tc>
          <w:tcPr/>
          <w:bookmarkStart w:id="207" w:name="fig-cap90-partidas"/>
          <w:p>
            <w:pPr>
              <w:jc w:val="center"/>
            </w:pPr>
            <w:pPr>
              <w:jc w:val="left"/>
              <w:spacing w:before="200"/>
              <w:pStyle w:val="ImageCaption"/>
            </w:pPr>
            <w:r>
              <w:t xml:space="preserve">Figura 35: México. Exportaciones Capítulo 90, Partidas seleccionadas, 2010-2024</w:t>
            </w:r>
          </w:p>
          <w:p>
            <w:pPr>
              <w:pStyle w:val="Compact"/>
              <w:jc w:val="center"/>
            </w:pPr>
            <w:r>
              <w:drawing>
                <wp:inline>
                  <wp:extent cx="5486400" cy="7040880"/>
                  <wp:effectExtent b="0" l="0" r="0" t="0"/>
                  <wp:docPr descr="" title="" id="205" name="Picture"/>
                  <a:graphic>
                    <a:graphicData uri="http://schemas.openxmlformats.org/drawingml/2006/picture">
                      <pic:pic>
                        <pic:nvPicPr>
                          <pic:cNvPr descr="../Plots/panel_partidas_cap90_2024.png" id="206" name="Picture"/>
                          <pic:cNvPicPr>
                            <a:picLocks noChangeArrowheads="1" noChangeAspect="1"/>
                          </pic:cNvPicPr>
                        </pic:nvPicPr>
                        <pic:blipFill>
                          <a:blip r:embed="rId204"/>
                          <a:stretch>
                            <a:fillRect/>
                          </a:stretch>
                        </pic:blipFill>
                        <pic:spPr bwMode="auto">
                          <a:xfrm>
                            <a:off x="0" y="0"/>
                            <a:ext cx="5486400" cy="7040880"/>
                          </a:xfrm>
                          <a:prstGeom prst="rect">
                            <a:avLst/>
                          </a:prstGeom>
                          <a:noFill/>
                          <a:ln w="9525">
                            <a:noFill/>
                            <a:headEnd/>
                            <a:tailEnd/>
                          </a:ln>
                        </pic:spPr>
                      </pic:pic>
                    </a:graphicData>
                  </a:graphic>
                </wp:inline>
              </w:drawing>
            </w:r>
          </w:p>
          <w:bookmarkEnd w:id="207"/>
        </w:tc>
      </w:tr>
    </w:tbl>
    <w:p>
      <w:pPr>
        <w:pStyle w:val="BodyText"/>
      </w:pPr>
      <w:r>
        <w:t xml:space="preserve">En este caso, la visualización de la información no arroja sorpresas: dos partidas, la 9018 y la 9019 muestran un crecimiento aceleardo, mientras que en las demás el crecimiento es modesto o muestra una quiebre negativo de tendencia en el último período.</w:t>
      </w:r>
    </w:p>
    <w:bookmarkEnd w:id="208"/>
    <w:bookmarkStart w:id="210" w:name="Xd43d3b01e66fe68af2291fb7c08a32e2aadeb95"/>
    <w:p>
      <w:pPr>
        <w:pStyle w:val="Heading3"/>
      </w:pPr>
      <w:r>
        <w:t xml:space="preserve">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209" w:name="tbl-disponibilidad-estado-sector"/>
          <w:p>
            <w:pPr>
              <w:jc w:val="center"/>
            </w:pPr>
            <w:pPr>
              <w:jc w:val="left"/>
              <w:spacing w:before="200"/>
              <w:pStyle w:val="ImageCaption"/>
            </w:pPr>
            <w:r>
              <w:t xml:space="preserve">Tabla 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25.6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62.8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10.3</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209"/>
        </w:tc>
      </w:tr>
    </w:tbl>
    <w:bookmarkEnd w:id="210"/>
    <w:bookmarkStart w:id="211" w:name="X66224010e10452c6a8fe17c5ee53f1f9474c57e"/>
    <w:p>
      <w:pPr>
        <w:pStyle w:val="Heading3"/>
      </w:pPr>
      <w:r>
        <w:t xml:space="preserve">7.3 Tabla de corresponencias: nombres cortos y nomenclatura del SA</w:t>
      </w:r>
    </w:p>
    <w:bookmarkEnd w:id="211"/>
    <w:bookmarkEnd w:id="212"/>
    <w:bookmarkStart w:id="241" w:name="referencias"/>
    <w:p>
      <w:pPr>
        <w:pStyle w:val="Heading2"/>
      </w:pPr>
      <w:r>
        <w:t xml:space="preserve">8 Referencias</w:t>
      </w:r>
    </w:p>
    <w:bookmarkStart w:id="240" w:name="refs"/>
    <w:bookmarkStart w:id="213" w:name="ref-alfarochor2023"/>
    <w:p>
      <w:pPr>
        <w:pStyle w:val="Bibliography"/>
      </w:pPr>
      <w:r>
        <w:t xml:space="preserve">Alfaro, Laura, y Davin Chor. 2023.</w:t>
      </w:r>
      <w:r>
        <w:t xml:space="preserve"> </w:t>
      </w:r>
      <w:r>
        <w:t xml:space="preserve">«Global Supply Chains: The Looming "Great Reallocation"»</w:t>
      </w:r>
      <w:r>
        <w:t xml:space="preserve">.</w:t>
      </w:r>
    </w:p>
    <w:bookmarkEnd w:id="213"/>
    <w:bookmarkStart w:id="214" w:name="ref-aroca2005b"/>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214"/>
    <w:bookmarkStart w:id="215"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215"/>
    <w:bookmarkStart w:id="216" w:name="ref-chiquiar2005"/>
    <w:p>
      <w:pPr>
        <w:pStyle w:val="Bibliography"/>
      </w:pPr>
      <w:r>
        <w:t xml:space="preserve">Chiquiar, Daniel. 2005b.</w:t>
      </w:r>
      <w:r>
        <w:t xml:space="preserve"> </w:t>
      </w:r>
      <w:r>
        <w:t xml:space="preserve">«Why Mexico’s regional income convergence broke down?»</w:t>
      </w:r>
      <w:r>
        <w:t xml:space="preserve"> </w:t>
      </w:r>
      <w:r>
        <w:rPr>
          <w:i/>
          <w:iCs/>
        </w:rPr>
        <w:t xml:space="preserve">Journal of Development Economics</w:t>
      </w:r>
      <w:r>
        <w:t xml:space="preserve">.</w:t>
      </w:r>
    </w:p>
    <w:bookmarkEnd w:id="216"/>
    <w:bookmarkStart w:id="217" w:name="ref-chiquiar2005a"/>
    <w:p>
      <w:pPr>
        <w:pStyle w:val="Bibliography"/>
      </w:pPr>
      <w:r>
        <w:t xml:space="preserve">———. 2005a.</w:t>
      </w:r>
      <w:r>
        <w:t xml:space="preserve"> </w:t>
      </w:r>
      <w:r>
        <w:t xml:space="preserve">«Why Mexico’s regional income convergence broke down?»</w:t>
      </w:r>
      <w:r>
        <w:t xml:space="preserve"> </w:t>
      </w:r>
      <w:r>
        <w:rPr>
          <w:i/>
          <w:iCs/>
        </w:rPr>
        <w:t xml:space="preserve">Journal of Development Economics</w:t>
      </w:r>
      <w:r>
        <w:t xml:space="preserve">.</w:t>
      </w:r>
    </w:p>
    <w:bookmarkEnd w:id="217"/>
    <w:bookmarkStart w:id="218"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218"/>
    <w:bookmarkStart w:id="220"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219">
        <w:r>
          <w:rPr>
            <w:rStyle w:val="Hyperlink"/>
          </w:rPr>
          <w:t xml:space="preserve">https://www.federalreserve.gov/econres/notes/feds-notes/did-the-us-bilateral-goods-deficit-with-china-increase-or-decrease-during-the-us-china-trade-conflict-20210621.html</w:t>
        </w:r>
      </w:hyperlink>
      <w:r>
        <w:t xml:space="preserve">.</w:t>
      </w:r>
    </w:p>
    <w:bookmarkEnd w:id="220"/>
    <w:bookmarkStart w:id="222"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221">
        <w:r>
          <w:rPr>
            <w:rStyle w:val="Hyperlink"/>
          </w:rPr>
          <w:t xml:space="preserve">https://www.bakerinstitute.org/research/new-taxonomy-nearshoring-strategic-trends-global-value-chain-reconfiguration</w:t>
        </w:r>
      </w:hyperlink>
      <w:r>
        <w:t xml:space="preserve">.</w:t>
      </w:r>
    </w:p>
    <w:bookmarkEnd w:id="222"/>
    <w:bookmarkStart w:id="223"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223"/>
    <w:bookmarkStart w:id="225"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224">
        <w:r>
          <w:rPr>
            <w:rStyle w:val="Hyperlink"/>
          </w:rPr>
          <w:t xml:space="preserve">https://documents.worldbank.org/en/publication/documents-reports/documentdetail/099312512192423854</w:t>
        </w:r>
      </w:hyperlink>
      <w:r>
        <w:t xml:space="preserve">.</w:t>
      </w:r>
    </w:p>
    <w:bookmarkEnd w:id="225"/>
    <w:bookmarkStart w:id="226" w:name="ref-gómez2009b"/>
    <w:p>
      <w:pPr>
        <w:pStyle w:val="Bibliography"/>
      </w:pPr>
      <w:r>
        <w:t xml:space="preserve">Gómez, Manuel, y Daniel Ventosa-Santaularia.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 215-35.</w:t>
      </w:r>
    </w:p>
    <w:bookmarkEnd w:id="226"/>
    <w:bookmarkStart w:id="227" w:name="ref-gómez2009"/>
    <w:p>
      <w:pPr>
        <w:pStyle w:val="Bibliography"/>
      </w:pPr>
      <w:r>
        <w:t xml:space="preserve">Gómez, Manuel, y Daniel Ventosa-Sataularia.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w:t>
      </w:r>
    </w:p>
    <w:bookmarkEnd w:id="227"/>
    <w:bookmarkStart w:id="229"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228">
        <w:r>
          <w:rPr>
            <w:rStyle w:val="Hyperlink"/>
          </w:rPr>
          <w:t xml:space="preserve">https://voxchina.org/show-3-392.html</w:t>
        </w:r>
      </w:hyperlink>
      <w:r>
        <w:t xml:space="preserve">.</w:t>
      </w:r>
    </w:p>
    <w:bookmarkEnd w:id="229"/>
    <w:bookmarkStart w:id="231" w:name="ref-krugman2025"/>
    <w:p>
      <w:pPr>
        <w:pStyle w:val="Bibliography"/>
      </w:pPr>
      <w:r>
        <w:t xml:space="preserve">Krugman, Paul. 2025.</w:t>
      </w:r>
      <w:r>
        <w:t xml:space="preserve"> </w:t>
      </w:r>
      <w:r>
        <w:t xml:space="preserve">«America is Trapped in a Burning Tesla»</w:t>
      </w:r>
      <w:r>
        <w:t xml:space="preserve">.</w:t>
      </w:r>
      <w:r>
        <w:t xml:space="preserve"> </w:t>
      </w:r>
      <w:hyperlink r:id="rId230">
        <w:r>
          <w:rPr>
            <w:rStyle w:val="Hyperlink"/>
          </w:rPr>
          <w:t xml:space="preserve">https://paulkrugman.substack.com/p/america-is-trapped-in-a-burning-tesla</w:t>
        </w:r>
      </w:hyperlink>
      <w:r>
        <w:t xml:space="preserve">.</w:t>
      </w:r>
    </w:p>
    <w:bookmarkEnd w:id="231"/>
    <w:bookmarkStart w:id="233"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232">
        <w:r>
          <w:rPr>
            <w:rStyle w:val="Hyperlink"/>
          </w:rPr>
          <w:t xml:space="preserve">https://www.dallasfed.org/research/economics/2024/1205</w:t>
        </w:r>
      </w:hyperlink>
      <w:r>
        <w:t xml:space="preserve">.</w:t>
      </w:r>
    </w:p>
    <w:bookmarkEnd w:id="233"/>
    <w:bookmarkStart w:id="235"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234">
        <w:r>
          <w:rPr>
            <w:rStyle w:val="Hyperlink"/>
          </w:rPr>
          <w:t xml:space="preserve">https://www.brookings.edu/articles/is-china-circumventing-us-tariffs-via-mexico-and-canada/</w:t>
        </w:r>
      </w:hyperlink>
      <w:r>
        <w:t xml:space="preserve">.</w:t>
      </w:r>
    </w:p>
    <w:bookmarkEnd w:id="235"/>
    <w:bookmarkStart w:id="237"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236">
        <w:r>
          <w:rPr>
            <w:rStyle w:val="Hyperlink"/>
          </w:rPr>
          <w:t xml:space="preserve">https://www.nytimes.com/2026/04/07/us/politics/tariffs-trade-import-fraud.html</w:t>
        </w:r>
      </w:hyperlink>
      <w:r>
        <w:t xml:space="preserve">.</w:t>
      </w:r>
    </w:p>
    <w:bookmarkEnd w:id="237"/>
    <w:bookmarkStart w:id="239"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238">
        <w:r>
          <w:rPr>
            <w:rStyle w:val="Hyperlink"/>
          </w:rPr>
          <w:t xml:space="preserve">https://doi.org/10.1162/REST.a.1682</w:t>
        </w:r>
      </w:hyperlink>
      <w:r>
        <w:t xml:space="preserve">.</w:t>
      </w:r>
    </w:p>
    <w:bookmarkEnd w:id="239"/>
    <w:bookmarkEnd w:id="240"/>
    <w:bookmarkEnd w:id="241"/>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Ver las referencias en el Capítulo 1, así como el apartado sobre evidencia econométrica en este capítulo</w:t>
      </w:r>
    </w:p>
  </w:footnote>
  <w:footnote w:id="32">
    <w:p>
      <w:pPr>
        <w:pStyle w:val="FootnoteText"/>
      </w:pPr>
      <w:r>
        <w:rPr>
          <w:rStyle w:val="FootnoteReference"/>
        </w:rPr>
        <w:footnoteRef/>
      </w:r>
      <w:r>
        <w:t xml:space="preserve"> </w:t>
      </w:r>
      <w:r>
        <w:t xml:space="preserve">Las partidas se ordenaron de mayor a menor según su participación porcentual en el total de exportaciones al final del período, y se seleccionar aquellas que, sumadas, representaran al menos el 80% del total de exportaciones de cada capítulo.</w:t>
      </w:r>
    </w:p>
  </w:footnote>
  <w:footnote w:id="50">
    <w:p>
      <w:pPr>
        <w:pStyle w:val="FootnoteText"/>
      </w:pPr>
      <w:r>
        <w:rPr>
          <w:rStyle w:val="FootnoteReference"/>
        </w:rPr>
        <w:footnoteRef/>
      </w:r>
      <w:r>
        <w:t xml:space="preserve"> </w:t>
      </w:r>
      <w:r>
        <w:t xml:space="preserve">A todo lo largo de este capítulo se utilizan los numerales romanos para identificar secciones del SA, y los números correspondientes a capítulos y partidas, lo que permite identificarlos sin ambigüedad. En aras de la brevedad en el texto, y de la legibilidad en los figuras, se usan nombres cortos, informales, para cada uno de estos niveles del SA. La nomenclatura oficial, para todas las secciones, y para los capítulos y partidas del SA que se identifican de manera individual tanto en este capítulo como en el siguiente se presenta en el Anexo 7.3</w:t>
      </w:r>
    </w:p>
  </w:footnote>
  <w:footnote w:id="51">
    <w:p>
      <w:pPr>
        <w:pStyle w:val="FootnoteText"/>
      </w:pPr>
      <w:r>
        <w:rPr>
          <w:rStyle w:val="FootnoteReference"/>
        </w:rPr>
        <w:footnoteRef/>
      </w:r>
      <w:r>
        <w:t xml:space="preserve"> </w:t>
      </w:r>
      <w:r>
        <w:t xml:space="preserve">Traducción de los autores.</w:t>
      </w:r>
    </w:p>
  </w:footnote>
  <w:footnote w:id="65">
    <w:p>
      <w:pPr>
        <w:pStyle w:val="FootnoteText"/>
      </w:pPr>
      <w:r>
        <w:rPr>
          <w:rStyle w:val="FootnoteReference"/>
        </w:rPr>
        <w:footnoteRef/>
      </w:r>
      <w:r>
        <w:t xml:space="preserve"> </w:t>
      </w:r>
      <w:r>
        <w:t xml:space="preserve">Para este capítulo</w:t>
      </w:r>
    </w:p>
  </w:footnote>
  <w:footnote w:id="96">
    <w:p>
      <w:pPr>
        <w:pStyle w:val="FootnoteText"/>
      </w:pPr>
      <w:r>
        <w:rPr>
          <w:rStyle w:val="FootnoteReference"/>
        </w:rPr>
        <w:footnoteRef/>
      </w:r>
      <w:r>
        <w:t xml:space="preserve"> </w:t>
      </w:r>
      <w:r>
        <w:t xml:space="preserve">Ver Capítulo 4.</w:t>
      </w:r>
    </w:p>
  </w:footnote>
  <w:footnote w:id="107">
    <w:p>
      <w:pPr>
        <w:pStyle w:val="FootnoteText"/>
      </w:pPr>
      <w:r>
        <w:rPr>
          <w:rStyle w:val="FootnoteReference"/>
        </w:rPr>
        <w:footnoteRef/>
      </w:r>
      <w:r>
        <w:t xml:space="preserve"> </w:t>
      </w:r>
      <w:r>
        <w:t xml:space="preserve">(</w:t>
      </w:r>
      <w:hyperlink r:id="rId108">
        <w:r>
          <w:rPr>
            <w:rStyle w:val="Hyperlink"/>
          </w:rPr>
          <w:t xml:space="preserve">https://www.bevindustry.com/articles/86441-anheuser-busch-inbev-completes-acquisition-of-grupo-modelo</w:t>
        </w:r>
      </w:hyperlink>
      <w:r>
        <w:t xml:space="preserve">)</w:t>
      </w:r>
    </w:p>
  </w:footnote>
  <w:footnote w:id="161">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62">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79">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131" Target="media/rId131.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35" Target="media/rId135.png" /><Relationship Type="http://schemas.openxmlformats.org/officeDocument/2006/relationships/image" Id="rId118" Target="media/rId118.png" /><Relationship Type="http://schemas.openxmlformats.org/officeDocument/2006/relationships/image" Id="rId114" Target="media/rId114.png" /><Relationship Type="http://schemas.openxmlformats.org/officeDocument/2006/relationships/image" Id="rId109" Target="media/rId109.png" /><Relationship Type="http://schemas.openxmlformats.org/officeDocument/2006/relationships/image" Id="rId56" Target="media/rId56.png" /><Relationship Type="http://schemas.openxmlformats.org/officeDocument/2006/relationships/image" Id="rId44" Target="media/rId44.png" /><Relationship Type="http://schemas.openxmlformats.org/officeDocument/2006/relationships/image" Id="rId101" Target="media/rId101.png" /><Relationship Type="http://schemas.openxmlformats.org/officeDocument/2006/relationships/image" Id="rId73" Target="media/rId73.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180" Target="media/rId180.png" /><Relationship Type="http://schemas.openxmlformats.org/officeDocument/2006/relationships/image" Id="rId175" Target="media/rId175.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63" Target="media/rId163.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44" Target="media/rId144.png" /><Relationship Type="http://schemas.openxmlformats.org/officeDocument/2006/relationships/image" Id="rId140" Target="media/rId140.png" /><Relationship Type="http://schemas.openxmlformats.org/officeDocument/2006/relationships/image" Id="rId185" Target="media/rId185.png" /><Relationship Type="http://schemas.openxmlformats.org/officeDocument/2006/relationships/image" Id="rId26" Target="media/rId26.png" /><Relationship Type="http://schemas.openxmlformats.org/officeDocument/2006/relationships/hyperlink" Id="rId224" Target="https://documents.worldbank.org/en/publication/documents-reports/documentdetail/099312512192423854" TargetMode="External" /><Relationship Type="http://schemas.openxmlformats.org/officeDocument/2006/relationships/hyperlink" Id="rId238"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30" Target="https://paulkrugman.substack.com/p/america-is-trapped-in-a-burning-tesla" TargetMode="External" /><Relationship Type="http://schemas.openxmlformats.org/officeDocument/2006/relationships/hyperlink" Id="rId228" Target="https://voxchina.org/show-3-392.html" TargetMode="External" /><Relationship Type="http://schemas.openxmlformats.org/officeDocument/2006/relationships/hyperlink" Id="rId221" Target="https://www.bakerinstitute.org/research/new-taxonomy-nearshoring-strategic-trends-global-value-chain-reconfiguration" TargetMode="External" /><Relationship Type="http://schemas.openxmlformats.org/officeDocument/2006/relationships/hyperlink" Id="rId108" Target="https://www.bevindustry.com/articles/86441-anheuser-busch-inbev-completes-acquisition-of-grupo-modelo" TargetMode="External" /><Relationship Type="http://schemas.openxmlformats.org/officeDocument/2006/relationships/hyperlink" Id="rId234" Target="https://www.brookings.edu/articles/is-china-circumventing-us-tariffs-via-mexico-and-canada/" TargetMode="External" /><Relationship Type="http://schemas.openxmlformats.org/officeDocument/2006/relationships/hyperlink" Id="rId232" Target="https://www.dallasfed.org/research/economics/2024/1205" TargetMode="External" /><Relationship Type="http://schemas.openxmlformats.org/officeDocument/2006/relationships/hyperlink" Id="rId219" Target="https://www.federalreserve.gov/econres/notes/feds-notes/did-the-us-bilateral-goods-deficit-with-china-increase-or-decrease-during-the-us-china-trade-conflict-20210621.html" TargetMode="External" /><Relationship Type="http://schemas.openxmlformats.org/officeDocument/2006/relationships/hyperlink" Id="rId236" Target="https://www.nytimes.com/2026/04/07/us/politics/tariffs-trade-import-fraud.html" TargetMode="External" /></Relationships>
</file>

<file path=word/_rels/footnotes.xml.rels><?xml version="1.0" encoding="UTF-8"?><Relationships xmlns="http://schemas.openxmlformats.org/package/2006/relationships"><Relationship Type="http://schemas.openxmlformats.org/officeDocument/2006/relationships/hyperlink" Id="rId224" Target="https://documents.worldbank.org/en/publication/documents-reports/documentdetail/099312512192423854" TargetMode="External" /><Relationship Type="http://schemas.openxmlformats.org/officeDocument/2006/relationships/hyperlink" Id="rId238"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30" Target="https://paulkrugman.substack.com/p/america-is-trapped-in-a-burning-tesla" TargetMode="External" /><Relationship Type="http://schemas.openxmlformats.org/officeDocument/2006/relationships/hyperlink" Id="rId228" Target="https://voxchina.org/show-3-392.html" TargetMode="External" /><Relationship Type="http://schemas.openxmlformats.org/officeDocument/2006/relationships/hyperlink" Id="rId221" Target="https://www.bakerinstitute.org/research/new-taxonomy-nearshoring-strategic-trends-global-value-chain-reconfiguration" TargetMode="External" /><Relationship Type="http://schemas.openxmlformats.org/officeDocument/2006/relationships/hyperlink" Id="rId108" Target="https://www.bevindustry.com/articles/86441-anheuser-busch-inbev-completes-acquisition-of-grupo-modelo" TargetMode="External" /><Relationship Type="http://schemas.openxmlformats.org/officeDocument/2006/relationships/hyperlink" Id="rId234" Target="https://www.brookings.edu/articles/is-china-circumventing-us-tariffs-via-mexico-and-canada/" TargetMode="External" /><Relationship Type="http://schemas.openxmlformats.org/officeDocument/2006/relationships/hyperlink" Id="rId232" Target="https://www.dallasfed.org/research/economics/2024/1205" TargetMode="External" /><Relationship Type="http://schemas.openxmlformats.org/officeDocument/2006/relationships/hyperlink" Id="rId219" Target="https://www.federalreserve.gov/econres/notes/feds-notes/did-the-us-bilateral-goods-deficit-with-china-increase-or-decrease-during-the-us-china-trade-conflict-20210621.html" TargetMode="External" /><Relationship Type="http://schemas.openxmlformats.org/officeDocument/2006/relationships/hyperlink" Id="rId236" Target="https://www.nytimes.com/2026/04/07/us/politics/tariffs-trade-import-fra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 2018-2024</dc:title>
  <dc:creator>Jorge Cornick; Ernesto Stein; Carlos Zafra</dc:creator>
  <dc:language>es</dc:language>
  <cp:keywords/>
  <dcterms:created xsi:type="dcterms:W3CDTF">2026-10-26T20:02:20Z</dcterms:created>
  <dcterms:modified xsi:type="dcterms:W3CDTF">2026-10-26T20:02:20Z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2026-10-10</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El comercio se ajusta más rápidamente que la inversión</vt:lpwstr>
  </property>
  <property fmtid="{D5CDD505-2E9C-101B-9397-08002B2CF9AE}" pid="18" name="toc-title">
    <vt:lpwstr>Índice</vt:lpwstr>
  </property>
</Properties>
</file>