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Mapa de Fuentes: Política Comercial y Arancelaria de EE.UU. bajo la Segunda Administración Trump</w:t>
      </w:r>
    </w:p>
    <w:p>
      <w:pPr>
        <w:pStyle w:val="Subtitle"/>
      </w:pPr>
      <w:r>
        <w:t xml:space="preserve">Documento de trabajo N.º 1 — Identificación de fuentes de información</w:t>
      </w:r>
    </w:p>
    <w:p>
      <w:pPr>
        <w:pStyle w:val="Author"/>
      </w:pPr>
      <w:r>
        <w:t xml:space="preserve">DRP Research</w:t>
      </w:r>
    </w:p>
    <w:p>
      <w:pPr>
        <w:pStyle w:val="Date"/>
      </w:pPr>
      <w:r>
        <w:t xml:space="preserve">2026-08-25</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20" w:name="propósito-de-este-documento"/>
    <w:p>
      <w:pPr>
        <w:pStyle w:val="Heading1"/>
      </w:pPr>
      <w:r>
        <w:t xml:space="preserve">1. Propósito de este documento</w:t>
      </w:r>
    </w:p>
    <w:p>
      <w:pPr>
        <w:pStyle w:val="FirstParagraph"/>
      </w:pPr>
      <w:r>
        <w:t xml:space="preserve">Este documento constituye el primer paso de la Parte 1 del proyecto: identificar y catalogar las fuentes de información que se utilizarán para construir la narrativa de la política comercial de la segunda administración Trump (enero de 2025 en adelante). Las fuentes se organizan en siete categorías:</w:t>
      </w:r>
    </w:p>
    <w:p>
      <w:pPr>
        <w:pStyle w:val="Compact"/>
        <w:numPr>
          <w:ilvl w:val="0"/>
          <w:numId w:val="1001"/>
        </w:numPr>
      </w:pPr>
      <w:r>
        <w:t xml:space="preserve">Fuentes oficiales del gobierno de EE.UU.</w:t>
      </w:r>
    </w:p>
    <w:p>
      <w:pPr>
        <w:pStyle w:val="Compact"/>
        <w:numPr>
          <w:ilvl w:val="0"/>
          <w:numId w:val="1001"/>
        </w:numPr>
      </w:pPr>
      <w:r>
        <w:t xml:space="preserve">Sitios y</w:t>
      </w:r>
      <w:r>
        <w:t xml:space="preserve"> </w:t>
      </w:r>
      <w:r>
        <w:t xml:space="preserve">“trackers”</w:t>
      </w:r>
      <w:r>
        <w:t xml:space="preserve"> </w:t>
      </w:r>
      <w:r>
        <w:t xml:space="preserve">especializados en el seguimiento de la política comercial</w:t>
      </w:r>
    </w:p>
    <w:p>
      <w:pPr>
        <w:pStyle w:val="Compact"/>
        <w:numPr>
          <w:ilvl w:val="0"/>
          <w:numId w:val="1001"/>
        </w:numPr>
      </w:pPr>
      <w:r>
        <w:t xml:space="preserve">Litigio judicial y análisis legal (impugnaciones a los aranceles)</w:t>
      </w:r>
    </w:p>
    <w:p>
      <w:pPr>
        <w:pStyle w:val="Compact"/>
        <w:numPr>
          <w:ilvl w:val="0"/>
          <w:numId w:val="1001"/>
        </w:numPr>
      </w:pPr>
      <w:r>
        <w:t xml:space="preserve">Literatura académica y de organismos multilaterales / de desarrollo</w:t>
      </w:r>
    </w:p>
    <w:p>
      <w:pPr>
        <w:pStyle w:val="Compact"/>
        <w:numPr>
          <w:ilvl w:val="0"/>
          <w:numId w:val="1001"/>
        </w:numPr>
      </w:pPr>
      <w:r>
        <w:t xml:space="preserve">Cabildeo (</w:t>
      </w:r>
      <w:r>
        <w:rPr>
          <w:i/>
          <w:iCs/>
        </w:rPr>
        <w:t xml:space="preserve">lobbying</w:t>
      </w:r>
      <w:r>
        <w:t xml:space="preserve">) industrial y grupos de interés</w:t>
      </w:r>
    </w:p>
    <w:p>
      <w:pPr>
        <w:pStyle w:val="Compact"/>
        <w:numPr>
          <w:ilvl w:val="0"/>
          <w:numId w:val="1001"/>
        </w:numPr>
      </w:pPr>
      <w:r>
        <w:t xml:space="preserve">Negociaciones bilaterales y acuerdos comerciales</w:t>
      </w:r>
    </w:p>
    <w:p>
      <w:pPr>
        <w:pStyle w:val="Compact"/>
        <w:numPr>
          <w:ilvl w:val="0"/>
          <w:numId w:val="1001"/>
        </w:numPr>
      </w:pPr>
      <w:r>
        <w:t xml:space="preserve">Prensa especializada en comercio internacional</w:t>
      </w:r>
    </w:p>
    <w:p>
      <w:pPr>
        <w:pStyle w:val="FirstParagraph"/>
      </w:pPr>
      <w:r>
        <w:t xml:space="preserve">Cada entrada incluye el nombre de la fuente, el enlace (URL) y una breve nota sobre su utilidad para el proyecto. Este mapa se irá actualizando a medida que avance la investigación; sirve como base para la elaboración del cronograma detallado y de las secciones temáticas del informe final.</w:t>
      </w:r>
    </w:p>
    <w:p>
      <w:pPr>
        <w:pStyle w:val="BodyText"/>
      </w:pPr>
      <w:r>
        <w:t xml:space="preserve">Un hallazgo temprano importante que deberá guiar la estructura del cronograma: la Corte Suprema de EE.UU. declaró inválidos los aranceles impuestos bajo la Ley de Poderes Económicos de Emergencia Internacional (IEEPA, por sus siglas en inglés) en el caso</w:t>
      </w:r>
      <w:r>
        <w:t xml:space="preserve"> </w:t>
      </w:r>
      <w:r>
        <w:rPr>
          <w:i/>
          <w:iCs/>
        </w:rPr>
        <w:t xml:space="preserve">Learning Resources, Inc. v. Trump</w:t>
      </w:r>
      <w:r>
        <w:t xml:space="preserve"> </w:t>
      </w:r>
      <w:r>
        <w:t xml:space="preserve">(fallo del 20 de febrero de 2026), y la administración los reemplazó parcialmente con un nuevo recargo bajo la Sección 122 de la Trade Act de 1974. Esto marca un punto de quiebre central en la narrativa y se detalla en la sección 3 más abajo.</w:t>
      </w:r>
    </w:p>
    <w:bookmarkEnd w:id="20"/>
    <w:bookmarkStart w:id="34" w:name="fuentes-oficiales-del-gobierno-de-ee.uu."/>
    <w:p>
      <w:pPr>
        <w:pStyle w:val="Heading1"/>
      </w:pPr>
      <w:r>
        <w:t xml:space="preserve">2. Fuentes oficiales del gobierno de EE.UU.</w:t>
      </w:r>
    </w:p>
    <w:p>
      <w:pPr>
        <w:pStyle w:val="FirstParagraph"/>
      </w:pPr>
      <w:r>
        <w:t xml:space="preserve">Estas son las fuentes primarias: texto legal de las medidas, fechas exactas de entrada en vigor, tasas arancelarias oficiales y comunicados de la propia administración.</w:t>
      </w:r>
    </w:p>
    <w:p>
      <w:pPr>
        <w:pStyle w:val="Compact"/>
        <w:numPr>
          <w:ilvl w:val="0"/>
          <w:numId w:val="1002"/>
        </w:numPr>
      </w:pPr>
      <w:r>
        <w:rPr>
          <w:b/>
          <w:bCs/>
        </w:rPr>
        <w:t xml:space="preserve">USTR — Presidential Tariff Actions</w:t>
      </w:r>
      <w:r>
        <w:t xml:space="preserve"> </w:t>
      </w:r>
      <w:r>
        <w:t xml:space="preserve">(Oficina del Representante Comercial de EE.UU.): página oficial que consolida todas las acciones arancelarias presidenciales. Punto de partida obligado para el cronograma. —</w:t>
      </w:r>
      <w:r>
        <w:t xml:space="preserve"> </w:t>
      </w:r>
      <w:hyperlink r:id="rId21">
        <w:r>
          <w:rPr>
            <w:rStyle w:val="Hyperlink"/>
          </w:rPr>
          <w:t xml:space="preserve">https://ustr.gov/trade-topics/presidential-tariff-actions</w:t>
        </w:r>
      </w:hyperlink>
    </w:p>
    <w:p>
      <w:pPr>
        <w:pStyle w:val="Compact"/>
        <w:numPr>
          <w:ilvl w:val="0"/>
          <w:numId w:val="1002"/>
        </w:numPr>
      </w:pPr>
      <w:r>
        <w:rPr>
          <w:b/>
          <w:bCs/>
        </w:rPr>
        <w:t xml:space="preserve">USTR — U.S. Harmonized Tariff Schedule (HTS)</w:t>
      </w:r>
      <w:r>
        <w:t xml:space="preserve">: acceso al arancel armonizado de EE.UU., útil para el análisis por producto en la Parte 2. —</w:t>
      </w:r>
      <w:r>
        <w:t xml:space="preserve"> </w:t>
      </w:r>
      <w:hyperlink r:id="rId22">
        <w:r>
          <w:rPr>
            <w:rStyle w:val="Hyperlink"/>
          </w:rPr>
          <w:t xml:space="preserve">https://ustr.gov/callout/us-harmonized-tariff-schedule-hts</w:t>
        </w:r>
      </w:hyperlink>
    </w:p>
    <w:p>
      <w:pPr>
        <w:pStyle w:val="Compact"/>
        <w:numPr>
          <w:ilvl w:val="0"/>
          <w:numId w:val="1002"/>
        </w:numPr>
      </w:pPr>
      <w:r>
        <w:rPr>
          <w:b/>
          <w:bCs/>
        </w:rPr>
        <w:t xml:space="preserve">USTR — Fact Sheet: Section 301 Action against Brazil</w:t>
      </w:r>
      <w:r>
        <w:t xml:space="preserve">: ejemplo de comunicado oficial de una acción Section 301 específica (Brasil), modelo para documentar otras acciones país por país. —</w:t>
      </w:r>
      <w:r>
        <w:t xml:space="preserve"> </w:t>
      </w:r>
      <w:hyperlink r:id="rId23">
        <w:r>
          <w:rPr>
            <w:rStyle w:val="Hyperlink"/>
          </w:rPr>
          <w:t xml:space="preserve">https://ustr.gov/node/14362</w:t>
        </w:r>
      </w:hyperlink>
    </w:p>
    <w:p>
      <w:pPr>
        <w:pStyle w:val="Compact"/>
        <w:numPr>
          <w:ilvl w:val="0"/>
          <w:numId w:val="1002"/>
        </w:numPr>
      </w:pPr>
      <w:r>
        <w:rPr>
          <w:b/>
          <w:bCs/>
        </w:rPr>
        <w:t xml:space="preserve">The White House — Presidential Actions</w:t>
      </w:r>
      <w:r>
        <w:t xml:space="preserve">: texto íntegro de las órdenes ejecutivas y proclamas (p. ej.</w:t>
      </w:r>
      <w:r>
        <w:t xml:space="preserve"> </w:t>
      </w:r>
      <w:r>
        <w:t xml:space="preserve">“Further Modifying the Reciprocal Tariff Rates”</w:t>
      </w:r>
      <w:r>
        <w:t xml:space="preserve">,</w:t>
      </w:r>
      <w:r>
        <w:t xml:space="preserve"> </w:t>
      </w:r>
      <w:r>
        <w:t xml:space="preserve">“Ending Certain Tariff Actions”</w:t>
      </w:r>
      <w:r>
        <w:t xml:space="preserve">). —</w:t>
      </w:r>
      <w:r>
        <w:t xml:space="preserve"> </w:t>
      </w:r>
      <w:hyperlink r:id="rId24">
        <w:r>
          <w:rPr>
            <w:rStyle w:val="Hyperlink"/>
          </w:rPr>
          <w:t xml:space="preserve">https://www.whitehouse.gov/presidential-actions/</w:t>
        </w:r>
      </w:hyperlink>
    </w:p>
    <w:p>
      <w:pPr>
        <w:pStyle w:val="Compact"/>
        <w:numPr>
          <w:ilvl w:val="0"/>
          <w:numId w:val="1002"/>
        </w:numPr>
      </w:pPr>
      <w:r>
        <w:rPr>
          <w:b/>
          <w:bCs/>
        </w:rPr>
        <w:t xml:space="preserve">Federal Register</w:t>
      </w:r>
      <w:r>
        <w:t xml:space="preserve">: publicación oficial de reglas, proclamas y órdenes ejecutivas con fecha de vigencia legal; permite verificar el texto exacto de cada medida y sus modificaciones. —</w:t>
      </w:r>
      <w:r>
        <w:t xml:space="preserve"> </w:t>
      </w:r>
      <w:hyperlink r:id="rId25">
        <w:r>
          <w:rPr>
            <w:rStyle w:val="Hyperlink"/>
          </w:rPr>
          <w:t xml:space="preserve">https://www.federalregister.gov/</w:t>
        </w:r>
      </w:hyperlink>
      <w:r>
        <w:t xml:space="preserve"> </w:t>
      </w:r>
      <w:r>
        <w:t xml:space="preserve">(ejemplo:</w:t>
      </w:r>
      <w:r>
        <w:t xml:space="preserve"> </w:t>
      </w:r>
      <w:r>
        <w:t xml:space="preserve">“Ending Certain Tariff Actions”</w:t>
      </w:r>
      <w:r>
        <w:t xml:space="preserve">,</w:t>
      </w:r>
      <w:r>
        <w:t xml:space="preserve"> </w:t>
      </w:r>
      <w:hyperlink r:id="rId26">
        <w:r>
          <w:rPr>
            <w:rStyle w:val="Hyperlink"/>
          </w:rPr>
          <w:t xml:space="preserve">https://www.federalregister.gov/documents/2026/02/25/2026-03832/ending-certain-tariff-actions</w:t>
        </w:r>
      </w:hyperlink>
      <w:r>
        <w:t xml:space="preserve">)</w:t>
      </w:r>
    </w:p>
    <w:p>
      <w:pPr>
        <w:pStyle w:val="Compact"/>
        <w:numPr>
          <w:ilvl w:val="0"/>
          <w:numId w:val="1002"/>
        </w:numPr>
      </w:pPr>
      <w:r>
        <w:rPr>
          <w:b/>
          <w:bCs/>
        </w:rPr>
        <w:t xml:space="preserve">U.S. Customs and Border Protection (CBP)</w:t>
      </w:r>
      <w:r>
        <w:t xml:space="preserve">: guías de implementación aduanera, avisos a importadores y anuncios operativos (p. ej. el aviso sobre el</w:t>
      </w:r>
      <w:r>
        <w:t xml:space="preserve"> </w:t>
      </w:r>
      <w:r>
        <w:t xml:space="preserve">“Liberation Day”</w:t>
      </w:r>
      <w:r>
        <w:t xml:space="preserve">). —</w:t>
      </w:r>
      <w:r>
        <w:t xml:space="preserve"> </w:t>
      </w:r>
      <w:hyperlink r:id="rId27">
        <w:r>
          <w:rPr>
            <w:rStyle w:val="Hyperlink"/>
          </w:rPr>
          <w:t xml:space="preserve">https://www.cbp.gov/newsroom</w:t>
        </w:r>
      </w:hyperlink>
    </w:p>
    <w:p>
      <w:pPr>
        <w:pStyle w:val="Compact"/>
        <w:numPr>
          <w:ilvl w:val="0"/>
          <w:numId w:val="1002"/>
        </w:numPr>
      </w:pPr>
      <w:r>
        <w:rPr>
          <w:b/>
          <w:bCs/>
        </w:rPr>
        <w:t xml:space="preserve">Bureau of Industry and Security (BIS), Dept. of Commerce — Section 232 Investigations</w:t>
      </w:r>
      <w:r>
        <w:t xml:space="preserve">: investigaciones y procesos de inclusión/exclusión de productos bajo la Sección 232 (acero, aluminio y otros). —</w:t>
      </w:r>
      <w:r>
        <w:t xml:space="preserve"> </w:t>
      </w:r>
      <w:hyperlink r:id="rId28">
        <w:r>
          <w:rPr>
            <w:rStyle w:val="Hyperlink"/>
          </w:rPr>
          <w:t xml:space="preserve">https://www.bis.gov/about-bis/bis-leadership-and-offices/SIES/section-232-investigations/section-232-steel-aluminum</w:t>
        </w:r>
      </w:hyperlink>
    </w:p>
    <w:p>
      <w:pPr>
        <w:pStyle w:val="Compact"/>
        <w:numPr>
          <w:ilvl w:val="0"/>
          <w:numId w:val="1002"/>
        </w:numPr>
      </w:pPr>
      <w:r>
        <w:rPr>
          <w:b/>
          <w:bCs/>
        </w:rPr>
        <w:t xml:space="preserve">Congressional Research Service (CRS) —</w:t>
      </w:r>
      <w:r>
        <w:rPr>
          <w:b/>
          <w:bCs/>
        </w:rPr>
        <w:t xml:space="preserve"> </w:t>
      </w:r>
      <w:r>
        <w:rPr>
          <w:b/>
          <w:bCs/>
        </w:rPr>
        <w:t xml:space="preserve">“Presidential 2025 Tariff Actions: Timeline and Status”</w:t>
      </w:r>
      <w:r>
        <w:rPr>
          <w:b/>
          <w:bCs/>
        </w:rPr>
        <w:t xml:space="preserve"> </w:t>
      </w:r>
      <w:r>
        <w:rPr>
          <w:b/>
          <w:bCs/>
        </w:rPr>
        <w:t xml:space="preserve">(R48549)</w:t>
      </w:r>
      <w:r>
        <w:t xml:space="preserve">: el documento más útil como columna vertebral del cronograma; se actualiza periódicamente (versión más reciente identificada: 12 de enero de 2026) y resume cada acción con su base legal, fecha y estado. —</w:t>
      </w:r>
      <w:r>
        <w:t xml:space="preserve"> </w:t>
      </w:r>
      <w:hyperlink r:id="rId29">
        <w:r>
          <w:rPr>
            <w:rStyle w:val="Hyperlink"/>
          </w:rPr>
          <w:t xml:space="preserve">https://www.congress.gov/crs-product/R48549</w:t>
        </w:r>
      </w:hyperlink>
      <w:r>
        <w:t xml:space="preserve"> </w:t>
      </w:r>
      <w:r>
        <w:t xml:space="preserve">(copia de EveryCRSReport:</w:t>
      </w:r>
      <w:r>
        <w:t xml:space="preserve"> </w:t>
      </w:r>
      <w:hyperlink r:id="rId30">
        <w:r>
          <w:rPr>
            <w:rStyle w:val="Hyperlink"/>
          </w:rPr>
          <w:t xml:space="preserve">https://www.everycrsreport.com/files/2025-07-30_R48549_c67e64d04f991ea03fd9a36b32907ff4feef1132.html</w:t>
        </w:r>
      </w:hyperlink>
      <w:r>
        <w:t xml:space="preserve">)</w:t>
      </w:r>
    </w:p>
    <w:p>
      <w:pPr>
        <w:pStyle w:val="Compact"/>
        <w:numPr>
          <w:ilvl w:val="0"/>
          <w:numId w:val="1002"/>
        </w:numPr>
      </w:pPr>
      <w:r>
        <w:rPr>
          <w:b/>
          <w:bCs/>
        </w:rPr>
        <w:t xml:space="preserve">CRS —</w:t>
      </w:r>
      <w:r>
        <w:rPr>
          <w:b/>
          <w:bCs/>
        </w:rPr>
        <w:t xml:space="preserve"> </w:t>
      </w:r>
      <w:r>
        <w:rPr>
          <w:b/>
          <w:bCs/>
        </w:rPr>
        <w:t xml:space="preserve">“U.S. Tariffs and the 2025 U.S.-Japan Framework Agreement”</w:t>
      </w:r>
      <w:r>
        <w:rPr>
          <w:b/>
          <w:bCs/>
        </w:rPr>
        <w:t xml:space="preserve"> </w:t>
      </w:r>
      <w:r>
        <w:rPr>
          <w:b/>
          <w:bCs/>
        </w:rPr>
        <w:t xml:space="preserve">(IN12608)</w:t>
      </w:r>
      <w:r>
        <w:t xml:space="preserve">: nota específica sobre el marco comercial con Japón. —</w:t>
      </w:r>
      <w:r>
        <w:t xml:space="preserve"> </w:t>
      </w:r>
      <w:hyperlink r:id="rId31">
        <w:r>
          <w:rPr>
            <w:rStyle w:val="Hyperlink"/>
          </w:rPr>
          <w:t xml:space="preserve">https://www.congress.gov/crs_external_products/IN/PDF/IN12608/IN12608.3.pdf</w:t>
        </w:r>
      </w:hyperlink>
    </w:p>
    <w:p>
      <w:pPr>
        <w:pStyle w:val="Compact"/>
        <w:numPr>
          <w:ilvl w:val="0"/>
          <w:numId w:val="1002"/>
        </w:numPr>
      </w:pPr>
      <w:r>
        <w:rPr>
          <w:b/>
          <w:bCs/>
        </w:rPr>
        <w:t xml:space="preserve">CRS — Legal Sidebar sobre el fallo de la Corte Suprema (LSB11398)</w:t>
      </w:r>
      <w:r>
        <w:t xml:space="preserve">: análisis jurídico oficial del Congreso sobre</w:t>
      </w:r>
      <w:r>
        <w:t xml:space="preserve"> </w:t>
      </w:r>
      <w:r>
        <w:rPr>
          <w:i/>
          <w:iCs/>
        </w:rPr>
        <w:t xml:space="preserve">Learning Resources v. Trump</w:t>
      </w:r>
      <w:r>
        <w:t xml:space="preserve">. —</w:t>
      </w:r>
      <w:r>
        <w:t xml:space="preserve"> </w:t>
      </w:r>
      <w:hyperlink r:id="rId32">
        <w:r>
          <w:rPr>
            <w:rStyle w:val="Hyperlink"/>
          </w:rPr>
          <w:t xml:space="preserve">https://www.congress.gov/crs-product/LSB11398</w:t>
        </w:r>
      </w:hyperlink>
    </w:p>
    <w:p>
      <w:pPr>
        <w:pStyle w:val="Compact"/>
        <w:numPr>
          <w:ilvl w:val="0"/>
          <w:numId w:val="1002"/>
        </w:numPr>
      </w:pPr>
      <w:r>
        <w:rPr>
          <w:b/>
          <w:bCs/>
        </w:rPr>
        <w:t xml:space="preserve">Congress.gov — CRS Reports (buscador)</w:t>
      </w:r>
      <w:r>
        <w:t xml:space="preserve">: para localizar notas adicionales (CRS Insight, In Focus) sobre temas puntuales según avance la redacción. —</w:t>
      </w:r>
      <w:r>
        <w:t xml:space="preserve"> </w:t>
      </w:r>
      <w:hyperlink r:id="rId33">
        <w:r>
          <w:rPr>
            <w:rStyle w:val="Hyperlink"/>
          </w:rPr>
          <w:t xml:space="preserve">https://www.congress.gov/search?q=%7B%22source%22%3A%22crs%22%2C%22search%22%3A%22tariffs%22%7D</w:t>
        </w:r>
      </w:hyperlink>
    </w:p>
    <w:bookmarkEnd w:id="34"/>
    <w:bookmarkStart w:id="46" w:name="X6feff2eeadd302ead9ca961e1087bfacab60893"/>
    <w:p>
      <w:pPr>
        <w:pStyle w:val="Heading1"/>
      </w:pPr>
      <w:r>
        <w:t xml:space="preserve">3. Sitios y</w:t>
      </w:r>
      <w:r>
        <w:t xml:space="preserve"> </w:t>
      </w:r>
      <w:r>
        <w:t xml:space="preserve">“trackers”</w:t>
      </w:r>
      <w:r>
        <w:t xml:space="preserve"> </w:t>
      </w:r>
      <w:r>
        <w:t xml:space="preserve">especializados en seguimiento de la política comercial</w:t>
      </w:r>
    </w:p>
    <w:p>
      <w:pPr>
        <w:pStyle w:val="FirstParagraph"/>
      </w:pPr>
      <w:r>
        <w:t xml:space="preserve">Estos sitios consolidan y actualizan continuamente el estado de los aranceles; son muy útiles para verificar fechas y tasas vigentes, y para triangular la información oficial.</w:t>
      </w:r>
    </w:p>
    <w:p>
      <w:pPr>
        <w:pStyle w:val="Compact"/>
        <w:numPr>
          <w:ilvl w:val="0"/>
          <w:numId w:val="1003"/>
        </w:numPr>
      </w:pPr>
      <w:r>
        <w:rPr>
          <w:b/>
          <w:bCs/>
        </w:rPr>
        <w:t xml:space="preserve">Peterson Institute for International Economics (PIIE) — Tariffs (portal temático)</w:t>
      </w:r>
      <w:r>
        <w:t xml:space="preserve">: agrupa todos los análisis,</w:t>
      </w:r>
      <w:r>
        <w:t xml:space="preserve"> </w:t>
      </w:r>
      <w:r>
        <w:rPr>
          <w:i/>
          <w:iCs/>
        </w:rPr>
        <w:t xml:space="preserve">trackers</w:t>
      </w:r>
      <w:r>
        <w:t xml:space="preserve"> </w:t>
      </w:r>
      <w:r>
        <w:t xml:space="preserve">y</w:t>
      </w:r>
      <w:r>
        <w:t xml:space="preserve"> </w:t>
      </w:r>
      <w:r>
        <w:rPr>
          <w:i/>
          <w:iCs/>
        </w:rPr>
        <w:t xml:space="preserve">working papers</w:t>
      </w:r>
      <w:r>
        <w:t xml:space="preserve"> </w:t>
      </w:r>
      <w:r>
        <w:t xml:space="preserve">de PIIE sobre aranceles. —</w:t>
      </w:r>
      <w:r>
        <w:t xml:space="preserve"> </w:t>
      </w:r>
      <w:hyperlink r:id="rId35">
        <w:r>
          <w:rPr>
            <w:rStyle w:val="Hyperlink"/>
          </w:rPr>
          <w:t xml:space="preserve">https://www.piie.com/research/trade-investment/tariffs</w:t>
        </w:r>
      </w:hyperlink>
    </w:p>
    <w:p>
      <w:pPr>
        <w:pStyle w:val="Compact"/>
        <w:numPr>
          <w:ilvl w:val="0"/>
          <w:numId w:val="1003"/>
        </w:numPr>
      </w:pPr>
      <w:r>
        <w:rPr>
          <w:b/>
          <w:bCs/>
        </w:rPr>
        <w:t xml:space="preserve">PIIE — Trump’s Tariff Revenue Tracker</w:t>
      </w:r>
      <w:r>
        <w:t xml:space="preserve">: seguimiento de la recaudación arancelaria y de qué productos/países están más afectados. —</w:t>
      </w:r>
      <w:r>
        <w:t xml:space="preserve"> </w:t>
      </w:r>
      <w:hyperlink r:id="rId36">
        <w:r>
          <w:rPr>
            <w:rStyle w:val="Hyperlink"/>
          </w:rPr>
          <w:t xml:space="preserve">https://www.piie.com/research/piie-charts/2025/trumps-tariff-revenue-tracker-how-much-us-collecting-which-imports-are</w:t>
        </w:r>
      </w:hyperlink>
    </w:p>
    <w:p>
      <w:pPr>
        <w:pStyle w:val="Compact"/>
        <w:numPr>
          <w:ilvl w:val="0"/>
          <w:numId w:val="1003"/>
        </w:numPr>
      </w:pPr>
      <w:r>
        <w:rPr>
          <w:b/>
          <w:bCs/>
        </w:rPr>
        <w:t xml:space="preserve">PIIE —</w:t>
      </w:r>
      <w:r>
        <w:rPr>
          <w:b/>
          <w:bCs/>
        </w:rPr>
        <w:t xml:space="preserve"> </w:t>
      </w:r>
      <w:r>
        <w:rPr>
          <w:b/>
          <w:bCs/>
        </w:rPr>
        <w:t xml:space="preserve">“The global trade war: An update”</w:t>
      </w:r>
      <w:r>
        <w:t xml:space="preserve">: serie de actualizaciones narrativas sobre la guerra comercial global. —</w:t>
      </w:r>
      <w:r>
        <w:t xml:space="preserve"> </w:t>
      </w:r>
      <w:hyperlink r:id="rId37">
        <w:r>
          <w:rPr>
            <w:rStyle w:val="Hyperlink"/>
          </w:rPr>
          <w:t xml:space="preserve">https://www.piie.com/blogs/realtime-economics/2025/global-trade-war-update</w:t>
        </w:r>
      </w:hyperlink>
    </w:p>
    <w:p>
      <w:pPr>
        <w:pStyle w:val="Compact"/>
        <w:numPr>
          <w:ilvl w:val="0"/>
          <w:numId w:val="1003"/>
        </w:numPr>
      </w:pPr>
      <w:r>
        <w:rPr>
          <w:b/>
          <w:bCs/>
        </w:rPr>
        <w:t xml:space="preserve">Tax Foundation — Trump Tariffs Tracker</w:t>
      </w:r>
      <w:r>
        <w:t xml:space="preserve">: tasas, recaudación estimada e impacto económico, actualizado regularmente y con buena documentación metodológica. —</w:t>
      </w:r>
      <w:r>
        <w:t xml:space="preserve"> </w:t>
      </w:r>
      <w:hyperlink r:id="rId38">
        <w:r>
          <w:rPr>
            <w:rStyle w:val="Hyperlink"/>
          </w:rPr>
          <w:t xml:space="preserve">https://taxfoundation.org/research/all/federal/trump-tariffs-trade-war/</w:t>
        </w:r>
      </w:hyperlink>
    </w:p>
    <w:p>
      <w:pPr>
        <w:pStyle w:val="Compact"/>
        <w:numPr>
          <w:ilvl w:val="0"/>
          <w:numId w:val="1003"/>
        </w:numPr>
      </w:pPr>
      <w:r>
        <w:rPr>
          <w:b/>
          <w:bCs/>
        </w:rPr>
        <w:t xml:space="preserve">Tax Policy Center — TPC Tariff Tracker</w:t>
      </w:r>
      <w:r>
        <w:t xml:space="preserve">: seguimiento independiente enfocado en efectos fiscales y distributivos. —</w:t>
      </w:r>
      <w:r>
        <w:t xml:space="preserve"> </w:t>
      </w:r>
      <w:hyperlink r:id="rId39">
        <w:r>
          <w:rPr>
            <w:rStyle w:val="Hyperlink"/>
          </w:rPr>
          <w:t xml:space="preserve">https://taxpolicycenter.org/features/tracking-trump-tariffs</w:t>
        </w:r>
      </w:hyperlink>
    </w:p>
    <w:p>
      <w:pPr>
        <w:pStyle w:val="Compact"/>
        <w:numPr>
          <w:ilvl w:val="0"/>
          <w:numId w:val="1003"/>
        </w:numPr>
      </w:pPr>
      <w:r>
        <w:rPr>
          <w:b/>
          <w:bCs/>
        </w:rPr>
        <w:t xml:space="preserve">Atlantic Council — Trump Tariff Tracker (GeoEconomics Center)</w:t>
      </w:r>
      <w:r>
        <w:t xml:space="preserve">: cronología interactiva con enfoque geoeconómico y geopolítico. —</w:t>
      </w:r>
      <w:r>
        <w:t xml:space="preserve"> </w:t>
      </w:r>
      <w:hyperlink r:id="rId40">
        <w:r>
          <w:rPr>
            <w:rStyle w:val="Hyperlink"/>
          </w:rPr>
          <w:t xml:space="preserve">https://www.atlanticcouncil.org/programs/geoeconomics-center/trump-tariff-tracker/</w:t>
        </w:r>
      </w:hyperlink>
    </w:p>
    <w:p>
      <w:pPr>
        <w:pStyle w:val="Compact"/>
        <w:numPr>
          <w:ilvl w:val="0"/>
          <w:numId w:val="1003"/>
        </w:numPr>
      </w:pPr>
      <w:r>
        <w:rPr>
          <w:b/>
          <w:bCs/>
        </w:rPr>
        <w:t xml:space="preserve">Global Trade Alert —</w:t>
      </w:r>
      <w:r>
        <w:rPr>
          <w:b/>
          <w:bCs/>
        </w:rPr>
        <w:t xml:space="preserve"> </w:t>
      </w:r>
      <w:r>
        <w:rPr>
          <w:b/>
          <w:bCs/>
        </w:rPr>
        <w:t xml:space="preserve">“Tariff Watch: Real-Time Information on Trump’s Trade Deals”</w:t>
      </w:r>
      <w:r>
        <w:t xml:space="preserve">: seguimiento en tiempo real de los acuerdos comerciales bilaterales. —</w:t>
      </w:r>
      <w:r>
        <w:t xml:space="preserve"> </w:t>
      </w:r>
      <w:hyperlink r:id="rId41">
        <w:r>
          <w:rPr>
            <w:rStyle w:val="Hyperlink"/>
          </w:rPr>
          <w:t xml:space="preserve">https://globaltradealert.org/reports/Real-Time-Information-on-Trump-Trade-Deals</w:t>
        </w:r>
      </w:hyperlink>
    </w:p>
    <w:p>
      <w:pPr>
        <w:pStyle w:val="Compact"/>
        <w:numPr>
          <w:ilvl w:val="0"/>
          <w:numId w:val="1003"/>
        </w:numPr>
      </w:pPr>
      <w:r>
        <w:rPr>
          <w:b/>
          <w:bCs/>
        </w:rPr>
        <w:t xml:space="preserve">Global Trade Alert —</w:t>
      </w:r>
      <w:r>
        <w:rPr>
          <w:b/>
          <w:bCs/>
        </w:rPr>
        <w:t xml:space="preserve"> </w:t>
      </w:r>
      <w:r>
        <w:rPr>
          <w:b/>
          <w:bCs/>
        </w:rPr>
        <w:t xml:space="preserve">“From IEEPA to Section 122: What Changed on 20 February 2026”</w:t>
      </w:r>
      <w:r>
        <w:t xml:space="preserve">: explicación puntual y cronológicamente precisa de la transición legal tras el fallo de la Corte Suprema. —</w:t>
      </w:r>
      <w:r>
        <w:t xml:space="preserve"> </w:t>
      </w:r>
      <w:hyperlink r:id="rId42">
        <w:r>
          <w:rPr>
            <w:rStyle w:val="Hyperlink"/>
          </w:rPr>
          <w:t xml:space="preserve">https://globaltradealert.org/blog/from-ieepa-to-section-122</w:t>
        </w:r>
      </w:hyperlink>
    </w:p>
    <w:p>
      <w:pPr>
        <w:pStyle w:val="Compact"/>
        <w:numPr>
          <w:ilvl w:val="0"/>
          <w:numId w:val="1003"/>
        </w:numPr>
      </w:pPr>
      <w:r>
        <w:rPr>
          <w:b/>
          <w:bCs/>
        </w:rPr>
        <w:t xml:space="preserve">Trade Compliance Resource Hub —</w:t>
      </w:r>
      <w:r>
        <w:rPr>
          <w:b/>
          <w:bCs/>
        </w:rPr>
        <w:t xml:space="preserve"> </w:t>
      </w:r>
      <w:r>
        <w:rPr>
          <w:b/>
          <w:bCs/>
        </w:rPr>
        <w:t xml:space="preserve">“Trump 2.0 Tariff Tracker”</w:t>
      </w:r>
      <w:r>
        <w:t xml:space="preserve">: tracker de cumplimiento aduanero mantenido por especialistas en comercio, actualizado casi semanalmente. —</w:t>
      </w:r>
      <w:r>
        <w:t xml:space="preserve"> </w:t>
      </w:r>
      <w:hyperlink r:id="rId43">
        <w:r>
          <w:rPr>
            <w:rStyle w:val="Hyperlink"/>
          </w:rPr>
          <w:t xml:space="preserve">https://www.tradecomplianceresourcehub.com/2026/08/19/trump-2-0-tariff-tracker/</w:t>
        </w:r>
      </w:hyperlink>
    </w:p>
    <w:p>
      <w:pPr>
        <w:pStyle w:val="Compact"/>
        <w:numPr>
          <w:ilvl w:val="0"/>
          <w:numId w:val="1003"/>
        </w:numPr>
      </w:pPr>
      <w:r>
        <w:rPr>
          <w:b/>
          <w:bCs/>
        </w:rPr>
        <w:t xml:space="preserve">Wiley Law — Trump Administration Tariff Tracker</w:t>
      </w:r>
      <w:r>
        <w:t xml:space="preserve">: versión de un bufete especializado en comercio internacional; útil para contrastar interpretaciones legales. —</w:t>
      </w:r>
      <w:r>
        <w:t xml:space="preserve"> </w:t>
      </w:r>
      <w:hyperlink r:id="rId44">
        <w:r>
          <w:rPr>
            <w:rStyle w:val="Hyperlink"/>
          </w:rPr>
          <w:t xml:space="preserve">https://www.wiley.law/trump-administration-tariff-tracker</w:t>
        </w:r>
      </w:hyperlink>
    </w:p>
    <w:p>
      <w:pPr>
        <w:pStyle w:val="Compact"/>
        <w:numPr>
          <w:ilvl w:val="0"/>
          <w:numId w:val="1003"/>
        </w:numPr>
      </w:pPr>
      <w:r>
        <w:rPr>
          <w:b/>
          <w:bCs/>
        </w:rPr>
        <w:t xml:space="preserve">Council on Foreign Relations (CFR) —</w:t>
      </w:r>
      <w:r>
        <w:rPr>
          <w:b/>
          <w:bCs/>
        </w:rPr>
        <w:t xml:space="preserve"> </w:t>
      </w:r>
      <w:r>
        <w:rPr>
          <w:b/>
          <w:bCs/>
        </w:rPr>
        <w:t xml:space="preserve">“Tracking Trump’s Trade Deals”</w:t>
      </w:r>
      <w:r>
        <w:t xml:space="preserve">: cronología específica de los acuerdos bilaterales alcanzados (más orientada a negociaciones que a aranceles unilaterales). —</w:t>
      </w:r>
      <w:r>
        <w:t xml:space="preserve"> </w:t>
      </w:r>
      <w:hyperlink r:id="rId45">
        <w:r>
          <w:rPr>
            <w:rStyle w:val="Hyperlink"/>
          </w:rPr>
          <w:t xml:space="preserve">https://www.cfr.org/articles/tracking-trumps-trade-deals</w:t>
        </w:r>
      </w:hyperlink>
    </w:p>
    <w:bookmarkEnd w:id="46"/>
    <w:bookmarkStart w:id="56" w:name="litigio-judicial-y-análisis-legal"/>
    <w:p>
      <w:pPr>
        <w:pStyle w:val="Heading1"/>
      </w:pPr>
      <w:r>
        <w:t xml:space="preserve">4. Litigio judicial y análisis legal</w:t>
      </w:r>
    </w:p>
    <w:p>
      <w:pPr>
        <w:pStyle w:val="FirstParagraph"/>
      </w:pPr>
      <w:r>
        <w:t xml:space="preserve">El componente judicial es central para la narrativa: qué instrumentos fueron impugnados, en qué tribunales, y qué los reemplazó.</w:t>
      </w:r>
    </w:p>
    <w:p>
      <w:pPr>
        <w:pStyle w:val="Compact"/>
        <w:numPr>
          <w:ilvl w:val="0"/>
          <w:numId w:val="1004"/>
        </w:numPr>
      </w:pPr>
      <w:r>
        <w:rPr>
          <w:b/>
          <w:bCs/>
        </w:rPr>
        <w:t xml:space="preserve">Corte Suprema de EE.UU. — Opinión en</w:t>
      </w:r>
      <w:r>
        <w:rPr>
          <w:b/>
          <w:bCs/>
        </w:rPr>
        <w:t xml:space="preserve"> </w:t>
      </w:r>
      <w:r>
        <w:rPr>
          <w:b/>
          <w:bCs/>
          <w:i/>
          <w:iCs/>
        </w:rPr>
        <w:t xml:space="preserve">Learning Resources, Inc. v. Trump</w:t>
      </w:r>
      <w:r>
        <w:rPr>
          <w:b/>
          <w:bCs/>
        </w:rPr>
        <w:t xml:space="preserve"> </w:t>
      </w:r>
      <w:r>
        <w:rPr>
          <w:b/>
          <w:bCs/>
        </w:rPr>
        <w:t xml:space="preserve">(24-1287), 20 de febrero de 2026</w:t>
      </w:r>
      <w:r>
        <w:t xml:space="preserve">: el texto íntegro del fallo que invalidó los aranceles bajo IEEPA. Fuente primaria imprescindible. —</w:t>
      </w:r>
      <w:r>
        <w:t xml:space="preserve"> </w:t>
      </w:r>
      <w:hyperlink r:id="rId47">
        <w:r>
          <w:rPr>
            <w:rStyle w:val="Hyperlink"/>
          </w:rPr>
          <w:t xml:space="preserve">https://www.supremecourt.gov/opinions/25pdf/24-1287_4gcj.pdf</w:t>
        </w:r>
      </w:hyperlink>
    </w:p>
    <w:p>
      <w:pPr>
        <w:pStyle w:val="Compact"/>
        <w:numPr>
          <w:ilvl w:val="0"/>
          <w:numId w:val="1004"/>
        </w:numPr>
      </w:pPr>
      <w:r>
        <w:rPr>
          <w:b/>
          <w:bCs/>
        </w:rPr>
        <w:t xml:space="preserve">Wikipedia —</w:t>
      </w:r>
      <w:r>
        <w:rPr>
          <w:b/>
          <w:bCs/>
        </w:rPr>
        <w:t xml:space="preserve"> </w:t>
      </w:r>
      <w:r>
        <w:rPr>
          <w:b/>
          <w:bCs/>
        </w:rPr>
        <w:t xml:space="preserve">“Learning Resources, Inc. v. Trump”</w:t>
      </w:r>
      <w:r>
        <w:t xml:space="preserve">: resumen útil como punto de partida y para verificar cronología del litigio (Corte de Comercio Internacional → Circuito Federal → Corte Suprema); debe contrastarse con fuentes primarias. —</w:t>
      </w:r>
      <w:r>
        <w:t xml:space="preserve"> </w:t>
      </w:r>
      <w:hyperlink r:id="rId48">
        <w:r>
          <w:rPr>
            <w:rStyle w:val="Hyperlink"/>
          </w:rPr>
          <w:t xml:space="preserve">https://en.wikipedia.org/wiki/Learning_Resources,_Inc._v._Trump</w:t>
        </w:r>
      </w:hyperlink>
    </w:p>
    <w:p>
      <w:pPr>
        <w:pStyle w:val="Compact"/>
        <w:numPr>
          <w:ilvl w:val="0"/>
          <w:numId w:val="1004"/>
        </w:numPr>
      </w:pPr>
      <w:r>
        <w:rPr>
          <w:b/>
          <w:bCs/>
        </w:rPr>
        <w:t xml:space="preserve">CRS Legal Sidebar —</w:t>
      </w:r>
      <w:r>
        <w:rPr>
          <w:b/>
          <w:bCs/>
        </w:rPr>
        <w:t xml:space="preserve"> </w:t>
      </w:r>
      <w:r>
        <w:rPr>
          <w:b/>
          <w:bCs/>
        </w:rPr>
        <w:t xml:space="preserve">“Supreme Court Rules Against Tariffs Imposed Under IEEPA”</w:t>
      </w:r>
      <w:r>
        <w:rPr>
          <w:b/>
          <w:bCs/>
        </w:rPr>
        <w:t xml:space="preserve"> </w:t>
      </w:r>
      <w:r>
        <w:rPr>
          <w:b/>
          <w:bCs/>
        </w:rPr>
        <w:t xml:space="preserve">(LSB11398)</w:t>
      </w:r>
      <w:r>
        <w:t xml:space="preserve">: análisis jurídico neutral del Congreso. —</w:t>
      </w:r>
      <w:r>
        <w:t xml:space="preserve"> </w:t>
      </w:r>
      <w:hyperlink r:id="rId32">
        <w:r>
          <w:rPr>
            <w:rStyle w:val="Hyperlink"/>
          </w:rPr>
          <w:t xml:space="preserve">https://www.congress.gov/crs-product/LSB11398</w:t>
        </w:r>
      </w:hyperlink>
    </w:p>
    <w:p>
      <w:pPr>
        <w:pStyle w:val="Compact"/>
        <w:numPr>
          <w:ilvl w:val="0"/>
          <w:numId w:val="1004"/>
        </w:numPr>
      </w:pPr>
      <w:r>
        <w:rPr>
          <w:b/>
          <w:bCs/>
        </w:rPr>
        <w:t xml:space="preserve">Holland &amp; Knight —</w:t>
      </w:r>
      <w:r>
        <w:rPr>
          <w:b/>
          <w:bCs/>
        </w:rPr>
        <w:t xml:space="preserve"> </w:t>
      </w:r>
      <w:r>
        <w:rPr>
          <w:b/>
          <w:bCs/>
        </w:rPr>
        <w:t xml:space="preserve">“Court of International Trade Orders Nationwide Tariff Refunds…”</w:t>
      </w:r>
      <w:r>
        <w:t xml:space="preserve">: seguimiento de las consecuencias prácticas del fallo (reembolsos a importadores). —</w:t>
      </w:r>
      <w:r>
        <w:t xml:space="preserve"> </w:t>
      </w:r>
      <w:hyperlink r:id="rId49">
        <w:r>
          <w:rPr>
            <w:rStyle w:val="Hyperlink"/>
          </w:rPr>
          <w:t xml:space="preserve">https://www.hklaw.com/en/insights/publications/2026/03/court-of-international-trade-orders-nationwide-tariff-refunds</w:t>
        </w:r>
      </w:hyperlink>
    </w:p>
    <w:p>
      <w:pPr>
        <w:pStyle w:val="Compact"/>
        <w:numPr>
          <w:ilvl w:val="0"/>
          <w:numId w:val="1004"/>
        </w:numPr>
      </w:pPr>
      <w:r>
        <w:rPr>
          <w:b/>
          <w:bCs/>
        </w:rPr>
        <w:t xml:space="preserve">BCLP —</w:t>
      </w:r>
      <w:r>
        <w:rPr>
          <w:b/>
          <w:bCs/>
        </w:rPr>
        <w:t xml:space="preserve"> </w:t>
      </w:r>
      <w:r>
        <w:rPr>
          <w:b/>
          <w:bCs/>
        </w:rPr>
        <w:t xml:space="preserve">“Federal Circuit Affirms IEEPA Tariffs’ Invalidation…”</w:t>
      </w:r>
      <w:r>
        <w:t xml:space="preserve">: cubre la etapa intermedia (Circuito Federal) antes de la Corte Suprema. —</w:t>
      </w:r>
      <w:r>
        <w:t xml:space="preserve"> </w:t>
      </w:r>
      <w:hyperlink r:id="rId50">
        <w:r>
          <w:rPr>
            <w:rStyle w:val="Hyperlink"/>
          </w:rPr>
          <w:t xml:space="preserve">https://www.bclplaw.com/en-US/events-insights-news/federal-circuit-affirms-ieepa-tariffs-invalidation-but-questions-persist-as-to-future-injunctive-and-monetary-relief-for-importers.html</w:t>
        </w:r>
      </w:hyperlink>
    </w:p>
    <w:p>
      <w:pPr>
        <w:pStyle w:val="Compact"/>
        <w:numPr>
          <w:ilvl w:val="0"/>
          <w:numId w:val="1004"/>
        </w:numPr>
      </w:pPr>
      <w:r>
        <w:rPr>
          <w:b/>
          <w:bCs/>
        </w:rPr>
        <w:t xml:space="preserve">DLA Piper —</w:t>
      </w:r>
      <w:r>
        <w:rPr>
          <w:b/>
          <w:bCs/>
        </w:rPr>
        <w:t xml:space="preserve"> </w:t>
      </w:r>
      <w:r>
        <w:rPr>
          <w:b/>
          <w:bCs/>
        </w:rPr>
        <w:t xml:space="preserve">“US Supreme Court holds IEEPA does not authorize tariffs: Key takeaways”</w:t>
      </w:r>
      <w:r>
        <w:t xml:space="preserve">: resumen legal orientado a empresas importadoras. —</w:t>
      </w:r>
      <w:r>
        <w:t xml:space="preserve"> </w:t>
      </w:r>
      <w:hyperlink r:id="rId51">
        <w:r>
          <w:rPr>
            <w:rStyle w:val="Hyperlink"/>
          </w:rPr>
          <w:t xml:space="preserve">https://www.dlapiper.com/en-us/insights/publications/2026/02/us-supreme-court-holds-ieepa-does-not-authorize-tariffs</w:t>
        </w:r>
      </w:hyperlink>
    </w:p>
    <w:p>
      <w:pPr>
        <w:pStyle w:val="Compact"/>
        <w:numPr>
          <w:ilvl w:val="0"/>
          <w:numId w:val="1004"/>
        </w:numPr>
      </w:pPr>
      <w:r>
        <w:rPr>
          <w:b/>
          <w:bCs/>
        </w:rPr>
        <w:t xml:space="preserve">WilmerHale —</w:t>
      </w:r>
      <w:r>
        <w:rPr>
          <w:b/>
          <w:bCs/>
        </w:rPr>
        <w:t xml:space="preserve"> </w:t>
      </w:r>
      <w:r>
        <w:rPr>
          <w:b/>
          <w:bCs/>
        </w:rPr>
        <w:t xml:space="preserve">“Supreme Court Strikes Down IEEPA Tariffs—What Now?”</w:t>
      </w:r>
      <w:r>
        <w:t xml:space="preserve">: análisis de implicancias y escenarios posteriores al fallo. —</w:t>
      </w:r>
      <w:r>
        <w:t xml:space="preserve"> </w:t>
      </w:r>
      <w:hyperlink r:id="rId52">
        <w:r>
          <w:rPr>
            <w:rStyle w:val="Hyperlink"/>
          </w:rPr>
          <w:t xml:space="preserve">https://www.wilmerhale.com/en/insights/client-alerts/20260220-supreme-court-strikes-down-ieepa-tariffs-what-now</w:t>
        </w:r>
      </w:hyperlink>
    </w:p>
    <w:p>
      <w:pPr>
        <w:pStyle w:val="Compact"/>
        <w:numPr>
          <w:ilvl w:val="0"/>
          <w:numId w:val="1004"/>
        </w:numPr>
      </w:pPr>
      <w:r>
        <w:rPr>
          <w:b/>
          <w:bCs/>
        </w:rPr>
        <w:t xml:space="preserve">Covington &amp; Burling —</w:t>
      </w:r>
      <w:r>
        <w:rPr>
          <w:b/>
          <w:bCs/>
        </w:rPr>
        <w:t xml:space="preserve"> </w:t>
      </w:r>
      <w:r>
        <w:rPr>
          <w:b/>
          <w:bCs/>
        </w:rPr>
        <w:t xml:space="preserve">“IEEPA Tariffs Terminated, Replacement Section 122 Tariffs Take Effect”</w:t>
      </w:r>
      <w:r>
        <w:t xml:space="preserve">: documenta específicamente la transición a la Sección 122. —</w:t>
      </w:r>
      <w:r>
        <w:t xml:space="preserve"> </w:t>
      </w:r>
      <w:hyperlink r:id="rId53">
        <w:r>
          <w:rPr>
            <w:rStyle w:val="Hyperlink"/>
          </w:rPr>
          <w:t xml:space="preserve">https://www.cov.com/en/news-and-insights/insights/2026/02/ieepa-tariffs-terminated-replacement-section-122-tariffs-take-effect</w:t>
        </w:r>
      </w:hyperlink>
    </w:p>
    <w:p>
      <w:pPr>
        <w:pStyle w:val="Compact"/>
        <w:numPr>
          <w:ilvl w:val="0"/>
          <w:numId w:val="1004"/>
        </w:numPr>
      </w:pPr>
      <w:r>
        <w:rPr>
          <w:b/>
          <w:bCs/>
        </w:rPr>
        <w:t xml:space="preserve">White &amp; Case —</w:t>
      </w:r>
      <w:r>
        <w:rPr>
          <w:b/>
          <w:bCs/>
        </w:rPr>
        <w:t xml:space="preserve"> </w:t>
      </w:r>
      <w:r>
        <w:rPr>
          <w:b/>
          <w:bCs/>
        </w:rPr>
        <w:t xml:space="preserve">“Trump Administration Imposes 10% Section 122 Tariff…”</w:t>
      </w:r>
      <w:r>
        <w:t xml:space="preserve">: detalle del nuevo instrumento que reemplazó a IEEPA. —</w:t>
      </w:r>
      <w:r>
        <w:t xml:space="preserve"> </w:t>
      </w:r>
      <w:hyperlink r:id="rId54">
        <w:r>
          <w:rPr>
            <w:rStyle w:val="Hyperlink"/>
          </w:rPr>
          <w:t xml:space="preserve">https://www.whitecase.com/insight-alert/trump-administration-imposes-10-section-122-tariff-plan-replace-ieepa-tariffs</w:t>
        </w:r>
      </w:hyperlink>
    </w:p>
    <w:p>
      <w:pPr>
        <w:pStyle w:val="Compact"/>
        <w:numPr>
          <w:ilvl w:val="0"/>
          <w:numId w:val="1004"/>
        </w:numPr>
      </w:pPr>
      <w:r>
        <w:rPr>
          <w:b/>
          <w:bCs/>
        </w:rPr>
        <w:t xml:space="preserve">worldtradelaw.net (International Economic Law and Policy Blog) —</w:t>
      </w:r>
      <w:r>
        <w:rPr>
          <w:b/>
          <w:bCs/>
        </w:rPr>
        <w:t xml:space="preserve"> </w:t>
      </w:r>
      <w:r>
        <w:rPr>
          <w:b/>
          <w:bCs/>
        </w:rPr>
        <w:t xml:space="preserve">“Section 122 as a (Partial) Replacement for the IEEPA Tariffs”</w:t>
      </w:r>
      <w:r>
        <w:t xml:space="preserve">: análisis académico-legal independiente sobre el alcance y límites de la Sección 122. —</w:t>
      </w:r>
      <w:r>
        <w:t xml:space="preserve"> </w:t>
      </w:r>
      <w:hyperlink r:id="rId55">
        <w:r>
          <w:rPr>
            <w:rStyle w:val="Hyperlink"/>
          </w:rPr>
          <w:t xml:space="preserve">https://ielp.worldtradelaw.net/2026/02/section-122-as-a-partial-replacement-for-the-ieepa-tariffs/</w:t>
        </w:r>
      </w:hyperlink>
    </w:p>
    <w:p>
      <w:pPr>
        <w:pStyle w:val="FirstParagraph"/>
      </w:pPr>
      <w:r>
        <w:rPr>
          <w:i/>
          <w:iCs/>
        </w:rPr>
        <w:t xml:space="preserve">Nota metodológica:</w:t>
      </w:r>
      <w:r>
        <w:t xml:space="preserve"> </w:t>
      </w:r>
      <w:r>
        <w:t xml:space="preserve">los bufetes de abogados (Holland &amp; Knight, DLA Piper, WilmerHale, Covington, White &amp; Case, Ropes &amp; Gray, K&amp;L Gates, Steptoe, BDO, Clark Hill) publican análisis de alta calidad técnica pero con una perspectiva orientada a clientes importadores; se usarán como fuente secundaria para cronología y mecánica legal, no como fuente de opinión sobre políticas.</w:t>
      </w:r>
    </w:p>
    <w:bookmarkEnd w:id="56"/>
    <w:bookmarkStart w:id="74" w:name="X90c4afd4406ed71b3546a990b0f16ca6f7f6c4d"/>
    <w:p>
      <w:pPr>
        <w:pStyle w:val="Heading1"/>
      </w:pPr>
      <w:r>
        <w:t xml:space="preserve">5. Literatura académica y de organismos multilaterales / de desarrollo</w:t>
      </w:r>
    </w:p>
    <w:p>
      <w:pPr>
        <w:pStyle w:val="Compact"/>
        <w:numPr>
          <w:ilvl w:val="0"/>
          <w:numId w:val="1005"/>
        </w:numPr>
      </w:pPr>
      <w:r>
        <w:rPr>
          <w:b/>
          <w:bCs/>
        </w:rPr>
        <w:t xml:space="preserve">National Bureau of Economic Research (NBER) — Working Papers relevantes</w:t>
      </w:r>
      <w:r>
        <w:t xml:space="preserve">:</w:t>
      </w:r>
    </w:p>
    <w:p>
      <w:pPr>
        <w:pStyle w:val="Compact"/>
        <w:numPr>
          <w:ilvl w:val="1"/>
          <w:numId w:val="1006"/>
        </w:numPr>
      </w:pPr>
      <w:r>
        <w:t xml:space="preserve">“Making America Great Again? The Economic Impacts of Liberation Day Tariffs”</w:t>
      </w:r>
      <w:r>
        <w:t xml:space="preserve"> </w:t>
      </w:r>
      <w:r>
        <w:t xml:space="preserve">—</w:t>
      </w:r>
      <w:r>
        <w:t xml:space="preserve"> </w:t>
      </w:r>
      <w:hyperlink r:id="rId57">
        <w:r>
          <w:rPr>
            <w:rStyle w:val="Hyperlink"/>
          </w:rPr>
          <w:t xml:space="preserve">https://www.nber.org/papers/w33771</w:t>
        </w:r>
      </w:hyperlink>
    </w:p>
    <w:p>
      <w:pPr>
        <w:pStyle w:val="Compact"/>
        <w:numPr>
          <w:ilvl w:val="1"/>
          <w:numId w:val="1006"/>
        </w:numPr>
      </w:pPr>
      <w:r>
        <w:t xml:space="preserve">“Tariffs in 2025: Short-Run Impacts on the U.S. Economy”</w:t>
      </w:r>
      <w:r>
        <w:t xml:space="preserve"> </w:t>
      </w:r>
      <w:r>
        <w:t xml:space="preserve">—</w:t>
      </w:r>
      <w:r>
        <w:t xml:space="preserve"> </w:t>
      </w:r>
      <w:hyperlink r:id="rId58">
        <w:r>
          <w:rPr>
            <w:rStyle w:val="Hyperlink"/>
          </w:rPr>
          <w:t xml:space="preserve">https://www.nber.org/papers/w35064</w:t>
        </w:r>
      </w:hyperlink>
    </w:p>
    <w:p>
      <w:pPr>
        <w:pStyle w:val="Compact"/>
        <w:numPr>
          <w:ilvl w:val="1"/>
          <w:numId w:val="1006"/>
        </w:numPr>
      </w:pPr>
      <w:r>
        <w:t xml:space="preserve">“Rounding up the Effect of Tariffs on Financial Markets: Evidence from April 2, 2025”</w:t>
      </w:r>
      <w:r>
        <w:t xml:space="preserve"> </w:t>
      </w:r>
      <w:r>
        <w:t xml:space="preserve">—</w:t>
      </w:r>
      <w:r>
        <w:t xml:space="preserve"> </w:t>
      </w:r>
      <w:hyperlink r:id="rId59">
        <w:r>
          <w:rPr>
            <w:rStyle w:val="Hyperlink"/>
          </w:rPr>
          <w:t xml:space="preserve">https://www.nber.org/papers/w34036</w:t>
        </w:r>
      </w:hyperlink>
    </w:p>
    <w:p>
      <w:pPr>
        <w:pStyle w:val="Compact"/>
        <w:numPr>
          <w:ilvl w:val="1"/>
          <w:numId w:val="1006"/>
        </w:numPr>
      </w:pPr>
      <w:r>
        <w:t xml:space="preserve">“Tariffs as Fiscal Policy”</w:t>
      </w:r>
      <w:r>
        <w:t xml:space="preserve"> </w:t>
      </w:r>
      <w:r>
        <w:t xml:space="preserve">—</w:t>
      </w:r>
      <w:r>
        <w:t xml:space="preserve"> </w:t>
      </w:r>
      <w:hyperlink r:id="rId60">
        <w:r>
          <w:rPr>
            <w:rStyle w:val="Hyperlink"/>
          </w:rPr>
          <w:t xml:space="preserve">https://www.nber.org/papers/w34192</w:t>
        </w:r>
      </w:hyperlink>
    </w:p>
    <w:p>
      <w:pPr>
        <w:pStyle w:val="Compact"/>
        <w:numPr>
          <w:ilvl w:val="1"/>
          <w:numId w:val="1006"/>
        </w:numPr>
      </w:pPr>
      <w:r>
        <w:t xml:space="preserve">“Tariffs, Investment, and the Missing Trade Collapse”</w:t>
      </w:r>
      <w:r>
        <w:t xml:space="preserve"> </w:t>
      </w:r>
      <w:r>
        <w:t xml:space="preserve">—</w:t>
      </w:r>
      <w:r>
        <w:t xml:space="preserve"> </w:t>
      </w:r>
      <w:hyperlink r:id="rId61">
        <w:r>
          <w:rPr>
            <w:rStyle w:val="Hyperlink"/>
          </w:rPr>
          <w:t xml:space="preserve">https://www.nber.org/papers/w35630</w:t>
        </w:r>
      </w:hyperlink>
    </w:p>
    <w:p>
      <w:pPr>
        <w:pStyle w:val="Compact"/>
        <w:numPr>
          <w:ilvl w:val="1"/>
          <w:numId w:val="1006"/>
        </w:numPr>
      </w:pPr>
      <w:r>
        <w:t xml:space="preserve">“Who’s Afraid of Tariffs?”</w:t>
      </w:r>
      <w:r>
        <w:t xml:space="preserve"> </w:t>
      </w:r>
      <w:r>
        <w:t xml:space="preserve">—</w:t>
      </w:r>
      <w:r>
        <w:t xml:space="preserve"> </w:t>
      </w:r>
      <w:hyperlink r:id="rId62">
        <w:r>
          <w:rPr>
            <w:rStyle w:val="Hyperlink"/>
          </w:rPr>
          <w:t xml:space="preserve">https://www.nber.org/system/files/working_papers/w34299/w34299.pdf</w:t>
        </w:r>
      </w:hyperlink>
    </w:p>
    <w:p>
      <w:pPr>
        <w:pStyle w:val="Compact"/>
        <w:numPr>
          <w:ilvl w:val="0"/>
          <w:numId w:val="1005"/>
        </w:numPr>
      </w:pPr>
      <w:r>
        <w:rPr>
          <w:b/>
          <w:bCs/>
        </w:rPr>
        <w:t xml:space="preserve">PIIE — Working Papers</w:t>
      </w:r>
      <w:r>
        <w:t xml:space="preserve">:</w:t>
      </w:r>
    </w:p>
    <w:p>
      <w:pPr>
        <w:pStyle w:val="Compact"/>
        <w:numPr>
          <w:ilvl w:val="1"/>
          <w:numId w:val="1007"/>
        </w:numPr>
      </w:pPr>
      <w:r>
        <w:t xml:space="preserve">“The global economic effects of Trump’s 2025 tariffs”</w:t>
      </w:r>
      <w:r>
        <w:t xml:space="preserve"> </w:t>
      </w:r>
      <w:r>
        <w:t xml:space="preserve">(WP 25-13) —</w:t>
      </w:r>
      <w:r>
        <w:t xml:space="preserve"> </w:t>
      </w:r>
      <w:hyperlink r:id="rId63">
        <w:r>
          <w:rPr>
            <w:rStyle w:val="Hyperlink"/>
          </w:rPr>
          <w:t xml:space="preserve">https://www.piie.com/sites/default/files/2025-06/wp25-13.pdf</w:t>
        </w:r>
      </w:hyperlink>
    </w:p>
    <w:p>
      <w:pPr>
        <w:pStyle w:val="Compact"/>
        <w:numPr>
          <w:ilvl w:val="1"/>
          <w:numId w:val="1007"/>
        </w:numPr>
      </w:pPr>
      <w:r>
        <w:t xml:space="preserve">“How did Trump’s 2025 trade war affect the decoupling of US-China supply chains?”</w:t>
      </w:r>
      <w:r>
        <w:t xml:space="preserve"> </w:t>
      </w:r>
      <w:r>
        <w:t xml:space="preserve">—</w:t>
      </w:r>
      <w:r>
        <w:t xml:space="preserve"> </w:t>
      </w:r>
      <w:hyperlink r:id="rId64">
        <w:r>
          <w:rPr>
            <w:rStyle w:val="Hyperlink"/>
          </w:rPr>
          <w:t xml:space="preserve">https://www.piie.com/publications/working-papers/2026/how-did-trumps-2025-trade-war-affect-decoupling-us-china-supply</w:t>
        </w:r>
      </w:hyperlink>
    </w:p>
    <w:p>
      <w:pPr>
        <w:pStyle w:val="Compact"/>
        <w:numPr>
          <w:ilvl w:val="1"/>
          <w:numId w:val="1007"/>
        </w:numPr>
      </w:pPr>
      <w:r>
        <w:t xml:space="preserve">“The Trump-China trade wars: Five takeaways from US imports in 2025”</w:t>
      </w:r>
      <w:r>
        <w:t xml:space="preserve"> </w:t>
      </w:r>
      <w:r>
        <w:t xml:space="preserve">—</w:t>
      </w:r>
      <w:r>
        <w:t xml:space="preserve"> </w:t>
      </w:r>
      <w:hyperlink r:id="rId65">
        <w:r>
          <w:rPr>
            <w:rStyle w:val="Hyperlink"/>
          </w:rPr>
          <w:t xml:space="preserve">https://www.piie.com/blogs/realtime-economics/2026/trump-china-trade-wars-five-takeaways-us-imports-2025</w:t>
        </w:r>
      </w:hyperlink>
    </w:p>
    <w:p>
      <w:pPr>
        <w:pStyle w:val="Compact"/>
        <w:numPr>
          <w:ilvl w:val="0"/>
          <w:numId w:val="1005"/>
        </w:numPr>
      </w:pPr>
      <w:r>
        <w:rPr>
          <w:b/>
          <w:bCs/>
        </w:rPr>
        <w:t xml:space="preserve">Brookings Institution — portal temático</w:t>
      </w:r>
      <w:r>
        <w:rPr>
          <w:b/>
          <w:bCs/>
        </w:rPr>
        <w:t xml:space="preserve"> </w:t>
      </w:r>
      <w:r>
        <w:rPr>
          <w:b/>
          <w:bCs/>
        </w:rPr>
        <w:t xml:space="preserve">“Tariffs”</w:t>
      </w:r>
      <w:r>
        <w:t xml:space="preserve">: agrupa artículos de política; destacan</w:t>
      </w:r>
      <w:r>
        <w:t xml:space="preserve"> </w:t>
      </w:r>
      <w:r>
        <w:t xml:space="preserve">“From rules to discretion: How Trump reconfigured US tariff policy”</w:t>
      </w:r>
      <w:r>
        <w:t xml:space="preserve"> </w:t>
      </w:r>
      <w:r>
        <w:t xml:space="preserve">y</w:t>
      </w:r>
      <w:r>
        <w:t xml:space="preserve"> </w:t>
      </w:r>
      <w:r>
        <w:t xml:space="preserve">“Is US trade policy on a new path?”</w:t>
      </w:r>
      <w:r>
        <w:t xml:space="preserve">. —</w:t>
      </w:r>
      <w:r>
        <w:t xml:space="preserve"> </w:t>
      </w:r>
      <w:hyperlink r:id="rId66">
        <w:r>
          <w:rPr>
            <w:rStyle w:val="Hyperlink"/>
          </w:rPr>
          <w:t xml:space="preserve">https://www.brookings.edu/tags/tariffs/</w:t>
        </w:r>
      </w:hyperlink>
    </w:p>
    <w:p>
      <w:pPr>
        <w:pStyle w:val="Compact"/>
        <w:numPr>
          <w:ilvl w:val="0"/>
          <w:numId w:val="1005"/>
        </w:numPr>
      </w:pPr>
      <w:r>
        <w:rPr>
          <w:b/>
          <w:bCs/>
        </w:rPr>
        <w:t xml:space="preserve">Cato Institute — portal</w:t>
      </w:r>
      <w:r>
        <w:rPr>
          <w:b/>
          <w:bCs/>
        </w:rPr>
        <w:t xml:space="preserve"> </w:t>
      </w:r>
      <w:r>
        <w:rPr>
          <w:b/>
          <w:bCs/>
        </w:rPr>
        <w:t xml:space="preserve">“IEEPA Tariffs”</w:t>
      </w:r>
      <w:r>
        <w:t xml:space="preserve">: perspectiva de libre mercado, crítica a los aranceles; incluye análisis sobre el proceso de exclusiones/inclusiones y su relación con el cabildeo (ver sección 5). —</w:t>
      </w:r>
      <w:r>
        <w:t xml:space="preserve"> </w:t>
      </w:r>
      <w:hyperlink r:id="rId67">
        <w:r>
          <w:rPr>
            <w:rStyle w:val="Hyperlink"/>
          </w:rPr>
          <w:t xml:space="preserve">https://www.cato.org/ieepa</w:t>
        </w:r>
      </w:hyperlink>
    </w:p>
    <w:p>
      <w:pPr>
        <w:pStyle w:val="Compact"/>
        <w:numPr>
          <w:ilvl w:val="0"/>
          <w:numId w:val="1005"/>
        </w:numPr>
      </w:pPr>
      <w:r>
        <w:rPr>
          <w:b/>
          <w:bCs/>
        </w:rPr>
        <w:t xml:space="preserve">CEPR / VoxEU — columna</w:t>
      </w:r>
      <w:r>
        <w:rPr>
          <w:b/>
          <w:bCs/>
        </w:rPr>
        <w:t xml:space="preserve"> </w:t>
      </w:r>
      <w:r>
        <w:rPr>
          <w:b/>
          <w:bCs/>
        </w:rPr>
        <w:t xml:space="preserve">“Trump and Tariffs”</w:t>
      </w:r>
      <w:r>
        <w:t xml:space="preserve">: colección curada de columnas de economistas académicos europeos y estadounidenses sobre los efectos macro y de comercio internacional. —</w:t>
      </w:r>
      <w:r>
        <w:t xml:space="preserve"> </w:t>
      </w:r>
      <w:hyperlink r:id="rId68">
        <w:r>
          <w:rPr>
            <w:rStyle w:val="Hyperlink"/>
          </w:rPr>
          <w:t xml:space="preserve">https://cepr.org/voxeu/trump-and-tariffs</w:t>
        </w:r>
      </w:hyperlink>
    </w:p>
    <w:p>
      <w:pPr>
        <w:pStyle w:val="Compact"/>
        <w:numPr>
          <w:ilvl w:val="0"/>
          <w:numId w:val="1005"/>
        </w:numPr>
      </w:pPr>
      <w:r>
        <w:rPr>
          <w:b/>
          <w:bCs/>
        </w:rPr>
        <w:t xml:space="preserve">Council on Foreign Relations (CFR)</w:t>
      </w:r>
      <w:r>
        <w:t xml:space="preserve">: además del</w:t>
      </w:r>
      <w:r>
        <w:t xml:space="preserve"> </w:t>
      </w:r>
      <w:r>
        <w:rPr>
          <w:i/>
          <w:iCs/>
        </w:rPr>
        <w:t xml:space="preserve">tracker</w:t>
      </w:r>
      <w:r>
        <w:t xml:space="preserve"> </w:t>
      </w:r>
      <w:r>
        <w:t xml:space="preserve">de acuerdos (sección 2), CFR publica análisis de política exterior/comercial. —</w:t>
      </w:r>
      <w:r>
        <w:t xml:space="preserve"> </w:t>
      </w:r>
      <w:hyperlink r:id="rId69">
        <w:r>
          <w:rPr>
            <w:rStyle w:val="Hyperlink"/>
          </w:rPr>
          <w:t xml:space="preserve">https://www.cfr.org/</w:t>
        </w:r>
      </w:hyperlink>
    </w:p>
    <w:p>
      <w:pPr>
        <w:pStyle w:val="Compact"/>
        <w:numPr>
          <w:ilvl w:val="0"/>
          <w:numId w:val="1005"/>
        </w:numPr>
      </w:pPr>
      <w:r>
        <w:rPr>
          <w:b/>
          <w:bCs/>
        </w:rPr>
        <w:t xml:space="preserve">Fondo Monetario Internacional (FMI)</w:t>
      </w:r>
      <w:r>
        <w:t xml:space="preserve">: declaraciones y análisis sobre el impacto de los aranceles en la economía global (p. ej. advertencias del FMI reportadas en octubre 2025). Buscar en el portal de investigación del FMI: —</w:t>
      </w:r>
      <w:r>
        <w:t xml:space="preserve"> </w:t>
      </w:r>
      <w:hyperlink r:id="rId70">
        <w:r>
          <w:rPr>
            <w:rStyle w:val="Hyperlink"/>
          </w:rPr>
          <w:t xml:space="preserve">https://www.imf.org/en/Publications/WEO</w:t>
        </w:r>
      </w:hyperlink>
    </w:p>
    <w:p>
      <w:pPr>
        <w:pStyle w:val="Compact"/>
        <w:numPr>
          <w:ilvl w:val="0"/>
          <w:numId w:val="1005"/>
        </w:numPr>
      </w:pPr>
      <w:r>
        <w:rPr>
          <w:b/>
          <w:bCs/>
        </w:rPr>
        <w:t xml:space="preserve">Organización Mundial del Comercio (OMC/WTO)</w:t>
      </w:r>
      <w:r>
        <w:t xml:space="preserve">: informes y pronósticos sobre comercio global afectados por la guerra arancelaria —</w:t>
      </w:r>
      <w:r>
        <w:t xml:space="preserve"> </w:t>
      </w:r>
      <w:hyperlink r:id="rId71">
        <w:r>
          <w:rPr>
            <w:rStyle w:val="Hyperlink"/>
          </w:rPr>
          <w:t xml:space="preserve">https://www.wto.org/english/news_e/news_e.htm</w:t>
        </w:r>
      </w:hyperlink>
    </w:p>
    <w:p>
      <w:pPr>
        <w:pStyle w:val="Compact"/>
        <w:numPr>
          <w:ilvl w:val="0"/>
          <w:numId w:val="1005"/>
        </w:numPr>
      </w:pPr>
      <w:r>
        <w:rPr>
          <w:b/>
          <w:bCs/>
        </w:rPr>
        <w:t xml:space="preserve">Banco Mundial</w:t>
      </w:r>
      <w:r>
        <w:t xml:space="preserve">: informes sobre impacto en comercio y desarrollo (a explorar con mayor profundidad en la Parte 2 del proyecto, con foco en países/bienes seleccionados). —</w:t>
      </w:r>
      <w:r>
        <w:t xml:space="preserve"> </w:t>
      </w:r>
      <w:hyperlink r:id="rId72">
        <w:r>
          <w:rPr>
            <w:rStyle w:val="Hyperlink"/>
          </w:rPr>
          <w:t xml:space="preserve">https://www.worldbank.org/en/topic/trade</w:t>
        </w:r>
      </w:hyperlink>
    </w:p>
    <w:p>
      <w:pPr>
        <w:pStyle w:val="Compact"/>
        <w:numPr>
          <w:ilvl w:val="0"/>
          <w:numId w:val="1005"/>
        </w:numPr>
      </w:pPr>
      <w:r>
        <w:rPr>
          <w:b/>
          <w:bCs/>
        </w:rPr>
        <w:t xml:space="preserve">Foreign Policy Association —</w:t>
      </w:r>
      <w:r>
        <w:rPr>
          <w:b/>
          <w:bCs/>
        </w:rPr>
        <w:t xml:space="preserve"> </w:t>
      </w:r>
      <w:r>
        <w:rPr>
          <w:b/>
          <w:bCs/>
        </w:rPr>
        <w:t xml:space="preserve">“The End of an Era: Trump’s Tariffs in Historical Perspective”</w:t>
      </w:r>
      <w:r>
        <w:t xml:space="preserve">: pieza de contexto histórico útil para la introducción del informe. —</w:t>
      </w:r>
      <w:r>
        <w:t xml:space="preserve"> </w:t>
      </w:r>
      <w:hyperlink r:id="rId73">
        <w:r>
          <w:rPr>
            <w:rStyle w:val="Hyperlink"/>
          </w:rPr>
          <w:t xml:space="preserve">https://fpa.org/topics/2-the-end-of-an-era-trumps-tariffs-in-historical-perspective/</w:t>
        </w:r>
      </w:hyperlink>
    </w:p>
    <w:bookmarkEnd w:id="74"/>
    <w:bookmarkStart w:id="83" w:name="X683fa4527193a042f37a6a0c86496255456b1db"/>
    <w:p>
      <w:pPr>
        <w:pStyle w:val="Heading1"/>
      </w:pPr>
      <w:r>
        <w:t xml:space="preserve">6. Cabildeo (</w:t>
      </w:r>
      <w:r>
        <w:rPr>
          <w:i/>
          <w:iCs/>
        </w:rPr>
        <w:t xml:space="preserve">lobbying</w:t>
      </w:r>
      <w:r>
        <w:t xml:space="preserve">) industrial y grupos de interés</w:t>
      </w:r>
    </w:p>
    <w:p>
      <w:pPr>
        <w:pStyle w:val="Compact"/>
        <w:numPr>
          <w:ilvl w:val="0"/>
          <w:numId w:val="1008"/>
        </w:numPr>
      </w:pPr>
      <w:r>
        <w:rPr>
          <w:b/>
          <w:bCs/>
        </w:rPr>
        <w:t xml:space="preserve">Cato Institute —</w:t>
      </w:r>
      <w:r>
        <w:rPr>
          <w:b/>
          <w:bCs/>
        </w:rPr>
        <w:t xml:space="preserve"> </w:t>
      </w:r>
      <w:r>
        <w:rPr>
          <w:b/>
          <w:bCs/>
        </w:rPr>
        <w:t xml:space="preserve">“Tariff</w:t>
      </w:r>
      <w:r>
        <w:rPr>
          <w:b/>
          <w:bCs/>
        </w:rPr>
        <w:t xml:space="preserve"> </w:t>
      </w:r>
      <w:r>
        <w:rPr>
          <w:b/>
          <w:bCs/>
        </w:rPr>
        <w:t xml:space="preserve">‘Inclusion’</w:t>
      </w:r>
      <w:r>
        <w:rPr>
          <w:b/>
          <w:bCs/>
        </w:rPr>
        <w:t xml:space="preserve"> </w:t>
      </w:r>
      <w:r>
        <w:rPr>
          <w:b/>
          <w:bCs/>
        </w:rPr>
        <w:t xml:space="preserve">Process Comes with High Costs, Absurd Outcomes, and Extra Cronyism”</w:t>
      </w:r>
      <w:r>
        <w:t xml:space="preserve">: análisis crítico del proceso de solicitud de exclusiones como vehículo de cabildeo. —</w:t>
      </w:r>
      <w:r>
        <w:t xml:space="preserve"> </w:t>
      </w:r>
      <w:hyperlink r:id="rId75">
        <w:r>
          <w:rPr>
            <w:rStyle w:val="Hyperlink"/>
          </w:rPr>
          <w:t xml:space="preserve">https://www.cato.org/blog/tariff-inclusion-process-comes-high-costs-absurd-outcomes-extra-cronyism</w:t>
        </w:r>
      </w:hyperlink>
    </w:p>
    <w:p>
      <w:pPr>
        <w:pStyle w:val="Compact"/>
        <w:numPr>
          <w:ilvl w:val="0"/>
          <w:numId w:val="1008"/>
        </w:numPr>
      </w:pPr>
      <w:r>
        <w:rPr>
          <w:b/>
          <w:bCs/>
        </w:rPr>
        <w:t xml:space="preserve">National Foreign Trade Council (NFTC) — Carta multiasociación sobre el proceso de la Sección 232</w:t>
      </w:r>
      <w:r>
        <w:t xml:space="preserve">: ejemplo directo de cabildeo organizado por múltiples asociaciones industriales. —</w:t>
      </w:r>
      <w:r>
        <w:t xml:space="preserve"> </w:t>
      </w:r>
      <w:hyperlink r:id="rId76">
        <w:r>
          <w:rPr>
            <w:rStyle w:val="Hyperlink"/>
          </w:rPr>
          <w:t xml:space="preserve">https://www.nftc.org/wp-content/uploads/2026/02/US-Industry-Multi-Association-Letter-on-Section-232-Process.pdf</w:t>
        </w:r>
      </w:hyperlink>
    </w:p>
    <w:p>
      <w:pPr>
        <w:pStyle w:val="Compact"/>
        <w:numPr>
          <w:ilvl w:val="0"/>
          <w:numId w:val="1008"/>
        </w:numPr>
      </w:pPr>
      <w:r>
        <w:rPr>
          <w:b/>
          <w:bCs/>
        </w:rPr>
        <w:t xml:space="preserve">Bureau of Industry and Security —</w:t>
      </w:r>
      <w:r>
        <w:rPr>
          <w:b/>
          <w:bCs/>
        </w:rPr>
        <w:t xml:space="preserve"> </w:t>
      </w:r>
      <w:r>
        <w:rPr>
          <w:b/>
          <w:bCs/>
        </w:rPr>
        <w:t xml:space="preserve">“Section 232 Steel and Aluminum Inclusions Process”</w:t>
      </w:r>
      <w:r>
        <w:t xml:space="preserve">: página oficial del proceso de solicitudes de inclusión/exclusión, base para rastrear qué empresas/sectores solicitaron qué. —</w:t>
      </w:r>
      <w:r>
        <w:t xml:space="preserve"> </w:t>
      </w:r>
      <w:hyperlink r:id="rId77">
        <w:r>
          <w:rPr>
            <w:rStyle w:val="Hyperlink"/>
          </w:rPr>
          <w:t xml:space="preserve">https://www.bis.gov/press-release/department-commerce-launches-section-232-steel-aluminum-inclusions-process</w:t>
        </w:r>
      </w:hyperlink>
    </w:p>
    <w:p>
      <w:pPr>
        <w:pStyle w:val="Compact"/>
        <w:numPr>
          <w:ilvl w:val="0"/>
          <w:numId w:val="1008"/>
        </w:numPr>
      </w:pPr>
      <w:r>
        <w:rPr>
          <w:b/>
          <w:bCs/>
        </w:rPr>
        <w:t xml:space="preserve">Trade War Lab —</w:t>
      </w:r>
      <w:r>
        <w:rPr>
          <w:b/>
          <w:bCs/>
        </w:rPr>
        <w:t xml:space="preserve"> </w:t>
      </w:r>
      <w:r>
        <w:rPr>
          <w:b/>
          <w:bCs/>
        </w:rPr>
        <w:t xml:space="preserve">“Did Political Influence Determine Who Got Tariff Exclusions?”</w:t>
      </w:r>
      <w:r>
        <w:t xml:space="preserve">: análisis independiente (con datos) sobre la relación entre conexiones políticas/cabildeo y la concesión de exclusiones arancelarias — muy relevante para esta sección del informe. —</w:t>
      </w:r>
      <w:r>
        <w:t xml:space="preserve"> </w:t>
      </w:r>
      <w:hyperlink r:id="rId78">
        <w:r>
          <w:rPr>
            <w:rStyle w:val="Hyperlink"/>
          </w:rPr>
          <w:t xml:space="preserve">https://www.tradewarlab.com/p/did-political-influence-determine</w:t>
        </w:r>
      </w:hyperlink>
    </w:p>
    <w:p>
      <w:pPr>
        <w:pStyle w:val="Compact"/>
        <w:numPr>
          <w:ilvl w:val="0"/>
          <w:numId w:val="1008"/>
        </w:numPr>
      </w:pPr>
      <w:r>
        <w:rPr>
          <w:b/>
          <w:bCs/>
        </w:rPr>
        <w:t xml:space="preserve">QuantGov —</w:t>
      </w:r>
      <w:r>
        <w:rPr>
          <w:b/>
          <w:bCs/>
        </w:rPr>
        <w:t xml:space="preserve"> </w:t>
      </w:r>
      <w:r>
        <w:rPr>
          <w:b/>
          <w:bCs/>
        </w:rPr>
        <w:t xml:space="preserve">“Section 232 and 301 Tariff Data and Interactive Maps”</w:t>
      </w:r>
      <w:r>
        <w:t xml:space="preserve">: base de datos e interfaz interactiva sobre las tarifas por sector, potencialmente útil para cuantificar el efecto del cabildeo por industria. —</w:t>
      </w:r>
      <w:r>
        <w:t xml:space="preserve"> </w:t>
      </w:r>
      <w:hyperlink r:id="rId79">
        <w:r>
          <w:rPr>
            <w:rStyle w:val="Hyperlink"/>
          </w:rPr>
          <w:t xml:space="preserve">https://www.quantgov.org/tariffs</w:t>
        </w:r>
      </w:hyperlink>
    </w:p>
    <w:p>
      <w:pPr>
        <w:pStyle w:val="Compact"/>
        <w:numPr>
          <w:ilvl w:val="0"/>
          <w:numId w:val="1008"/>
        </w:numPr>
      </w:pPr>
      <w:r>
        <w:rPr>
          <w:b/>
          <w:bCs/>
        </w:rPr>
        <w:t xml:space="preserve">The Conference Board —</w:t>
      </w:r>
      <w:r>
        <w:rPr>
          <w:b/>
          <w:bCs/>
        </w:rPr>
        <w:t xml:space="preserve"> </w:t>
      </w:r>
      <w:r>
        <w:rPr>
          <w:b/>
          <w:bCs/>
        </w:rPr>
        <w:t xml:space="preserve">“Policy Backgrounder: Section 232 Tariff Investigations and Public Comments”</w:t>
      </w:r>
      <w:r>
        <w:t xml:space="preserve">: describe el mecanismo formal de comentarios públicos, canal principal del cabildeo corporativo. —</w:t>
      </w:r>
      <w:r>
        <w:t xml:space="preserve"> </w:t>
      </w:r>
      <w:hyperlink r:id="rId80">
        <w:r>
          <w:rPr>
            <w:rStyle w:val="Hyperlink"/>
          </w:rPr>
          <w:t xml:space="preserve">https://www.conference-board.org/research/ced-policy-backgrounders/section-232-tariff-investigations-and-public-comments</w:t>
        </w:r>
      </w:hyperlink>
    </w:p>
    <w:p>
      <w:pPr>
        <w:pStyle w:val="Compact"/>
        <w:numPr>
          <w:ilvl w:val="0"/>
          <w:numId w:val="1008"/>
        </w:numPr>
      </w:pPr>
      <w:r>
        <w:rPr>
          <w:b/>
          <w:bCs/>
        </w:rPr>
        <w:t xml:space="preserve">OpenSecrets.org</w:t>
      </w:r>
      <w:r>
        <w:t xml:space="preserve">: base de datos de cabildeo y gasto político por industria; se debe consultar directamente (buscador de</w:t>
      </w:r>
      <w:r>
        <w:t xml:space="preserve"> </w:t>
      </w:r>
      <w:r>
        <w:rPr>
          <w:i/>
          <w:iCs/>
        </w:rPr>
        <w:t xml:space="preserve">lobbying</w:t>
      </w:r>
      <w:r>
        <w:t xml:space="preserve"> </w:t>
      </w:r>
      <w:r>
        <w:t xml:space="preserve">por tema</w:t>
      </w:r>
      <w:r>
        <w:t xml:space="preserve"> </w:t>
      </w:r>
      <w:r>
        <w:t xml:space="preserve">“Trade”</w:t>
      </w:r>
      <w:r>
        <w:t xml:space="preserve">) para cuantificar el gasto de las asociaciones industriales relevantes. —</w:t>
      </w:r>
      <w:r>
        <w:t xml:space="preserve"> </w:t>
      </w:r>
      <w:hyperlink r:id="rId81">
        <w:r>
          <w:rPr>
            <w:rStyle w:val="Hyperlink"/>
          </w:rPr>
          <w:t xml:space="preserve">https://www.opensecrets.org/federal-lobbying</w:t>
        </w:r>
      </w:hyperlink>
    </w:p>
    <w:p>
      <w:pPr>
        <w:pStyle w:val="Compact"/>
        <w:numPr>
          <w:ilvl w:val="0"/>
          <w:numId w:val="1008"/>
        </w:numPr>
      </w:pPr>
      <w:r>
        <w:rPr>
          <w:b/>
          <w:bCs/>
        </w:rPr>
        <w:t xml:space="preserve">Sandler, Travis &amp; Rosenberg (STR) —</w:t>
      </w:r>
      <w:r>
        <w:rPr>
          <w:b/>
          <w:bCs/>
        </w:rPr>
        <w:t xml:space="preserve"> </w:t>
      </w:r>
      <w:r>
        <w:rPr>
          <w:b/>
          <w:bCs/>
        </w:rPr>
        <w:t xml:space="preserve">“Section 232, 301 and Other Trade Remedy Tariff Exclusion Opportunities”</w:t>
      </w:r>
      <w:r>
        <w:t xml:space="preserve">: perspectiva de firma especializada en representar empresas ante estos procesos; útil para entender la mecánica del cabildeo desde el lado del solicitante. —</w:t>
      </w:r>
      <w:r>
        <w:t xml:space="preserve"> </w:t>
      </w:r>
      <w:hyperlink r:id="rId82">
        <w:r>
          <w:rPr>
            <w:rStyle w:val="Hyperlink"/>
          </w:rPr>
          <w:t xml:space="preserve">https://www.strtrade.com/services/duty-savings-tariff-mitigation/exclusion-requests</w:t>
        </w:r>
      </w:hyperlink>
    </w:p>
    <w:bookmarkEnd w:id="83"/>
    <w:bookmarkStart w:id="89" w:name="X408bef125513b404721ce0335dfbc5439c1e237"/>
    <w:p>
      <w:pPr>
        <w:pStyle w:val="Heading1"/>
      </w:pPr>
      <w:r>
        <w:t xml:space="preserve">7. Negociaciones bilaterales y acuerdos comerciales</w:t>
      </w:r>
    </w:p>
    <w:p>
      <w:pPr>
        <w:pStyle w:val="Compact"/>
        <w:numPr>
          <w:ilvl w:val="0"/>
          <w:numId w:val="1009"/>
        </w:numPr>
      </w:pPr>
      <w:r>
        <w:rPr>
          <w:b/>
          <w:bCs/>
        </w:rPr>
        <w:t xml:space="preserve">USTR — Presidential Tariff Actions</w:t>
      </w:r>
      <w:r>
        <w:t xml:space="preserve"> </w:t>
      </w:r>
      <w:r>
        <w:t xml:space="preserve">(ver sección 1): incluye también el estado de negociaciones bilaterales.</w:t>
      </w:r>
    </w:p>
    <w:p>
      <w:pPr>
        <w:pStyle w:val="Compact"/>
        <w:numPr>
          <w:ilvl w:val="0"/>
          <w:numId w:val="1009"/>
        </w:numPr>
      </w:pPr>
      <w:r>
        <w:rPr>
          <w:b/>
          <w:bCs/>
        </w:rPr>
        <w:t xml:space="preserve">CFR —</w:t>
      </w:r>
      <w:r>
        <w:rPr>
          <w:b/>
          <w:bCs/>
        </w:rPr>
        <w:t xml:space="preserve"> </w:t>
      </w:r>
      <w:r>
        <w:rPr>
          <w:b/>
          <w:bCs/>
        </w:rPr>
        <w:t xml:space="preserve">“Tracking Trump’s Trade Deals”</w:t>
      </w:r>
      <w:r>
        <w:t xml:space="preserve">: cronología completa y actualizada de acuerdos marco alcanzados (Reino Unido, UE, Japón, Vietnam, Corea del Sur, etc.). —</w:t>
      </w:r>
      <w:r>
        <w:t xml:space="preserve"> </w:t>
      </w:r>
      <w:hyperlink r:id="rId45">
        <w:r>
          <w:rPr>
            <w:rStyle w:val="Hyperlink"/>
          </w:rPr>
          <w:t xml:space="preserve">https://www.cfr.org/articles/tracking-trumps-trade-deals</w:t>
        </w:r>
      </w:hyperlink>
    </w:p>
    <w:p>
      <w:pPr>
        <w:pStyle w:val="Compact"/>
        <w:numPr>
          <w:ilvl w:val="0"/>
          <w:numId w:val="1009"/>
        </w:numPr>
      </w:pPr>
      <w:r>
        <w:rPr>
          <w:b/>
          <w:bCs/>
        </w:rPr>
        <w:t xml:space="preserve">German Marshall Fund —</w:t>
      </w:r>
      <w:r>
        <w:rPr>
          <w:b/>
          <w:bCs/>
        </w:rPr>
        <w:t xml:space="preserve"> </w:t>
      </w:r>
      <w:r>
        <w:rPr>
          <w:b/>
          <w:bCs/>
        </w:rPr>
        <w:t xml:space="preserve">“Trade Explainer: A Comparison of US Agreements With the EU, the United Kingdom, and Japan”</w:t>
      </w:r>
      <w:r>
        <w:t xml:space="preserve">: comparación estructurada de los términos de los distintos acuerdos. —</w:t>
      </w:r>
      <w:r>
        <w:t xml:space="preserve"> </w:t>
      </w:r>
      <w:hyperlink r:id="rId84">
        <w:r>
          <w:rPr>
            <w:rStyle w:val="Hyperlink"/>
          </w:rPr>
          <w:t xml:space="preserve">https://www.gmfus.org/news/trade-explainer-comparison-us-agreements-eu-united-kingdom-and-japan</w:t>
        </w:r>
      </w:hyperlink>
    </w:p>
    <w:p>
      <w:pPr>
        <w:pStyle w:val="Compact"/>
        <w:numPr>
          <w:ilvl w:val="0"/>
          <w:numId w:val="1009"/>
        </w:numPr>
      </w:pPr>
      <w:r>
        <w:rPr>
          <w:b/>
          <w:bCs/>
        </w:rPr>
        <w:t xml:space="preserve">CRS —</w:t>
      </w:r>
      <w:r>
        <w:rPr>
          <w:b/>
          <w:bCs/>
        </w:rPr>
        <w:t xml:space="preserve"> </w:t>
      </w:r>
      <w:r>
        <w:rPr>
          <w:b/>
          <w:bCs/>
        </w:rPr>
        <w:t xml:space="preserve">“U.S.-Japan Trade Agreements and Tariff Negotiations”</w:t>
      </w:r>
      <w:r>
        <w:rPr>
          <w:b/>
          <w:bCs/>
        </w:rPr>
        <w:t xml:space="preserve"> </w:t>
      </w:r>
      <w:r>
        <w:rPr>
          <w:b/>
          <w:bCs/>
        </w:rPr>
        <w:t xml:space="preserve">(IF11120)</w:t>
      </w:r>
      <w:r>
        <w:t xml:space="preserve">: nota de antecedentes sobre la relación comercial con Japón. —</w:t>
      </w:r>
      <w:r>
        <w:t xml:space="preserve"> </w:t>
      </w:r>
      <w:hyperlink r:id="rId85">
        <w:r>
          <w:rPr>
            <w:rStyle w:val="Hyperlink"/>
          </w:rPr>
          <w:t xml:space="preserve">https://www.congress.gov/crs-product/IF11120</w:t>
        </w:r>
      </w:hyperlink>
    </w:p>
    <w:p>
      <w:pPr>
        <w:pStyle w:val="Compact"/>
        <w:numPr>
          <w:ilvl w:val="0"/>
          <w:numId w:val="1009"/>
        </w:numPr>
      </w:pPr>
      <w:r>
        <w:rPr>
          <w:b/>
          <w:bCs/>
        </w:rPr>
        <w:t xml:space="preserve">CRS —</w:t>
      </w:r>
      <w:r>
        <w:rPr>
          <w:b/>
          <w:bCs/>
        </w:rPr>
        <w:t xml:space="preserve"> </w:t>
      </w:r>
      <w:r>
        <w:rPr>
          <w:b/>
          <w:bCs/>
        </w:rPr>
        <w:t xml:space="preserve">“U.S. Tariffs and the 2025 U.S.-Japan Framework Agreement”</w:t>
      </w:r>
      <w:r>
        <w:rPr>
          <w:b/>
          <w:bCs/>
        </w:rPr>
        <w:t xml:space="preserve"> </w:t>
      </w:r>
      <w:r>
        <w:rPr>
          <w:b/>
          <w:bCs/>
        </w:rPr>
        <w:t xml:space="preserve">(IN12608)</w:t>
      </w:r>
      <w:r>
        <w:t xml:space="preserve">: ver sección 1.</w:t>
      </w:r>
    </w:p>
    <w:p>
      <w:pPr>
        <w:pStyle w:val="Compact"/>
        <w:numPr>
          <w:ilvl w:val="0"/>
          <w:numId w:val="1009"/>
        </w:numPr>
      </w:pPr>
      <w:r>
        <w:rPr>
          <w:b/>
          <w:bCs/>
        </w:rPr>
        <w:t xml:space="preserve">KPMG —</w:t>
      </w:r>
      <w:r>
        <w:rPr>
          <w:b/>
          <w:bCs/>
        </w:rPr>
        <w:t xml:space="preserve"> </w:t>
      </w:r>
      <w:r>
        <w:rPr>
          <w:b/>
          <w:bCs/>
        </w:rPr>
        <w:t xml:space="preserve">“US and Vietnam outline framework for reciprocal trade agreement”</w:t>
      </w:r>
      <w:r>
        <w:t xml:space="preserve">: ejemplo de cobertura de firma de auditoría/consultoría sobre un acuerdo específico; útil para el caso de Vietnam y el sudeste asiático. —</w:t>
      </w:r>
      <w:r>
        <w:t xml:space="preserve"> </w:t>
      </w:r>
      <w:hyperlink r:id="rId86">
        <w:r>
          <w:rPr>
            <w:rStyle w:val="Hyperlink"/>
          </w:rPr>
          <w:t xml:space="preserve">https://kpmg.com/vn/en/home/insights/2025/10/us-and-vietnam-outline-framework-for-reciprocal-trade-agreement.html</w:t>
        </w:r>
      </w:hyperlink>
    </w:p>
    <w:p>
      <w:pPr>
        <w:pStyle w:val="Compact"/>
        <w:numPr>
          <w:ilvl w:val="0"/>
          <w:numId w:val="1009"/>
        </w:numPr>
      </w:pPr>
      <w:r>
        <w:rPr>
          <w:b/>
          <w:bCs/>
        </w:rPr>
        <w:t xml:space="preserve">Global Trade Law Blog (Sidley) —</w:t>
      </w:r>
      <w:r>
        <w:rPr>
          <w:b/>
          <w:bCs/>
        </w:rPr>
        <w:t xml:space="preserve"> </w:t>
      </w:r>
      <w:r>
        <w:rPr>
          <w:b/>
          <w:bCs/>
        </w:rPr>
        <w:t xml:space="preserve">“Shifts in U.S. Trade in Asia: Key Agreements from President Trump’s October 2025 Asia Trip”</w:t>
      </w:r>
      <w:r>
        <w:t xml:space="preserve"> </w:t>
      </w:r>
      <w:r>
        <w:t xml:space="preserve">(Partes I y II): cobertura detallada de la gira asiática de octubre de 2025 y sus resultados comerciales. —</w:t>
      </w:r>
      <w:r>
        <w:t xml:space="preserve"> </w:t>
      </w:r>
      <w:hyperlink r:id="rId87">
        <w:r>
          <w:rPr>
            <w:rStyle w:val="Hyperlink"/>
          </w:rPr>
          <w:t xml:space="preserve">https://www.globaltradelawblog.com/2025/11/10/shifts-in-u-s-trade-in-asia-key-agreements-president-trumps-october-2025-asia-trip-part-i-southeast-asia/</w:t>
        </w:r>
      </w:hyperlink>
    </w:p>
    <w:p>
      <w:pPr>
        <w:pStyle w:val="Compact"/>
        <w:numPr>
          <w:ilvl w:val="0"/>
          <w:numId w:val="1009"/>
        </w:numPr>
      </w:pPr>
      <w:r>
        <w:rPr>
          <w:b/>
          <w:bCs/>
        </w:rPr>
        <w:t xml:space="preserve">Holland &amp; Knight —</w:t>
      </w:r>
      <w:r>
        <w:rPr>
          <w:b/>
          <w:bCs/>
        </w:rPr>
        <w:t xml:space="preserve"> </w:t>
      </w:r>
      <w:r>
        <w:rPr>
          <w:b/>
          <w:bCs/>
        </w:rPr>
        <w:t xml:space="preserve">“Reciprocal Tariff Update: State of Bilateral Negotiations”</w:t>
      </w:r>
      <w:r>
        <w:t xml:space="preserve">: estado consolidado de las negociaciones a mitad de 2025, útil como corte temporal intermedio. —</w:t>
      </w:r>
      <w:r>
        <w:t xml:space="preserve"> </w:t>
      </w:r>
      <w:hyperlink r:id="rId88">
        <w:r>
          <w:rPr>
            <w:rStyle w:val="Hyperlink"/>
          </w:rPr>
          <w:t xml:space="preserve">https://www.hklaw.com/en/insights/publications/2025/07/reciprocal-tariff-update-state-of-bilateral-negotiations</w:t>
        </w:r>
      </w:hyperlink>
    </w:p>
    <w:bookmarkEnd w:id="89"/>
    <w:bookmarkStart w:id="93" w:name="X2916f392b3c590004e139463b3636b5ada12931"/>
    <w:p>
      <w:pPr>
        <w:pStyle w:val="Heading1"/>
      </w:pPr>
      <w:r>
        <w:t xml:space="preserve">8. Prensa especializada en comercio internacional</w:t>
      </w:r>
    </w:p>
    <w:p>
      <w:pPr>
        <w:pStyle w:val="Compact"/>
        <w:numPr>
          <w:ilvl w:val="0"/>
          <w:numId w:val="1010"/>
        </w:numPr>
      </w:pPr>
      <w:r>
        <w:rPr>
          <w:b/>
          <w:bCs/>
        </w:rPr>
        <w:t xml:space="preserve">Inside U.S. Trade</w:t>
      </w:r>
      <w:r>
        <w:t xml:space="preserve"> </w:t>
      </w:r>
      <w:r>
        <w:t xml:space="preserve">(InsideTrade.com): cobertura diaria especializada en política comercial de EE.UU.; requiere suscripción, pero suele ser la fuente periodística más citada por analistas y bufetes. —</w:t>
      </w:r>
      <w:r>
        <w:t xml:space="preserve"> </w:t>
      </w:r>
      <w:hyperlink r:id="rId90">
        <w:r>
          <w:rPr>
            <w:rStyle w:val="Hyperlink"/>
          </w:rPr>
          <w:t xml:space="preserve">https://insidetrade.com/</w:t>
        </w:r>
      </w:hyperlink>
    </w:p>
    <w:p>
      <w:pPr>
        <w:pStyle w:val="Compact"/>
        <w:numPr>
          <w:ilvl w:val="0"/>
          <w:numId w:val="1010"/>
        </w:numPr>
      </w:pPr>
      <w:r>
        <w:rPr>
          <w:b/>
          <w:bCs/>
        </w:rPr>
        <w:t xml:space="preserve">Library of Congress — Guía de investigación</w:t>
      </w:r>
      <w:r>
        <w:rPr>
          <w:b/>
          <w:bCs/>
        </w:rPr>
        <w:t xml:space="preserve"> </w:t>
      </w:r>
      <w:r>
        <w:rPr>
          <w:b/>
          <w:bCs/>
        </w:rPr>
        <w:t xml:space="preserve">“U.S. Trade Policy”</w:t>
      </w:r>
      <w:r>
        <w:rPr>
          <w:b/>
          <w:bCs/>
        </w:rPr>
        <w:t xml:space="preserve"> </w:t>
      </w:r>
      <w:r>
        <w:rPr>
          <w:b/>
          <w:bCs/>
        </w:rPr>
        <w:t xml:space="preserve">(fuentes de noticias actuales)</w:t>
      </w:r>
      <w:r>
        <w:t xml:space="preserve">: directorio curado de medios especializados en comercio, útil para ampliar esta lista. —</w:t>
      </w:r>
      <w:r>
        <w:t xml:space="preserve"> </w:t>
      </w:r>
      <w:hyperlink r:id="rId91">
        <w:r>
          <w:rPr>
            <w:rStyle w:val="Hyperlink"/>
          </w:rPr>
          <w:t xml:space="preserve">https://guides.loc.gov/united-states-trade-policy/current-news</w:t>
        </w:r>
      </w:hyperlink>
    </w:p>
    <w:p>
      <w:pPr>
        <w:pStyle w:val="Compact"/>
        <w:numPr>
          <w:ilvl w:val="0"/>
          <w:numId w:val="1010"/>
        </w:numPr>
      </w:pPr>
      <w:r>
        <w:rPr>
          <w:b/>
          <w:bCs/>
        </w:rPr>
        <w:t xml:space="preserve">Reuters / Thomson Reuters Institute —</w:t>
      </w:r>
      <w:r>
        <w:rPr>
          <w:b/>
          <w:bCs/>
        </w:rPr>
        <w:t xml:space="preserve"> </w:t>
      </w:r>
      <w:r>
        <w:rPr>
          <w:b/>
          <w:bCs/>
        </w:rPr>
        <w:t xml:space="preserve">“2026 Global Trade Report”</w:t>
      </w:r>
      <w:r>
        <w:t xml:space="preserve">: cobertura y análisis de la turbulencia arancelaria desde la perspectiva de departamentos de comercio corporativos. —</w:t>
      </w:r>
      <w:r>
        <w:t xml:space="preserve"> </w:t>
      </w:r>
      <w:hyperlink r:id="rId92">
        <w:r>
          <w:rPr>
            <w:rStyle w:val="Hyperlink"/>
          </w:rPr>
          <w:t xml:space="preserve">https://www.thomsonreuters.com/en-us/posts/corporates/2026-global-trade-report/</w:t>
        </w:r>
      </w:hyperlink>
    </w:p>
    <w:p>
      <w:pPr>
        <w:pStyle w:val="Compact"/>
        <w:numPr>
          <w:ilvl w:val="0"/>
          <w:numId w:val="1010"/>
        </w:numPr>
      </w:pPr>
      <w:r>
        <w:t xml:space="preserve">Medios generalistas de referencia para verificar cronología y declaraciones oficiales:</w:t>
      </w:r>
      <w:r>
        <w:t xml:space="preserve"> </w:t>
      </w:r>
      <w:r>
        <w:rPr>
          <w:i/>
          <w:iCs/>
        </w:rPr>
        <w:t xml:space="preserve">Reuters</w:t>
      </w:r>
      <w:r>
        <w:t xml:space="preserve">,</w:t>
      </w:r>
      <w:r>
        <w:t xml:space="preserve"> </w:t>
      </w:r>
      <w:r>
        <w:rPr>
          <w:i/>
          <w:iCs/>
        </w:rPr>
        <w:t xml:space="preserve">Associated Press</w:t>
      </w:r>
      <w:r>
        <w:t xml:space="preserve">,</w:t>
      </w:r>
      <w:r>
        <w:t xml:space="preserve"> </w:t>
      </w:r>
      <w:r>
        <w:rPr>
          <w:i/>
          <w:iCs/>
        </w:rPr>
        <w:t xml:space="preserve">The Wall Street Journal</w:t>
      </w:r>
      <w:r>
        <w:t xml:space="preserve">,</w:t>
      </w:r>
      <w:r>
        <w:t xml:space="preserve"> </w:t>
      </w:r>
      <w:r>
        <w:rPr>
          <w:i/>
          <w:iCs/>
        </w:rPr>
        <w:t xml:space="preserve">Financial Times</w:t>
      </w:r>
      <w:r>
        <w:t xml:space="preserve"> </w:t>
      </w:r>
      <w:r>
        <w:t xml:space="preserve">(se irán citando puntualmente según la noticia, no como fuente única).</w:t>
      </w:r>
    </w:p>
    <w:bookmarkEnd w:id="93"/>
    <w:bookmarkStart w:id="94" w:name="próximos-pasos-sugeridos"/>
    <w:p>
      <w:pPr>
        <w:pStyle w:val="Heading1"/>
      </w:pPr>
      <w:r>
        <w:t xml:space="preserve">9. Próximos pasos sugeridos</w:t>
      </w:r>
    </w:p>
    <w:p>
      <w:pPr>
        <w:pStyle w:val="Compact"/>
        <w:numPr>
          <w:ilvl w:val="0"/>
          <w:numId w:val="1011"/>
        </w:numPr>
      </w:pPr>
      <w:r>
        <w:t xml:space="preserve">Validar y complementar esta lista con el equipo (agregar fuentes específicas por país si se prioriza algún socio comercial en particular).</w:t>
      </w:r>
    </w:p>
    <w:p>
      <w:pPr>
        <w:pStyle w:val="Compact"/>
        <w:numPr>
          <w:ilvl w:val="0"/>
          <w:numId w:val="1011"/>
        </w:numPr>
      </w:pPr>
      <w:r>
        <w:t xml:space="preserve">Usar el reporte CRS R48549 como columna vertebral para construir el cronograma detallado (línea de tiempo) de la Parte 1.</w:t>
      </w:r>
    </w:p>
    <w:p>
      <w:pPr>
        <w:pStyle w:val="Compact"/>
        <w:numPr>
          <w:ilvl w:val="0"/>
          <w:numId w:val="1011"/>
        </w:numPr>
      </w:pPr>
      <w:r>
        <w:t xml:space="preserve">Clasificar cada instrumento arancelario (IEEPA/</w:t>
      </w:r>
      <w:r>
        <w:t xml:space="preserve">“recíprocos”</w:t>
      </w:r>
      <w:r>
        <w:t xml:space="preserve">, Sección 232, Sección 301, Sección 122, otros) con su base legal, alcance por producto/país, y estado judicial actual.</w:t>
      </w:r>
    </w:p>
    <w:p>
      <w:pPr>
        <w:pStyle w:val="Compact"/>
        <w:numPr>
          <w:ilvl w:val="0"/>
          <w:numId w:val="1011"/>
        </w:numPr>
      </w:pPr>
      <w:r>
        <w:t xml:space="preserve">Iniciar el mapeo de los casos judiciales y su efecto en cada instrumento (sección 3 de este documento).</w:t>
      </w:r>
    </w:p>
    <w:p>
      <w:pPr>
        <w:pStyle w:val="Compact"/>
        <w:numPr>
          <w:ilvl w:val="0"/>
          <w:numId w:val="1011"/>
        </w:numPr>
      </w:pPr>
      <w:r>
        <w:t xml:space="preserve">Comenzar la revisión sistemática de la literatura académica (sección 4) para la sección de</w:t>
      </w:r>
      <w:r>
        <w:t xml:space="preserve"> </w:t>
      </w:r>
      <w:r>
        <w:t xml:space="preserve">“discusión en la literatura”</w:t>
      </w:r>
      <w:r>
        <w:t xml:space="preserve"> </w:t>
      </w:r>
      <w:r>
        <w:t xml:space="preserve">del informe final.</w:t>
      </w:r>
    </w:p>
    <w:p>
      <w:pPr>
        <w:pStyle w:val="Compact"/>
        <w:numPr>
          <w:ilvl w:val="0"/>
          <w:numId w:val="1011"/>
        </w:numPr>
      </w:pPr>
      <w:r>
        <w:t xml:space="preserve">Profundizar la investigación de cabildeo (sección 5), incluyendo una consulta específica a OpenSecrets.org por industria.</w:t>
      </w:r>
    </w:p>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cepr.org/voxeu/trump-and-tariffs" TargetMode="External" /><Relationship Type="http://schemas.openxmlformats.org/officeDocument/2006/relationships/hyperlink" Id="rId48" Target="https://en.wikipedia.org/wiki/Learning_Resources,_Inc._v._Trump" TargetMode="External" /><Relationship Type="http://schemas.openxmlformats.org/officeDocument/2006/relationships/hyperlink" Id="rId73" Target="https://fpa.org/topics/2-the-end-of-an-era-trumps-tariffs-in-historical-perspective/" TargetMode="External" /><Relationship Type="http://schemas.openxmlformats.org/officeDocument/2006/relationships/hyperlink" Id="rId42" Target="https://globaltradealert.org/blog/from-ieepa-to-section-122" TargetMode="External" /><Relationship Type="http://schemas.openxmlformats.org/officeDocument/2006/relationships/hyperlink" Id="rId41" Target="https://globaltradealert.org/reports/Real-Time-Information-on-Trump-Trade-Deals" TargetMode="External" /><Relationship Type="http://schemas.openxmlformats.org/officeDocument/2006/relationships/hyperlink" Id="rId91" Target="https://guides.loc.gov/united-states-trade-policy/current-news" TargetMode="External" /><Relationship Type="http://schemas.openxmlformats.org/officeDocument/2006/relationships/hyperlink" Id="rId55" Target="https://ielp.worldtradelaw.net/2026/02/section-122-as-a-partial-replacement-for-the-ieepa-tariffs/" TargetMode="External" /><Relationship Type="http://schemas.openxmlformats.org/officeDocument/2006/relationships/hyperlink" Id="rId90" Target="https://insidetrade.com/" TargetMode="External" /><Relationship Type="http://schemas.openxmlformats.org/officeDocument/2006/relationships/hyperlink" Id="rId86" Target="https://kpmg.com/vn/en/home/insights/2025/10/us-and-vietnam-outline-framework-for-reciprocal-trade-agreement.html" TargetMode="External" /><Relationship Type="http://schemas.openxmlformats.org/officeDocument/2006/relationships/hyperlink" Id="rId38" Target="https://taxfoundation.org/research/all/federal/trump-tariffs-trade-war/" TargetMode="External" /><Relationship Type="http://schemas.openxmlformats.org/officeDocument/2006/relationships/hyperlink" Id="rId39" Target="https://taxpolicycenter.org/features/tracking-trump-tariffs" TargetMode="External" /><Relationship Type="http://schemas.openxmlformats.org/officeDocument/2006/relationships/hyperlink" Id="rId22" Target="https://ustr.gov/callout/us-harmonized-tariff-schedule-hts" TargetMode="External" /><Relationship Type="http://schemas.openxmlformats.org/officeDocument/2006/relationships/hyperlink" Id="rId23" Target="https://ustr.gov/node/14362" TargetMode="External" /><Relationship Type="http://schemas.openxmlformats.org/officeDocument/2006/relationships/hyperlink" Id="rId21" Target="https://ustr.gov/trade-topics/presidential-tariff-actions" TargetMode="External" /><Relationship Type="http://schemas.openxmlformats.org/officeDocument/2006/relationships/hyperlink" Id="rId40" Target="https://www.atlanticcouncil.org/programs/geoeconomics-center/trump-tariff-tracker/" TargetMode="External" /><Relationship Type="http://schemas.openxmlformats.org/officeDocument/2006/relationships/hyperlink" Id="rId50" Target="https://www.bclplaw.com/en-US/events-insights-news/federal-circuit-affirms-ieepa-tariffs-invalidation-but-questions-persist-as-to-future-injunctive-and-monetary-relief-for-importers.html" TargetMode="External" /><Relationship Type="http://schemas.openxmlformats.org/officeDocument/2006/relationships/hyperlink" Id="rId28" Target="https://www.bis.gov/about-bis/bis-leadership-and-offices/SIES/section-232-investigations/section-232-steel-aluminum" TargetMode="External" /><Relationship Type="http://schemas.openxmlformats.org/officeDocument/2006/relationships/hyperlink" Id="rId77" Target="https://www.bis.gov/press-release/department-commerce-launches-section-232-steel-aluminum-inclusions-process" TargetMode="External" /><Relationship Type="http://schemas.openxmlformats.org/officeDocument/2006/relationships/hyperlink" Id="rId66" Target="https://www.brookings.edu/tags/tariffs/" TargetMode="External" /><Relationship Type="http://schemas.openxmlformats.org/officeDocument/2006/relationships/hyperlink" Id="rId75" Target="https://www.cato.org/blog/tariff-inclusion-process-comes-high-costs-absurd-outcomes-extra-cronyism" TargetMode="External" /><Relationship Type="http://schemas.openxmlformats.org/officeDocument/2006/relationships/hyperlink" Id="rId67" Target="https://www.cato.org/ieepa" TargetMode="External" /><Relationship Type="http://schemas.openxmlformats.org/officeDocument/2006/relationships/hyperlink" Id="rId27" Target="https://www.cbp.gov/newsroom" TargetMode="External" /><Relationship Type="http://schemas.openxmlformats.org/officeDocument/2006/relationships/hyperlink" Id="rId69" Target="https://www.cfr.org/" TargetMode="External" /><Relationship Type="http://schemas.openxmlformats.org/officeDocument/2006/relationships/hyperlink" Id="rId45" Target="https://www.cfr.org/articles/tracking-trumps-trade-deals" TargetMode="External" /><Relationship Type="http://schemas.openxmlformats.org/officeDocument/2006/relationships/hyperlink" Id="rId80" Target="https://www.conference-board.org/research/ced-policy-backgrounders/section-232-tariff-investigations-and-public-comments" TargetMode="External" /><Relationship Type="http://schemas.openxmlformats.org/officeDocument/2006/relationships/hyperlink" Id="rId85" Target="https://www.congress.gov/crs-product/IF11120" TargetMode="External" /><Relationship Type="http://schemas.openxmlformats.org/officeDocument/2006/relationships/hyperlink" Id="rId32" Target="https://www.congress.gov/crs-product/LSB11398" TargetMode="External" /><Relationship Type="http://schemas.openxmlformats.org/officeDocument/2006/relationships/hyperlink" Id="rId29" Target="https://www.congress.gov/crs-product/R48549" TargetMode="External" /><Relationship Type="http://schemas.openxmlformats.org/officeDocument/2006/relationships/hyperlink" Id="rId31" Target="https://www.congress.gov/crs_external_products/IN/PDF/IN12608/IN12608.3.pdf" TargetMode="External" /><Relationship Type="http://schemas.openxmlformats.org/officeDocument/2006/relationships/hyperlink" Id="rId33" Target="https://www.congress.gov/search?q=%7B%22source%22%3A%22crs%22%2C%22search%22%3A%22tariffs%22%7D" TargetMode="External" /><Relationship Type="http://schemas.openxmlformats.org/officeDocument/2006/relationships/hyperlink" Id="rId53" Target="https://www.cov.com/en/news-and-insights/insights/2026/02/ieepa-tariffs-terminated-replacement-section-122-tariffs-take-effect" TargetMode="External" /><Relationship Type="http://schemas.openxmlformats.org/officeDocument/2006/relationships/hyperlink" Id="rId51" Target="https://www.dlapiper.com/en-us/insights/publications/2026/02/us-supreme-court-holds-ieepa-does-not-authorize-tariffs" TargetMode="External" /><Relationship Type="http://schemas.openxmlformats.org/officeDocument/2006/relationships/hyperlink" Id="rId30" Target="https://www.everycrsreport.com/files/2025-07-30_R48549_c67e64d04f991ea03fd9a36b32907ff4feef1132.html" TargetMode="External" /><Relationship Type="http://schemas.openxmlformats.org/officeDocument/2006/relationships/hyperlink" Id="rId25" Target="https://www.federalregister.gov/" TargetMode="External" /><Relationship Type="http://schemas.openxmlformats.org/officeDocument/2006/relationships/hyperlink" Id="rId26" Target="https://www.federalregister.gov/documents/2026/02/25/2026-03832/ending-certain-tariff-actions" TargetMode="External" /><Relationship Type="http://schemas.openxmlformats.org/officeDocument/2006/relationships/hyperlink" Id="rId87" Target="https://www.globaltradelawblog.com/2025/11/10/shifts-in-u-s-trade-in-asia-key-agreements-president-trumps-october-2025-asia-trip-part-i-southeast-asia/" TargetMode="External" /><Relationship Type="http://schemas.openxmlformats.org/officeDocument/2006/relationships/hyperlink" Id="rId84" Target="https://www.gmfus.org/news/trade-explainer-comparison-us-agreements-eu-united-kingdom-and-japan" TargetMode="External" /><Relationship Type="http://schemas.openxmlformats.org/officeDocument/2006/relationships/hyperlink" Id="rId88" Target="https://www.hklaw.com/en/insights/publications/2025/07/reciprocal-tariff-update-state-of-bilateral-negotiations" TargetMode="External" /><Relationship Type="http://schemas.openxmlformats.org/officeDocument/2006/relationships/hyperlink" Id="rId49" Target="https://www.hklaw.com/en/insights/publications/2026/03/court-of-international-trade-orders-nationwide-tariff-refunds" TargetMode="External" /><Relationship Type="http://schemas.openxmlformats.org/officeDocument/2006/relationships/hyperlink" Id="rId70" Target="https://www.imf.org/en/Publications/WEO" TargetMode="External" /><Relationship Type="http://schemas.openxmlformats.org/officeDocument/2006/relationships/hyperlink" Id="rId57" Target="https://www.nber.org/papers/w33771" TargetMode="External" /><Relationship Type="http://schemas.openxmlformats.org/officeDocument/2006/relationships/hyperlink" Id="rId59" Target="https://www.nber.org/papers/w34036" TargetMode="External" /><Relationship Type="http://schemas.openxmlformats.org/officeDocument/2006/relationships/hyperlink" Id="rId60" Target="https://www.nber.org/papers/w34192" TargetMode="External" /><Relationship Type="http://schemas.openxmlformats.org/officeDocument/2006/relationships/hyperlink" Id="rId58" Target="https://www.nber.org/papers/w35064" TargetMode="External" /><Relationship Type="http://schemas.openxmlformats.org/officeDocument/2006/relationships/hyperlink" Id="rId61" Target="https://www.nber.org/papers/w35630" TargetMode="External" /><Relationship Type="http://schemas.openxmlformats.org/officeDocument/2006/relationships/hyperlink" Id="rId62" Target="https://www.nber.org/system/files/working_papers/w34299/w34299.pdf" TargetMode="External" /><Relationship Type="http://schemas.openxmlformats.org/officeDocument/2006/relationships/hyperlink" Id="rId76" Target="https://www.nftc.org/wp-content/uploads/2026/02/US-Industry-Multi-Association-Letter-on-Section-232-Process.pdf" TargetMode="External" /><Relationship Type="http://schemas.openxmlformats.org/officeDocument/2006/relationships/hyperlink" Id="rId81" Target="https://www.opensecrets.org/federal-lobbying" TargetMode="External" /><Relationship Type="http://schemas.openxmlformats.org/officeDocument/2006/relationships/hyperlink" Id="rId37" Target="https://www.piie.com/blogs/realtime-economics/2025/global-trade-war-update" TargetMode="External" /><Relationship Type="http://schemas.openxmlformats.org/officeDocument/2006/relationships/hyperlink" Id="rId65" Target="https://www.piie.com/blogs/realtime-economics/2026/trump-china-trade-wars-five-takeaways-us-imports-2025" TargetMode="External" /><Relationship Type="http://schemas.openxmlformats.org/officeDocument/2006/relationships/hyperlink" Id="rId64" Target="https://www.piie.com/publications/working-papers/2026/how-did-trumps-2025-trade-war-affect-decoupling-us-china-supply" TargetMode="External" /><Relationship Type="http://schemas.openxmlformats.org/officeDocument/2006/relationships/hyperlink" Id="rId36" Target="https://www.piie.com/research/piie-charts/2025/trumps-tariff-revenue-tracker-how-much-us-collecting-which-imports-are" TargetMode="External" /><Relationship Type="http://schemas.openxmlformats.org/officeDocument/2006/relationships/hyperlink" Id="rId35" Target="https://www.piie.com/research/trade-investment/tariffs" TargetMode="External" /><Relationship Type="http://schemas.openxmlformats.org/officeDocument/2006/relationships/hyperlink" Id="rId63" Target="https://www.piie.com/sites/default/files/2025-06/wp25-13.pdf" TargetMode="External" /><Relationship Type="http://schemas.openxmlformats.org/officeDocument/2006/relationships/hyperlink" Id="rId79" Target="https://www.quantgov.org/tariffs" TargetMode="External" /><Relationship Type="http://schemas.openxmlformats.org/officeDocument/2006/relationships/hyperlink" Id="rId82" Target="https://www.strtrade.com/services/duty-savings-tariff-mitigation/exclusion-requests" TargetMode="External" /><Relationship Type="http://schemas.openxmlformats.org/officeDocument/2006/relationships/hyperlink" Id="rId47" Target="https://www.supremecourt.gov/opinions/25pdf/24-1287_4gcj.pdf" TargetMode="External" /><Relationship Type="http://schemas.openxmlformats.org/officeDocument/2006/relationships/hyperlink" Id="rId92" Target="https://www.thomsonreuters.com/en-us/posts/corporates/2026-global-trade-report/" TargetMode="External" /><Relationship Type="http://schemas.openxmlformats.org/officeDocument/2006/relationships/hyperlink" Id="rId43" Target="https://www.tradecomplianceresourcehub.com/2026/08/19/trump-2-0-tariff-tracker/" TargetMode="External" /><Relationship Type="http://schemas.openxmlformats.org/officeDocument/2006/relationships/hyperlink" Id="rId78" Target="https://www.tradewarlab.com/p/did-political-influence-determine" TargetMode="External" /><Relationship Type="http://schemas.openxmlformats.org/officeDocument/2006/relationships/hyperlink" Id="rId54" Target="https://www.whitecase.com/insight-alert/trump-administration-imposes-10-section-122-tariff-plan-replace-ieepa-tariffs" TargetMode="External" /><Relationship Type="http://schemas.openxmlformats.org/officeDocument/2006/relationships/hyperlink" Id="rId24" Target="https://www.whitehouse.gov/presidential-actions/" TargetMode="External" /><Relationship Type="http://schemas.openxmlformats.org/officeDocument/2006/relationships/hyperlink" Id="rId44" Target="https://www.wiley.law/trump-administration-tariff-tracker" TargetMode="External" /><Relationship Type="http://schemas.openxmlformats.org/officeDocument/2006/relationships/hyperlink" Id="rId52" Target="https://www.wilmerhale.com/en/insights/client-alerts/20260220-supreme-court-strikes-down-ieepa-tariffs-what-now" TargetMode="External" /><Relationship Type="http://schemas.openxmlformats.org/officeDocument/2006/relationships/hyperlink" Id="rId72" Target="https://www.worldbank.org/en/topic/trade" TargetMode="External" /><Relationship Type="http://schemas.openxmlformats.org/officeDocument/2006/relationships/hyperlink" Id="rId71" Target="https://www.wto.org/english/news_e/news_e.htm" TargetMode="External" /></Relationships>
</file>

<file path=word/_rels/footnotes.xml.rels><?xml version="1.0" encoding="UTF-8"?><Relationships xmlns="http://schemas.openxmlformats.org/package/2006/relationships"><Relationship Type="http://schemas.openxmlformats.org/officeDocument/2006/relationships/hyperlink" Id="rId68" Target="https://cepr.org/voxeu/trump-and-tariffs" TargetMode="External" /><Relationship Type="http://schemas.openxmlformats.org/officeDocument/2006/relationships/hyperlink" Id="rId48" Target="https://en.wikipedia.org/wiki/Learning_Resources,_Inc._v._Trump" TargetMode="External" /><Relationship Type="http://schemas.openxmlformats.org/officeDocument/2006/relationships/hyperlink" Id="rId73" Target="https://fpa.org/topics/2-the-end-of-an-era-trumps-tariffs-in-historical-perspective/" TargetMode="External" /><Relationship Type="http://schemas.openxmlformats.org/officeDocument/2006/relationships/hyperlink" Id="rId42" Target="https://globaltradealert.org/blog/from-ieepa-to-section-122" TargetMode="External" /><Relationship Type="http://schemas.openxmlformats.org/officeDocument/2006/relationships/hyperlink" Id="rId41" Target="https://globaltradealert.org/reports/Real-Time-Information-on-Trump-Trade-Deals" TargetMode="External" /><Relationship Type="http://schemas.openxmlformats.org/officeDocument/2006/relationships/hyperlink" Id="rId91" Target="https://guides.loc.gov/united-states-trade-policy/current-news" TargetMode="External" /><Relationship Type="http://schemas.openxmlformats.org/officeDocument/2006/relationships/hyperlink" Id="rId55" Target="https://ielp.worldtradelaw.net/2026/02/section-122-as-a-partial-replacement-for-the-ieepa-tariffs/" TargetMode="External" /><Relationship Type="http://schemas.openxmlformats.org/officeDocument/2006/relationships/hyperlink" Id="rId90" Target="https://insidetrade.com/" TargetMode="External" /><Relationship Type="http://schemas.openxmlformats.org/officeDocument/2006/relationships/hyperlink" Id="rId86" Target="https://kpmg.com/vn/en/home/insights/2025/10/us-and-vietnam-outline-framework-for-reciprocal-trade-agreement.html" TargetMode="External" /><Relationship Type="http://schemas.openxmlformats.org/officeDocument/2006/relationships/hyperlink" Id="rId38" Target="https://taxfoundation.org/research/all/federal/trump-tariffs-trade-war/" TargetMode="External" /><Relationship Type="http://schemas.openxmlformats.org/officeDocument/2006/relationships/hyperlink" Id="rId39" Target="https://taxpolicycenter.org/features/tracking-trump-tariffs" TargetMode="External" /><Relationship Type="http://schemas.openxmlformats.org/officeDocument/2006/relationships/hyperlink" Id="rId22" Target="https://ustr.gov/callout/us-harmonized-tariff-schedule-hts" TargetMode="External" /><Relationship Type="http://schemas.openxmlformats.org/officeDocument/2006/relationships/hyperlink" Id="rId23" Target="https://ustr.gov/node/14362" TargetMode="External" /><Relationship Type="http://schemas.openxmlformats.org/officeDocument/2006/relationships/hyperlink" Id="rId21" Target="https://ustr.gov/trade-topics/presidential-tariff-actions" TargetMode="External" /><Relationship Type="http://schemas.openxmlformats.org/officeDocument/2006/relationships/hyperlink" Id="rId40" Target="https://www.atlanticcouncil.org/programs/geoeconomics-center/trump-tariff-tracker/" TargetMode="External" /><Relationship Type="http://schemas.openxmlformats.org/officeDocument/2006/relationships/hyperlink" Id="rId50" Target="https://www.bclplaw.com/en-US/events-insights-news/federal-circuit-affirms-ieepa-tariffs-invalidation-but-questions-persist-as-to-future-injunctive-and-monetary-relief-for-importers.html" TargetMode="External" /><Relationship Type="http://schemas.openxmlformats.org/officeDocument/2006/relationships/hyperlink" Id="rId28" Target="https://www.bis.gov/about-bis/bis-leadership-and-offices/SIES/section-232-investigations/section-232-steel-aluminum" TargetMode="External" /><Relationship Type="http://schemas.openxmlformats.org/officeDocument/2006/relationships/hyperlink" Id="rId77" Target="https://www.bis.gov/press-release/department-commerce-launches-section-232-steel-aluminum-inclusions-process" TargetMode="External" /><Relationship Type="http://schemas.openxmlformats.org/officeDocument/2006/relationships/hyperlink" Id="rId66" Target="https://www.brookings.edu/tags/tariffs/" TargetMode="External" /><Relationship Type="http://schemas.openxmlformats.org/officeDocument/2006/relationships/hyperlink" Id="rId75" Target="https://www.cato.org/blog/tariff-inclusion-process-comes-high-costs-absurd-outcomes-extra-cronyism" TargetMode="External" /><Relationship Type="http://schemas.openxmlformats.org/officeDocument/2006/relationships/hyperlink" Id="rId67" Target="https://www.cato.org/ieepa" TargetMode="External" /><Relationship Type="http://schemas.openxmlformats.org/officeDocument/2006/relationships/hyperlink" Id="rId27" Target="https://www.cbp.gov/newsroom" TargetMode="External" /><Relationship Type="http://schemas.openxmlformats.org/officeDocument/2006/relationships/hyperlink" Id="rId69" Target="https://www.cfr.org/" TargetMode="External" /><Relationship Type="http://schemas.openxmlformats.org/officeDocument/2006/relationships/hyperlink" Id="rId45" Target="https://www.cfr.org/articles/tracking-trumps-trade-deals" TargetMode="External" /><Relationship Type="http://schemas.openxmlformats.org/officeDocument/2006/relationships/hyperlink" Id="rId80" Target="https://www.conference-board.org/research/ced-policy-backgrounders/section-232-tariff-investigations-and-public-comments" TargetMode="External" /><Relationship Type="http://schemas.openxmlformats.org/officeDocument/2006/relationships/hyperlink" Id="rId85" Target="https://www.congress.gov/crs-product/IF11120" TargetMode="External" /><Relationship Type="http://schemas.openxmlformats.org/officeDocument/2006/relationships/hyperlink" Id="rId32" Target="https://www.congress.gov/crs-product/LSB11398" TargetMode="External" /><Relationship Type="http://schemas.openxmlformats.org/officeDocument/2006/relationships/hyperlink" Id="rId29" Target="https://www.congress.gov/crs-product/R48549" TargetMode="External" /><Relationship Type="http://schemas.openxmlformats.org/officeDocument/2006/relationships/hyperlink" Id="rId31" Target="https://www.congress.gov/crs_external_products/IN/PDF/IN12608/IN12608.3.pdf" TargetMode="External" /><Relationship Type="http://schemas.openxmlformats.org/officeDocument/2006/relationships/hyperlink" Id="rId33" Target="https://www.congress.gov/search?q=%7B%22source%22%3A%22crs%22%2C%22search%22%3A%22tariffs%22%7D" TargetMode="External" /><Relationship Type="http://schemas.openxmlformats.org/officeDocument/2006/relationships/hyperlink" Id="rId53" Target="https://www.cov.com/en/news-and-insights/insights/2026/02/ieepa-tariffs-terminated-replacement-section-122-tariffs-take-effect" TargetMode="External" /><Relationship Type="http://schemas.openxmlformats.org/officeDocument/2006/relationships/hyperlink" Id="rId51" Target="https://www.dlapiper.com/en-us/insights/publications/2026/02/us-supreme-court-holds-ieepa-does-not-authorize-tariffs" TargetMode="External" /><Relationship Type="http://schemas.openxmlformats.org/officeDocument/2006/relationships/hyperlink" Id="rId30" Target="https://www.everycrsreport.com/files/2025-07-30_R48549_c67e64d04f991ea03fd9a36b32907ff4feef1132.html" TargetMode="External" /><Relationship Type="http://schemas.openxmlformats.org/officeDocument/2006/relationships/hyperlink" Id="rId25" Target="https://www.federalregister.gov/" TargetMode="External" /><Relationship Type="http://schemas.openxmlformats.org/officeDocument/2006/relationships/hyperlink" Id="rId26" Target="https://www.federalregister.gov/documents/2026/02/25/2026-03832/ending-certain-tariff-actions" TargetMode="External" /><Relationship Type="http://schemas.openxmlformats.org/officeDocument/2006/relationships/hyperlink" Id="rId87" Target="https://www.globaltradelawblog.com/2025/11/10/shifts-in-u-s-trade-in-asia-key-agreements-president-trumps-october-2025-asia-trip-part-i-southeast-asia/" TargetMode="External" /><Relationship Type="http://schemas.openxmlformats.org/officeDocument/2006/relationships/hyperlink" Id="rId84" Target="https://www.gmfus.org/news/trade-explainer-comparison-us-agreements-eu-united-kingdom-and-japan" TargetMode="External" /><Relationship Type="http://schemas.openxmlformats.org/officeDocument/2006/relationships/hyperlink" Id="rId88" Target="https://www.hklaw.com/en/insights/publications/2025/07/reciprocal-tariff-update-state-of-bilateral-negotiations" TargetMode="External" /><Relationship Type="http://schemas.openxmlformats.org/officeDocument/2006/relationships/hyperlink" Id="rId49" Target="https://www.hklaw.com/en/insights/publications/2026/03/court-of-international-trade-orders-nationwide-tariff-refunds" TargetMode="External" /><Relationship Type="http://schemas.openxmlformats.org/officeDocument/2006/relationships/hyperlink" Id="rId70" Target="https://www.imf.org/en/Publications/WEO" TargetMode="External" /><Relationship Type="http://schemas.openxmlformats.org/officeDocument/2006/relationships/hyperlink" Id="rId57" Target="https://www.nber.org/papers/w33771" TargetMode="External" /><Relationship Type="http://schemas.openxmlformats.org/officeDocument/2006/relationships/hyperlink" Id="rId59" Target="https://www.nber.org/papers/w34036" TargetMode="External" /><Relationship Type="http://schemas.openxmlformats.org/officeDocument/2006/relationships/hyperlink" Id="rId60" Target="https://www.nber.org/papers/w34192" TargetMode="External" /><Relationship Type="http://schemas.openxmlformats.org/officeDocument/2006/relationships/hyperlink" Id="rId58" Target="https://www.nber.org/papers/w35064" TargetMode="External" /><Relationship Type="http://schemas.openxmlformats.org/officeDocument/2006/relationships/hyperlink" Id="rId61" Target="https://www.nber.org/papers/w35630" TargetMode="External" /><Relationship Type="http://schemas.openxmlformats.org/officeDocument/2006/relationships/hyperlink" Id="rId62" Target="https://www.nber.org/system/files/working_papers/w34299/w34299.pdf" TargetMode="External" /><Relationship Type="http://schemas.openxmlformats.org/officeDocument/2006/relationships/hyperlink" Id="rId76" Target="https://www.nftc.org/wp-content/uploads/2026/02/US-Industry-Multi-Association-Letter-on-Section-232-Process.pdf" TargetMode="External" /><Relationship Type="http://schemas.openxmlformats.org/officeDocument/2006/relationships/hyperlink" Id="rId81" Target="https://www.opensecrets.org/federal-lobbying" TargetMode="External" /><Relationship Type="http://schemas.openxmlformats.org/officeDocument/2006/relationships/hyperlink" Id="rId37" Target="https://www.piie.com/blogs/realtime-economics/2025/global-trade-war-update" TargetMode="External" /><Relationship Type="http://schemas.openxmlformats.org/officeDocument/2006/relationships/hyperlink" Id="rId65" Target="https://www.piie.com/blogs/realtime-economics/2026/trump-china-trade-wars-five-takeaways-us-imports-2025" TargetMode="External" /><Relationship Type="http://schemas.openxmlformats.org/officeDocument/2006/relationships/hyperlink" Id="rId64" Target="https://www.piie.com/publications/working-papers/2026/how-did-trumps-2025-trade-war-affect-decoupling-us-china-supply" TargetMode="External" /><Relationship Type="http://schemas.openxmlformats.org/officeDocument/2006/relationships/hyperlink" Id="rId36" Target="https://www.piie.com/research/piie-charts/2025/trumps-tariff-revenue-tracker-how-much-us-collecting-which-imports-are" TargetMode="External" /><Relationship Type="http://schemas.openxmlformats.org/officeDocument/2006/relationships/hyperlink" Id="rId35" Target="https://www.piie.com/research/trade-investment/tariffs" TargetMode="External" /><Relationship Type="http://schemas.openxmlformats.org/officeDocument/2006/relationships/hyperlink" Id="rId63" Target="https://www.piie.com/sites/default/files/2025-06/wp25-13.pdf" TargetMode="External" /><Relationship Type="http://schemas.openxmlformats.org/officeDocument/2006/relationships/hyperlink" Id="rId79" Target="https://www.quantgov.org/tariffs" TargetMode="External" /><Relationship Type="http://schemas.openxmlformats.org/officeDocument/2006/relationships/hyperlink" Id="rId82" Target="https://www.strtrade.com/services/duty-savings-tariff-mitigation/exclusion-requests" TargetMode="External" /><Relationship Type="http://schemas.openxmlformats.org/officeDocument/2006/relationships/hyperlink" Id="rId47" Target="https://www.supremecourt.gov/opinions/25pdf/24-1287_4gcj.pdf" TargetMode="External" /><Relationship Type="http://schemas.openxmlformats.org/officeDocument/2006/relationships/hyperlink" Id="rId92" Target="https://www.thomsonreuters.com/en-us/posts/corporates/2026-global-trade-report/" TargetMode="External" /><Relationship Type="http://schemas.openxmlformats.org/officeDocument/2006/relationships/hyperlink" Id="rId43" Target="https://www.tradecomplianceresourcehub.com/2026/08/19/trump-2-0-tariff-tracker/" TargetMode="External" /><Relationship Type="http://schemas.openxmlformats.org/officeDocument/2006/relationships/hyperlink" Id="rId78" Target="https://www.tradewarlab.com/p/did-political-influence-determine" TargetMode="External" /><Relationship Type="http://schemas.openxmlformats.org/officeDocument/2006/relationships/hyperlink" Id="rId54" Target="https://www.whitecase.com/insight-alert/trump-administration-imposes-10-section-122-tariff-plan-replace-ieepa-tariffs" TargetMode="External" /><Relationship Type="http://schemas.openxmlformats.org/officeDocument/2006/relationships/hyperlink" Id="rId24" Target="https://www.whitehouse.gov/presidential-actions/" TargetMode="External" /><Relationship Type="http://schemas.openxmlformats.org/officeDocument/2006/relationships/hyperlink" Id="rId44" Target="https://www.wiley.law/trump-administration-tariff-tracker" TargetMode="External" /><Relationship Type="http://schemas.openxmlformats.org/officeDocument/2006/relationships/hyperlink" Id="rId52" Target="https://www.wilmerhale.com/en/insights/client-alerts/20260220-supreme-court-strikes-down-ieepa-tariffs-what-now" TargetMode="External" /><Relationship Type="http://schemas.openxmlformats.org/officeDocument/2006/relationships/hyperlink" Id="rId72" Target="https://www.worldbank.org/en/topic/trade" TargetMode="External" /><Relationship Type="http://schemas.openxmlformats.org/officeDocument/2006/relationships/hyperlink" Id="rId71" Target="https://www.wto.org/english/news_e/news_e.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Mapa de Fuentes: Política Comercial y Arancelaria de EE.UU. bajo la Segunda Administración Trump</dc:title>
  <dc:creator>DRP Research</dc:creator>
  <dc:language>es</dc:language>
  <cp:keywords/>
  <dcterms:created xsi:type="dcterms:W3CDTF">2026-08-25T15:09:00Z</dcterms:created>
  <dcterms:modified xsi:type="dcterms:W3CDTF">2026-08-25T15:09:00Z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2026-08-25</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Documento de trabajo N.º 1 — Identificación de fuentes de información</vt:lpwstr>
  </property>
  <property fmtid="{D5CDD505-2E9C-101B-9397-08002B2CF9AE}" pid="11" name="toc-title">
    <vt:lpwstr>Tabla de contenidos</vt:lpwstr>
  </property>
</Properties>
</file>