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 To our knowledge, this research question remains neglected in previous works</w:t>
      </w:r>
      <w:r>
        <w:t xml:space="preserve"> </w:t>
      </w:r>
      <w:r>
        <w:t xml:space="preserve">(Aufiero et al., 2024; Gadár &amp; Abonyi, 2018; Garcia-Chitiva &amp; Correa, 2024)</w:t>
      </w:r>
      <w:r>
        <w:t xml:space="preserve">.</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48"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47"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r>
        <w:trPr>
          <w:trHeight w:val="360" w:hRule="auto"/>
        </w:trPr>
        body19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36340</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35449.8</w:t>
            </w:r>
          </w:p>
        </w:tc>
      </w:tr>
      <w:tr>
        <w:trPr>
          <w:trHeight w:val="360"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BIC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42640.0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36480.5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36155.8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35534.8</w:t>
            </w:r>
          </w:p>
        </w:tc>
      </w:tr>
    </w:tbl>
    <w:p>
      <w:pPr>
        <w:pStyle w:val="BodyText"/>
      </w:pPr>
      <w:r>
        <w:t xml:space="preserve">Results from Model 1 confirm our hypothesis of a negative and statistically significant effect for the network density term, indicating that observed connections between basic skills and programs occur much less frequently than would be expected by chance. Model 1 also demonstrates that brochure length acts as a significant confounding factor, positively associated with the inclusion of basic skills in program descriptions. Model 2 supports our expectation regarding the role of popular skills in forming ties with program brochures. Scientific reasoning (science) emerged as the most prominent skill, with a positive and statistically significant coefficient, confirming that it is consistently targeted across national academic offerings and ranks above all other skills. Model 2 also confirms the hierarchical order of importance among the remaining skills, with speaking ranking second, followed by reading comprehension, active listening, and learning strategies. Model 3 corroborates these findings and indicates that master’s and doctoral programs play a significant role in forming ties with basic skills, with estimates exceeding those for brochure length but remaining below those for the most popular skills. As in the previous two models, the estimate for the density term remains negative, increasing slightly. Finally, Model 4 corroborates our expectations regarding the role of OECD membership, with its statistical estimate slightly exceeding those for master’s and doctoral programs but remaining below the estimates for popular skills. Taken together, the results across all models reveal a consistent pattern linking basic skills with postgraduate programs. Scientific reasoning (science) stands out as the most targeted skill in the academic offerings of sampled countries, complemented by oral communication (speaking), reading comprehension, active listening, and learning strategies.</w:t>
      </w:r>
    </w:p>
    <w:bookmarkEnd w:id="47"/>
    <w:bookmarkEnd w:id="48"/>
    <w:bookmarkStart w:id="142" w:name="discussion-and-conclusion"/>
    <w:p>
      <w:pPr>
        <w:pStyle w:val="Heading1"/>
      </w:pPr>
      <w:r>
        <w:t xml:space="preserve">Discussion and conclusion</w:t>
      </w:r>
    </w:p>
    <w:p>
      <w:pPr>
        <w:pStyle w:val="FirstParagraph"/>
      </w:pPr>
      <w:r>
        <w:t xml:space="preserve">Basic skills are essential in higher education. Not only they are foundational capacities that facilitate learning and accelerate knowledge acquisition, but they provide the structural basis for developing more specialized competencies across diverse domains and jobs. Our goal in this case study was to analyze the emphasis on basic skills in 3,155 postgraduate programs from 481 universities across nine Latin American nations. Our case study provides several contributions by addressing three research questions. We discuss the contributions of our work along with these research question immediately.</w:t>
      </w:r>
    </w:p>
    <w:p>
      <w:pPr>
        <w:pStyle w:val="BodyText"/>
      </w:pPr>
      <w:r>
        <w:t xml:space="preserve">In the first place, we ask how the emphasis on basic skills varies across Latin American nations. This research question addresses an empirical gap in the literature on science education. While previous research has primarily examined the relevance of basic skills within individual countries</w:t>
      </w:r>
      <w:r>
        <w:t xml:space="preserve"> </w:t>
      </w:r>
      <w:r>
        <w:t xml:space="preserve">(Gadár &amp; Abonyi, 2018; García-Chitiva &amp; Correa, 2024; Vista, 2020)</w:t>
      </w:r>
      <w:r>
        <w:t xml:space="preserve">, cross-country comparisons remain limited. Our approach is a cross-case synthesis</w:t>
      </w:r>
      <w:r>
        <w:t xml:space="preserve"> </w:t>
      </w:r>
      <w:r>
        <w:t xml:space="preserve">(Yin, 2018)</w:t>
      </w:r>
      <w:r>
        <w:t xml:space="preserve"> </w:t>
      </w:r>
      <w:r>
        <w:t xml:space="preserve">that relies on bipartite network modeling to achieve this objective. To our knowledge, this constitutes the first study of its kind in the existing literature. Further studies can benefit from this case study by replicating our workflow, which paves the way for sampling other countries. To facilitate replication, we adhered to best practices in open science and reproducible research</w:t>
      </w:r>
      <w:r>
        <w:t xml:space="preserve"> </w:t>
      </w:r>
      <w:r>
        <w:t xml:space="preserve">(Gandrud, 2018)</w:t>
      </w:r>
      <w:r>
        <w:t xml:space="preserve">. Accordingly, raw, pre-processed, and cleaned datasets, along with the computational code used for analysis, are available in a public GitHub repository.</w:t>
      </w:r>
    </w:p>
    <w:p>
      <w:pPr>
        <w:pStyle w:val="BodyText"/>
      </w:pPr>
      <w:r>
        <w:t xml:space="preserve">Our second research question examines the five most central basic skills within the Latin American academic offering. Conceptually, all basic skills hold equal importance in higher education. However, from an empirical perspective, analyzing their centrality provides a rigorous approach to identifying which skills are most prominent and which are less emphasized. Previous studies in Latin American countries have suggested that skills such as critical thinking and communication are less emphasized than others</w:t>
      </w:r>
      <w:r>
        <w:t xml:space="preserve"> </w:t>
      </w:r>
      <w:r>
        <w:t xml:space="preserve">(García-Chitiva &amp; Correa, 2024)</w:t>
      </w:r>
      <w:r>
        <w:t xml:space="preserve">. From this perspective, our findings carry significant contextual implications for higher education institutions in the region. Specifically, we identified scientific reasoning (science), oral communication (speaking), reading comprehension, active listening, and learning strategies as the five most central basic skills. This emphasis occurs within an international context where Latin American universities contribute to a continuous outflow of scientists and professionals to developed countries, resulting in a strategic loss of human capital for emerging economies in the region</w:t>
      </w:r>
      <w:r>
        <w:t xml:space="preserve"> </w:t>
      </w:r>
      <w:r>
        <w:t xml:space="preserve">(Echeverría-King et al., 2022)</w:t>
      </w:r>
      <w:r>
        <w:t xml:space="preserve">.</w:t>
      </w:r>
    </w:p>
    <w:p>
      <w:pPr>
        <w:pStyle w:val="BodyText"/>
      </w:pPr>
      <w:r>
        <w:t xml:space="preserve">Our third research question evaluates possible significant differences in the ranking of basic skills across Latin American countries. The idea that the ranking of basic skills can vary as a function of other covariates such as the program level (i.e., specialization, master’s, or doctorates) or the OECD membership holds important implications for higher education institutions in the region. Our results showed that master’s and doctorates are, indeed, important factors associated with basic skills learning. Here, it is important to remember that these type of programs represent an extension of formal education for professionals and as such implies a significant investment of time, money, and resources for professionals who pursue a graduate degree. Given the wide variety of graduate programs for professionals in the region, universities can benefit from our case study to identify possible ways to increase the added value of their academic offering. Our results also showed that the academic offering of OECD members works as another significant factor that connects basic skills with programs. Here, the inter-institutional cooperation between universities in the region can increase the education quality of their graduates by promoting international internships, shared research projects, and enjoy the benefits of job opportunities in the region.</w:t>
      </w:r>
    </w:p>
    <w:p>
      <w:pPr>
        <w:pStyle w:val="BodyText"/>
      </w:pPr>
      <w:r>
        <w:t xml:space="preserve">Our case study is not free of limitations. Given that our case study relies on quantitative analyses of texts, future studies can benefit from using large language models (LLMs) as an analytic resource that tackles the semantic value and orientation of program brochures towards basic skills training. The use of LLMs in combination with data sets such as those provided by O*NET is in an early stage</w:t>
      </w:r>
      <w:r>
        <w:t xml:space="preserve"> </w:t>
      </w:r>
      <w:r>
        <w:t xml:space="preserve">(Javadian Sabet et al., 2024)</w:t>
      </w:r>
      <w:r>
        <w:t xml:space="preserve">.</w:t>
      </w:r>
    </w:p>
    <w:bookmarkStart w:id="141" w:name="refs"/>
    <w:bookmarkStart w:id="50"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9">
        <w:r>
          <w:rPr>
            <w:rStyle w:val="Hyperlink"/>
          </w:rPr>
          <w:t xml:space="preserve">https://doi.org/10.1080/03797720802254031</w:t>
        </w:r>
      </w:hyperlink>
    </w:p>
    <w:bookmarkEnd w:id="50"/>
    <w:bookmarkStart w:id="52"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51">
        <w:r>
          <w:rPr>
            <w:rStyle w:val="Hyperlink"/>
          </w:rPr>
          <w:t xml:space="preserve">https://doi.org/10.1126/sciadv.aao6030</w:t>
        </w:r>
      </w:hyperlink>
    </w:p>
    <w:bookmarkEnd w:id="52"/>
    <w:bookmarkStart w:id="54"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3">
        <w:r>
          <w:rPr>
            <w:rStyle w:val="Hyperlink"/>
          </w:rPr>
          <w:t xml:space="preserve">https://doi.org/10.1007/978-94-015-9946-7_14</w:t>
        </w:r>
      </w:hyperlink>
    </w:p>
    <w:bookmarkEnd w:id="54"/>
    <w:bookmarkStart w:id="56"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5">
        <w:r>
          <w:rPr>
            <w:rStyle w:val="Hyperlink"/>
          </w:rPr>
          <w:t xml:space="preserve">https://doi.org/10.1038/s41598-024-61448-x</w:t>
        </w:r>
      </w:hyperlink>
    </w:p>
    <w:bookmarkEnd w:id="56"/>
    <w:bookmarkStart w:id="58"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7">
        <w:r>
          <w:rPr>
            <w:rStyle w:val="Hyperlink"/>
          </w:rPr>
          <w:t xml:space="preserve">https://doi.org/10.21105/joss.00774</w:t>
        </w:r>
      </w:hyperlink>
    </w:p>
    <w:bookmarkEnd w:id="58"/>
    <w:bookmarkStart w:id="59"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9"/>
    <w:bookmarkStart w:id="61"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60">
        <w:r>
          <w:rPr>
            <w:rStyle w:val="Hyperlink"/>
          </w:rPr>
          <w:t xml:space="preserve">https://doi.org/10.1073/pnas.1804247115</w:t>
        </w:r>
      </w:hyperlink>
    </w:p>
    <w:bookmarkEnd w:id="61"/>
    <w:bookmarkStart w:id="63"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2">
        <w:r>
          <w:rPr>
            <w:rStyle w:val="Hyperlink"/>
          </w:rPr>
          <w:t xml:space="preserve">https://doi.org/10.1111/dsji.70003</w:t>
        </w:r>
      </w:hyperlink>
    </w:p>
    <w:bookmarkEnd w:id="63"/>
    <w:bookmarkStart w:id="65"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4">
        <w:r>
          <w:rPr>
            <w:rStyle w:val="Hyperlink"/>
          </w:rPr>
          <w:t xml:space="preserve">https://doi.org/10.18637/jss.v024.i02</w:t>
        </w:r>
      </w:hyperlink>
    </w:p>
    <w:bookmarkEnd w:id="65"/>
    <w:bookmarkStart w:id="66"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6"/>
    <w:bookmarkStart w:id="67"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7"/>
    <w:bookmarkStart w:id="68"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8"/>
    <w:bookmarkStart w:id="70"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9">
        <w:r>
          <w:rPr>
            <w:rStyle w:val="Hyperlink"/>
          </w:rPr>
          <w:t xml:space="preserve">https://doi.org/10.1007/s41109-025-00696-w</w:t>
        </w:r>
      </w:hyperlink>
    </w:p>
    <w:bookmarkEnd w:id="70"/>
    <w:bookmarkStart w:id="72"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71">
        <w:r>
          <w:rPr>
            <w:rStyle w:val="Hyperlink"/>
          </w:rPr>
          <w:t xml:space="preserve">https://doi.org/10.1016/j.stueduc.2021.101031</w:t>
        </w:r>
      </w:hyperlink>
    </w:p>
    <w:bookmarkEnd w:id="72"/>
    <w:bookmarkStart w:id="74"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3">
        <w:r>
          <w:rPr>
            <w:rStyle w:val="Hyperlink"/>
          </w:rPr>
          <w:t xml:space="preserve">https://doi.org/10.3389/frma.2022.893593</w:t>
        </w:r>
      </w:hyperlink>
    </w:p>
    <w:bookmarkEnd w:id="74"/>
    <w:bookmarkStart w:id="76"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5">
        <w:r>
          <w:rPr>
            <w:rStyle w:val="Hyperlink"/>
          </w:rPr>
          <w:t xml:space="preserve">https://doi.org/10.1080/03075079.2024.2316881</w:t>
        </w:r>
      </w:hyperlink>
    </w:p>
    <w:bookmarkEnd w:id="76"/>
    <w:bookmarkStart w:id="78"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7">
        <w:r>
          <w:rPr>
            <w:rStyle w:val="Hyperlink"/>
          </w:rPr>
          <w:t xml:space="preserve">https://doi.org/10.1038/d41586-023-03507-3</w:t>
        </w:r>
      </w:hyperlink>
    </w:p>
    <w:bookmarkEnd w:id="78"/>
    <w:bookmarkStart w:id="80"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9">
        <w:r>
          <w:rPr>
            <w:rStyle w:val="Hyperlink"/>
          </w:rPr>
          <w:t xml:space="preserve">https://doi.org/10.1080/03075079.2025.2515512</w:t>
        </w:r>
      </w:hyperlink>
    </w:p>
    <w:bookmarkEnd w:id="80"/>
    <w:bookmarkStart w:id="81"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81"/>
    <w:bookmarkStart w:id="83"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2">
        <w:r>
          <w:rPr>
            <w:rStyle w:val="Hyperlink"/>
          </w:rPr>
          <w:t xml:space="preserve">https://doi.org/10.1371/journal.pone.0192427</w:t>
        </w:r>
      </w:hyperlink>
    </w:p>
    <w:bookmarkEnd w:id="83"/>
    <w:bookmarkStart w:id="84" w:name="ref-Gandrud2018"/>
    <w:p>
      <w:pPr>
        <w:pStyle w:val="Bibliography"/>
      </w:pPr>
      <w:r>
        <w:t xml:space="preserve">Gandrud, C. (2018).</w:t>
      </w:r>
      <w:r>
        <w:t xml:space="preserve"> </w:t>
      </w:r>
      <w:r>
        <w:rPr>
          <w:i/>
          <w:iCs/>
        </w:rPr>
        <w:t xml:space="preserve">Reproducible research with R and R studio</w:t>
      </w:r>
      <w:r>
        <w:t xml:space="preserve">. Chapman; Hall/CRC.</w:t>
      </w:r>
    </w:p>
    <w:bookmarkEnd w:id="84"/>
    <w:bookmarkStart w:id="86"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5">
        <w:r>
          <w:rPr>
            <w:rStyle w:val="Hyperlink"/>
          </w:rPr>
          <w:t xml:space="preserve">https://doi.org/10.1080/03075079.2023.2254799</w:t>
        </w:r>
      </w:hyperlink>
    </w:p>
    <w:bookmarkEnd w:id="86"/>
    <w:bookmarkStart w:id="87"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5">
        <w:r>
          <w:rPr>
            <w:rStyle w:val="Hyperlink"/>
          </w:rPr>
          <w:t xml:space="preserve">https://doi.org/10.1080/03075079.2023.2254799</w:t>
        </w:r>
      </w:hyperlink>
    </w:p>
    <w:bookmarkEnd w:id="87"/>
    <w:bookmarkStart w:id="89"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8">
        <w:r>
          <w:rPr>
            <w:rStyle w:val="Hyperlink"/>
          </w:rPr>
          <w:t xml:space="preserve">https://doi.org/10.3991/ijep.v15i2.51561</w:t>
        </w:r>
      </w:hyperlink>
    </w:p>
    <w:bookmarkEnd w:id="89"/>
    <w:bookmarkStart w:id="90"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90"/>
    <w:bookmarkStart w:id="92"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91">
        <w:r>
          <w:rPr>
            <w:rStyle w:val="Hyperlink"/>
          </w:rPr>
          <w:t xml:space="preserve">https://doi.org/10.7238/rusc.v10i2.1744</w:t>
        </w:r>
      </w:hyperlink>
    </w:p>
    <w:bookmarkEnd w:id="92"/>
    <w:bookmarkStart w:id="94"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3">
        <w:r>
          <w:rPr>
            <w:rStyle w:val="Hyperlink"/>
          </w:rPr>
          <w:t xml:space="preserve">https://doi.org/10.14426/cristal.v11iSI.624</w:t>
        </w:r>
      </w:hyperlink>
    </w:p>
    <w:bookmarkEnd w:id="94"/>
    <w:bookmarkStart w:id="96"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5">
        <w:r>
          <w:rPr>
            <w:rStyle w:val="Hyperlink"/>
          </w:rPr>
          <w:t xml:space="preserve">https://doi.org/10.1073/pnas.0900943106</w:t>
        </w:r>
      </w:hyperlink>
    </w:p>
    <w:bookmarkEnd w:id="96"/>
    <w:bookmarkStart w:id="97"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7"/>
    <w:bookmarkStart w:id="99"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8">
        <w:r>
          <w:rPr>
            <w:rStyle w:val="Hyperlink"/>
          </w:rPr>
          <w:t xml:space="preserve">https://doi.org/10.1038/s41597-024-03931-8</w:t>
        </w:r>
      </w:hyperlink>
    </w:p>
    <w:bookmarkEnd w:id="99"/>
    <w:bookmarkStart w:id="100"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100"/>
    <w:bookmarkStart w:id="102"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101">
        <w:r>
          <w:rPr>
            <w:rStyle w:val="Hyperlink"/>
          </w:rPr>
          <w:t xml:space="preserve">https://doi.org/10.1016/j.socnet.2021.11.002</w:t>
        </w:r>
      </w:hyperlink>
    </w:p>
    <w:bookmarkEnd w:id="102"/>
    <w:bookmarkStart w:id="104"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3">
        <w:r>
          <w:rPr>
            <w:rStyle w:val="Hyperlink"/>
          </w:rPr>
          <w:t xml:space="preserve">https://doi.org/10.1080/01621459.2023.2242627</w:t>
        </w:r>
      </w:hyperlink>
    </w:p>
    <w:bookmarkEnd w:id="104"/>
    <w:bookmarkStart w:id="106"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5">
        <w:r>
          <w:rPr>
            <w:rStyle w:val="Hyperlink"/>
          </w:rPr>
          <w:t xml:space="preserve">https://doi.org/10.1371/journal.pone.0213651</w:t>
        </w:r>
      </w:hyperlink>
    </w:p>
    <w:bookmarkEnd w:id="106"/>
    <w:bookmarkStart w:id="107" w:name="ref-Luke2015"/>
    <w:p>
      <w:pPr>
        <w:pStyle w:val="Bibliography"/>
      </w:pPr>
      <w:r>
        <w:t xml:space="preserve">Luke, D. (2015).</w:t>
      </w:r>
      <w:r>
        <w:t xml:space="preserve"> </w:t>
      </w:r>
      <w:r>
        <w:rPr>
          <w:i/>
          <w:iCs/>
        </w:rPr>
        <w:t xml:space="preserve">A User’s Guide to Network Analysis in R</w:t>
      </w:r>
      <w:r>
        <w:t xml:space="preserve">. Springer.</w:t>
      </w:r>
    </w:p>
    <w:bookmarkEnd w:id="107"/>
    <w:bookmarkStart w:id="108"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8"/>
    <w:bookmarkStart w:id="110"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9">
        <w:r>
          <w:rPr>
            <w:rStyle w:val="Hyperlink"/>
          </w:rPr>
          <w:t xml:space="preserve">https://doi.org/10.1080/0969594X.2018.1454401</w:t>
        </w:r>
      </w:hyperlink>
    </w:p>
    <w:bookmarkEnd w:id="110"/>
    <w:bookmarkStart w:id="112"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11">
        <w:r>
          <w:rPr>
            <w:rStyle w:val="Hyperlink"/>
          </w:rPr>
          <w:t xml:space="preserve">https://doi.org/10.1080/03075079.2013.823934</w:t>
        </w:r>
      </w:hyperlink>
    </w:p>
    <w:bookmarkEnd w:id="112"/>
    <w:bookmarkStart w:id="114"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3">
        <w:r>
          <w:rPr>
            <w:rStyle w:val="Hyperlink"/>
          </w:rPr>
          <w:t xml:space="preserve">https://doi.org/10.17718/tojde.640561</w:t>
        </w:r>
      </w:hyperlink>
    </w:p>
    <w:bookmarkEnd w:id="114"/>
    <w:bookmarkStart w:id="116"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5">
        <w:r>
          <w:rPr>
            <w:rStyle w:val="Hyperlink"/>
          </w:rPr>
          <w:t xml:space="preserve">https://doi.org/10.1007/s10734-020-00511-8</w:t>
        </w:r>
      </w:hyperlink>
    </w:p>
    <w:bookmarkEnd w:id="116"/>
    <w:bookmarkStart w:id="118"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7">
        <w:r>
          <w:rPr>
            <w:rStyle w:val="Hyperlink"/>
          </w:rPr>
          <w:t xml:space="preserve">https://doi.org/10.1007/s10734-017-0193-2</w:t>
        </w:r>
      </w:hyperlink>
    </w:p>
    <w:bookmarkEnd w:id="118"/>
    <w:bookmarkStart w:id="120"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9">
        <w:r>
          <w:rPr>
            <w:rStyle w:val="Hyperlink"/>
          </w:rPr>
          <w:t xml:space="preserve">https://www.onetcenter.org/dataCollection.html</w:t>
        </w:r>
      </w:hyperlink>
    </w:p>
    <w:bookmarkEnd w:id="120"/>
    <w:bookmarkStart w:id="122"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21">
        <w:r>
          <w:rPr>
            <w:rStyle w:val="Hyperlink"/>
          </w:rPr>
          <w:t xml:space="preserve">https://doi.org/10.1016/j.socnet.2011.07.001</w:t>
        </w:r>
      </w:hyperlink>
    </w:p>
    <w:bookmarkEnd w:id="122"/>
    <w:bookmarkStart w:id="123"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3"/>
    <w:bookmarkStart w:id="124"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4"/>
    <w:bookmarkStart w:id="126"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5">
        <w:r>
          <w:rPr>
            <w:rStyle w:val="Hyperlink"/>
          </w:rPr>
          <w:t xml:space="preserve">https://doi.org/10.1111/hequ.12108</w:t>
        </w:r>
      </w:hyperlink>
    </w:p>
    <w:bookmarkEnd w:id="126"/>
    <w:bookmarkStart w:id="127"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7"/>
    <w:bookmarkStart w:id="128"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8"/>
    <w:bookmarkStart w:id="129"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9"/>
    <w:bookmarkStart w:id="131"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30">
        <w:r>
          <w:rPr>
            <w:rStyle w:val="Hyperlink"/>
          </w:rPr>
          <w:t xml:space="preserve">https://doi.org/10.1023/A:1015292413037</w:t>
        </w:r>
      </w:hyperlink>
    </w:p>
    <w:bookmarkEnd w:id="131"/>
    <w:bookmarkStart w:id="133"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32">
        <w:r>
          <w:rPr>
            <w:rStyle w:val="Hyperlink"/>
          </w:rPr>
          <w:t xml:space="preserve">https://doi.org/10.3103/S0147688224700023</w:t>
        </w:r>
      </w:hyperlink>
    </w:p>
    <w:bookmarkEnd w:id="133"/>
    <w:bookmarkStart w:id="135"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4">
        <w:r>
          <w:rPr>
            <w:rStyle w:val="Hyperlink"/>
          </w:rPr>
          <w:t xml:space="preserve">https://doi.org/10.1177/2158244020915904</w:t>
        </w:r>
      </w:hyperlink>
    </w:p>
    <w:bookmarkEnd w:id="135"/>
    <w:bookmarkStart w:id="137"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6">
        <w:r>
          <w:rPr>
            <w:rStyle w:val="Hyperlink"/>
          </w:rPr>
          <w:t xml:space="preserve">https://doi.org/10.1016/j.socnet.2011.12.004</w:t>
        </w:r>
      </w:hyperlink>
    </w:p>
    <w:bookmarkEnd w:id="137"/>
    <w:bookmarkStart w:id="139"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8">
        <w:r>
          <w:rPr>
            <w:rStyle w:val="Hyperlink"/>
          </w:rPr>
          <w:t xml:space="preserve">https://doi.org/10.1016/j.socnet.2008.08.002</w:t>
        </w:r>
      </w:hyperlink>
    </w:p>
    <w:bookmarkEnd w:id="139"/>
    <w:bookmarkStart w:id="140"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40"/>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3" Target="https://doi.org/10.1007/978-94-015-9946-7_14" TargetMode="External" /><Relationship Type="http://schemas.openxmlformats.org/officeDocument/2006/relationships/hyperlink" Id="rId117" Target="https://doi.org/10.1007/s10734-017-0193-2" TargetMode="External" /><Relationship Type="http://schemas.openxmlformats.org/officeDocument/2006/relationships/hyperlink" Id="rId115"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8" Target="https://doi.org/10.1016/j.socnet.2008.08.002" TargetMode="External" /><Relationship Type="http://schemas.openxmlformats.org/officeDocument/2006/relationships/hyperlink" Id="rId121" Target="https://doi.org/10.1016/j.socnet.2011.07.001" TargetMode="External" /><Relationship Type="http://schemas.openxmlformats.org/officeDocument/2006/relationships/hyperlink" Id="rId136" Target="https://doi.org/10.1016/j.socnet.2011.12.004" TargetMode="External" /><Relationship Type="http://schemas.openxmlformats.org/officeDocument/2006/relationships/hyperlink" Id="rId101"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30"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8"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5"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3" Target="https://doi.org/10.1080/01621459.2023.2242627" TargetMode="External" /><Relationship Type="http://schemas.openxmlformats.org/officeDocument/2006/relationships/hyperlink" Id="rId111" Target="https://doi.org/10.1080/03075079.2013.823934" TargetMode="External" /><Relationship Type="http://schemas.openxmlformats.org/officeDocument/2006/relationships/hyperlink" Id="rId85"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9"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5"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4"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5" Target="https://doi.org/10.1371/journal.pone.0213651" TargetMode="External" /><Relationship Type="http://schemas.openxmlformats.org/officeDocument/2006/relationships/hyperlink" Id="rId93" Target="https://doi.org/10.14426/cristal.v11iSI.624" TargetMode="External" /><Relationship Type="http://schemas.openxmlformats.org/officeDocument/2006/relationships/hyperlink" Id="rId113"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2"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8" Target="https://doi.org/10.3991/ijep.v15i2.51561" TargetMode="External" /><Relationship Type="http://schemas.openxmlformats.org/officeDocument/2006/relationships/hyperlink" Id="rId91" Target="https://doi.org/10.7238/rusc.v10i2.1744" TargetMode="External" /><Relationship Type="http://schemas.openxmlformats.org/officeDocument/2006/relationships/hyperlink" Id="rId119"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07/978-94-015-9946-7_14" TargetMode="External" /><Relationship Type="http://schemas.openxmlformats.org/officeDocument/2006/relationships/hyperlink" Id="rId117" Target="https://doi.org/10.1007/s10734-017-0193-2" TargetMode="External" /><Relationship Type="http://schemas.openxmlformats.org/officeDocument/2006/relationships/hyperlink" Id="rId115" Target="https://doi.org/10.1007/s10734-020-00511-8" TargetMode="External" /><Relationship Type="http://schemas.openxmlformats.org/officeDocument/2006/relationships/hyperlink" Id="rId69" Target="https://doi.org/10.1007/s41109-025-00696-w" TargetMode="External" /><Relationship Type="http://schemas.openxmlformats.org/officeDocument/2006/relationships/hyperlink" Id="rId138" Target="https://doi.org/10.1016/j.socnet.2008.08.002" TargetMode="External" /><Relationship Type="http://schemas.openxmlformats.org/officeDocument/2006/relationships/hyperlink" Id="rId121" Target="https://doi.org/10.1016/j.socnet.2011.07.001" TargetMode="External" /><Relationship Type="http://schemas.openxmlformats.org/officeDocument/2006/relationships/hyperlink" Id="rId136" Target="https://doi.org/10.1016/j.socnet.2011.12.004" TargetMode="External" /><Relationship Type="http://schemas.openxmlformats.org/officeDocument/2006/relationships/hyperlink" Id="rId101" Target="https://doi.org/10.1016/j.socnet.2021.11.002" TargetMode="External" /><Relationship Type="http://schemas.openxmlformats.org/officeDocument/2006/relationships/hyperlink" Id="rId71" Target="https://doi.org/10.1016/j.stueduc.2021.101031" TargetMode="External" /><Relationship Type="http://schemas.openxmlformats.org/officeDocument/2006/relationships/hyperlink" Id="rId130" Target="https://doi.org/10.1023/A:1015292413037" TargetMode="External" /><Relationship Type="http://schemas.openxmlformats.org/officeDocument/2006/relationships/hyperlink" Id="rId77" Target="https://doi.org/10.1038/d41586-023-03507-3" TargetMode="External" /><Relationship Type="http://schemas.openxmlformats.org/officeDocument/2006/relationships/hyperlink" Id="rId98" Target="https://doi.org/10.1038/s41597-024-03931-8" TargetMode="External" /><Relationship Type="http://schemas.openxmlformats.org/officeDocument/2006/relationships/hyperlink" Id="rId55" Target="https://doi.org/10.1038/s41598-024-61448-x" TargetMode="External" /><Relationship Type="http://schemas.openxmlformats.org/officeDocument/2006/relationships/hyperlink" Id="rId95" Target="https://doi.org/10.1073/pnas.0900943106" TargetMode="External" /><Relationship Type="http://schemas.openxmlformats.org/officeDocument/2006/relationships/hyperlink" Id="rId60" Target="https://doi.org/10.1073/pnas.1804247115" TargetMode="External" /><Relationship Type="http://schemas.openxmlformats.org/officeDocument/2006/relationships/hyperlink" Id="rId103" Target="https://doi.org/10.1080/01621459.2023.2242627" TargetMode="External" /><Relationship Type="http://schemas.openxmlformats.org/officeDocument/2006/relationships/hyperlink" Id="rId111" Target="https://doi.org/10.1080/03075079.2013.823934" TargetMode="External" /><Relationship Type="http://schemas.openxmlformats.org/officeDocument/2006/relationships/hyperlink" Id="rId85" Target="https://doi.org/10.1080/03075079.2023.2254799" TargetMode="External" /><Relationship Type="http://schemas.openxmlformats.org/officeDocument/2006/relationships/hyperlink" Id="rId75" Target="https://doi.org/10.1080/03075079.2024.2316881" TargetMode="External" /><Relationship Type="http://schemas.openxmlformats.org/officeDocument/2006/relationships/hyperlink" Id="rId79" Target="https://doi.org/10.1080/03075079.2025.2515512" TargetMode="External" /><Relationship Type="http://schemas.openxmlformats.org/officeDocument/2006/relationships/hyperlink" Id="rId49" Target="https://doi.org/10.1080/03797720802254031" TargetMode="External" /><Relationship Type="http://schemas.openxmlformats.org/officeDocument/2006/relationships/hyperlink" Id="rId109" Target="https://doi.org/10.1080/0969594X.2018.1454401" TargetMode="External" /><Relationship Type="http://schemas.openxmlformats.org/officeDocument/2006/relationships/hyperlink" Id="rId62" Target="https://doi.org/10.1111/dsji.70003" TargetMode="External" /><Relationship Type="http://schemas.openxmlformats.org/officeDocument/2006/relationships/hyperlink" Id="rId125" Target="https://doi.org/10.1111/hequ.12108" TargetMode="External" /><Relationship Type="http://schemas.openxmlformats.org/officeDocument/2006/relationships/hyperlink" Id="rId51" Target="https://doi.org/10.1126/sciadv.aao6030" TargetMode="External" /><Relationship Type="http://schemas.openxmlformats.org/officeDocument/2006/relationships/hyperlink" Id="rId134" Target="https://doi.org/10.1177/2158244020915904" TargetMode="External" /><Relationship Type="http://schemas.openxmlformats.org/officeDocument/2006/relationships/hyperlink" Id="rId82" Target="https://doi.org/10.1371/journal.pone.0192427" TargetMode="External" /><Relationship Type="http://schemas.openxmlformats.org/officeDocument/2006/relationships/hyperlink" Id="rId105" Target="https://doi.org/10.1371/journal.pone.0213651" TargetMode="External" /><Relationship Type="http://schemas.openxmlformats.org/officeDocument/2006/relationships/hyperlink" Id="rId93" Target="https://doi.org/10.14426/cristal.v11iSI.624" TargetMode="External" /><Relationship Type="http://schemas.openxmlformats.org/officeDocument/2006/relationships/hyperlink" Id="rId113" Target="https://doi.org/10.17718/tojde.640561" TargetMode="External" /><Relationship Type="http://schemas.openxmlformats.org/officeDocument/2006/relationships/hyperlink" Id="rId64" Target="https://doi.org/10.18637/jss.v024.i02" TargetMode="External" /><Relationship Type="http://schemas.openxmlformats.org/officeDocument/2006/relationships/hyperlink" Id="rId57" Target="https://doi.org/10.21105/joss.00774" TargetMode="External" /><Relationship Type="http://schemas.openxmlformats.org/officeDocument/2006/relationships/hyperlink" Id="rId132" Target="https://doi.org/10.3103/S0147688224700023" TargetMode="External" /><Relationship Type="http://schemas.openxmlformats.org/officeDocument/2006/relationships/hyperlink" Id="rId73" Target="https://doi.org/10.3389/frma.2022.893593" TargetMode="External" /><Relationship Type="http://schemas.openxmlformats.org/officeDocument/2006/relationships/hyperlink" Id="rId88" Target="https://doi.org/10.3991/ijep.v15i2.51561" TargetMode="External" /><Relationship Type="http://schemas.openxmlformats.org/officeDocument/2006/relationships/hyperlink" Id="rId91" Target="https://doi.org/10.7238/rusc.v10i2.1744" TargetMode="External" /><Relationship Type="http://schemas.openxmlformats.org/officeDocument/2006/relationships/hyperlink" Id="rId119"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2025-12-15T18:18:13Z</dcterms:created>
  <dcterms:modified xsi:type="dcterms:W3CDTF">2025-12-15T18:18:13Z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