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2E760" w14:textId="77777777" w:rsidR="006F0E28" w:rsidRPr="006F0E28" w:rsidRDefault="006F0E28" w:rsidP="006F0E28">
      <w:pPr>
        <w:shd w:val="clear" w:color="auto" w:fill="F4F4F4"/>
        <w:spacing w:after="0" w:line="600" w:lineRule="atLeast"/>
        <w:outlineLvl w:val="2"/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</w:pPr>
      <w:r w:rsidRPr="006F0E28"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  <w:t>MAESTRÍA EN</w:t>
      </w:r>
    </w:p>
    <w:p w14:paraId="7FF344B5" w14:textId="77777777" w:rsidR="006F0E28" w:rsidRPr="006F0E28" w:rsidRDefault="006F0E28" w:rsidP="006F0E28">
      <w:pPr>
        <w:shd w:val="clear" w:color="auto" w:fill="F4F4F4"/>
        <w:spacing w:after="300" w:line="240" w:lineRule="atLeast"/>
        <w:outlineLvl w:val="1"/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</w:pPr>
      <w:r w:rsidRPr="006F0E28"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  <w:t>BIOCIENCIAS APLICADAS</w:t>
      </w:r>
    </w:p>
    <w:p w14:paraId="329FD741" w14:textId="77777777" w:rsidR="006F0E28" w:rsidRPr="006F0E28" w:rsidRDefault="006F0E28" w:rsidP="006F0E28">
      <w:pPr>
        <w:shd w:val="clear" w:color="auto" w:fill="F4F4F4"/>
        <w:spacing w:line="240" w:lineRule="atLeast"/>
        <w:outlineLvl w:val="3"/>
        <w:rPr>
          <w:rFonts w:ascii="Arial" w:eastAsia="Times New Roman" w:hAnsi="Arial" w:cs="Arial"/>
          <w:color w:val="052E5E"/>
          <w:kern w:val="0"/>
          <w:sz w:val="27"/>
          <w:szCs w:val="27"/>
          <w:lang w:val="es-ES" w:eastAsia="it-IT"/>
          <w14:ligatures w14:val="none"/>
        </w:rPr>
      </w:pPr>
      <w:r w:rsidRPr="006F0E28">
        <w:rPr>
          <w:rFonts w:ascii="Arial" w:eastAsia="Times New Roman" w:hAnsi="Arial" w:cs="Arial"/>
          <w:color w:val="052E5E"/>
          <w:kern w:val="0"/>
          <w:sz w:val="27"/>
          <w:szCs w:val="27"/>
          <w:lang w:val="es-ES" w:eastAsia="it-IT"/>
          <w14:ligatures w14:val="none"/>
        </w:rPr>
        <w:t xml:space="preserve">Mención en </w:t>
      </w:r>
      <w:proofErr w:type="spellStart"/>
      <w:r w:rsidRPr="006F0E28">
        <w:rPr>
          <w:rFonts w:ascii="Arial" w:eastAsia="Times New Roman" w:hAnsi="Arial" w:cs="Arial"/>
          <w:color w:val="052E5E"/>
          <w:kern w:val="0"/>
          <w:sz w:val="27"/>
          <w:szCs w:val="27"/>
          <w:lang w:val="es-ES" w:eastAsia="it-IT"/>
          <w14:ligatures w14:val="none"/>
        </w:rPr>
        <w:t>Biodescubrimiento</w:t>
      </w:r>
      <w:proofErr w:type="spellEnd"/>
    </w:p>
    <w:p w14:paraId="3911AA10" w14:textId="77777777" w:rsidR="006F0E28" w:rsidRPr="006F0E28" w:rsidRDefault="006F0E28" w:rsidP="006F0E28">
      <w:pPr>
        <w:shd w:val="clear" w:color="auto" w:fill="F4F4F4"/>
        <w:spacing w:after="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6F0E28">
        <w:rPr>
          <w:rFonts w:ascii="Arial" w:eastAsia="Times New Roman" w:hAnsi="Arial" w:cs="Arial"/>
          <w:b/>
          <w:bCs/>
          <w:color w:val="153177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Resolución de aprobación CES:</w:t>
      </w:r>
      <w:r w:rsidRPr="006F0E28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RPC-SO-23-No.512-2020</w:t>
      </w:r>
    </w:p>
    <w:p w14:paraId="536CBF89" w14:textId="77777777" w:rsidR="006F0E28" w:rsidRPr="006F0E28" w:rsidRDefault="006F0E28" w:rsidP="006F0E28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5" w:anchor="perfil-de-egreso" w:history="1">
        <w:r w:rsidRPr="006F0E28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br/>
        </w:r>
        <w:proofErr w:type="spellStart"/>
        <w:r w:rsidRPr="006F0E28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>Perfil</w:t>
        </w:r>
        <w:proofErr w:type="spellEnd"/>
        <w:r w:rsidRPr="006F0E28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 xml:space="preserve"> de </w:t>
        </w:r>
        <w:proofErr w:type="spellStart"/>
        <w:r w:rsidRPr="006F0E28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>Egreso</w:t>
        </w:r>
        <w:proofErr w:type="spellEnd"/>
      </w:hyperlink>
    </w:p>
    <w:p w14:paraId="0DFCDF10" w14:textId="77777777" w:rsidR="006F0E28" w:rsidRPr="006F0E28" w:rsidRDefault="006F0E28" w:rsidP="006F0E28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6" w:anchor="malla" w:history="1">
        <w:r w:rsidRPr="006F0E28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Malla</w:t>
        </w:r>
      </w:hyperlink>
    </w:p>
    <w:p w14:paraId="390618B1" w14:textId="77777777" w:rsidR="006F0E28" w:rsidRPr="006F0E28" w:rsidRDefault="006F0E28" w:rsidP="006F0E28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7" w:anchor="contacto" w:history="1">
        <w:proofErr w:type="spellStart"/>
        <w:r w:rsidRPr="006F0E28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Contacto</w:t>
        </w:r>
        <w:proofErr w:type="spellEnd"/>
      </w:hyperlink>
    </w:p>
    <w:p w14:paraId="39EE1AC3" w14:textId="77777777" w:rsidR="006F0E28" w:rsidRPr="006F0E28" w:rsidRDefault="006F0E28" w:rsidP="006F0E28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8" w:anchor="admision" w:history="1">
        <w:proofErr w:type="spellStart"/>
        <w:r w:rsidRPr="006F0E28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Admisión</w:t>
        </w:r>
        <w:proofErr w:type="spellEnd"/>
      </w:hyperlink>
    </w:p>
    <w:p w14:paraId="7E858A38" w14:textId="77777777" w:rsidR="006F0E28" w:rsidRPr="006F0E28" w:rsidRDefault="006F0E28" w:rsidP="006F0E28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6F0E28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Los graduados de este programa manejarán los conocimientos necesarios para realizar biodescubrimiento a fin de solucionar problemas relacionados con la agricultura, medio ambiente y salud humana.</w:t>
      </w:r>
    </w:p>
    <w:p w14:paraId="64148F50" w14:textId="77777777" w:rsidR="006F0E28" w:rsidRPr="006F0E28" w:rsidRDefault="006F0E28" w:rsidP="006F0E28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6F0E28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Serán además conocedores y aplicadores de técnicas avanzadas de bioprospección, tamizaje químico, caracterización de biomoléculas, biología molecular, herramientas ómicas y bioestadística.</w:t>
      </w:r>
    </w:p>
    <w:p w14:paraId="03CACB67" w14:textId="77777777" w:rsidR="006F0E28" w:rsidRPr="006F0E28" w:rsidRDefault="006F0E28" w:rsidP="006F0E28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6F0E28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Los graduados podrán desarrollar su actividad profesional en institutos públicos de investigación, institutos u organizaciones científicas del sector privado y el sector productivo, como la industria biotecnológica.</w:t>
      </w:r>
    </w:p>
    <w:p w14:paraId="15E9F202" w14:textId="77777777" w:rsidR="006F0E28" w:rsidRPr="006F0E28" w:rsidRDefault="006F0E28" w:rsidP="006F0E28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6F0E28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También podrán impartir docencia en diferentes niveles del sistema nacional de educación.</w:t>
      </w:r>
    </w:p>
    <w:p w14:paraId="4AF5E40F" w14:textId="77777777" w:rsidR="006F0E28" w:rsidRPr="006F0E28" w:rsidRDefault="006F0E28" w:rsidP="006F0E28">
      <w:pPr>
        <w:numPr>
          <w:ilvl w:val="0"/>
          <w:numId w:val="2"/>
        </w:numPr>
        <w:spacing w:after="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6F0E28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Estarán capacitados para incorporarse a programas nacionales de investigación y docencia de bioprospección o biodescubrimiento y otros afines.</w:t>
      </w:r>
    </w:p>
    <w:p w14:paraId="3A5DC857" w14:textId="77777777" w:rsidR="006F0E28" w:rsidRPr="006F0E28" w:rsidRDefault="006F0E28">
      <w:pPr>
        <w:rPr>
          <w:lang w:val="es-ES"/>
        </w:rPr>
      </w:pPr>
    </w:p>
    <w:sectPr w:rsidR="006F0E28" w:rsidRPr="006F0E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B0E50"/>
    <w:multiLevelType w:val="multilevel"/>
    <w:tmpl w:val="8AFA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2858B7"/>
    <w:multiLevelType w:val="multilevel"/>
    <w:tmpl w:val="6458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653199">
    <w:abstractNumId w:val="1"/>
  </w:num>
  <w:num w:numId="2" w16cid:durableId="1448961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28"/>
    <w:rsid w:val="006F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F1327"/>
  <w15:chartTrackingRefBased/>
  <w15:docId w15:val="{055407D1-1FE9-4C0F-B807-E21EEBC10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33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89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452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1404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985160801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0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06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n.edu.ec/posgrados/maestrias-profesionales/maestria-en-biociencias-aplicada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n.edu.ec/posgrados/maestrias-profesionales/maestria-en-biociencias-aplicad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n.edu.ec/posgrados/maestrias-profesionales/maestria-en-biociencias-aplicadas/" TargetMode="External"/><Relationship Id="rId5" Type="http://schemas.openxmlformats.org/officeDocument/2006/relationships/hyperlink" Target="https://www.epn.edu.ec/posgrados/maestrias-profesionales/maestria-en-biociencias-aplicada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2023-05-09T14:57:00Z</dcterms:created>
  <dcterms:modified xsi:type="dcterms:W3CDTF">2023-05-09T14:58:00Z</dcterms:modified>
</cp:coreProperties>
</file>