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B3B2" w14:textId="77777777" w:rsidR="007C2F46" w:rsidRPr="007C2F46" w:rsidRDefault="007C2F46" w:rsidP="007C2F46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7C2F4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MAESTRÍA EN PEDAGOGÍA DE LAS CIENCIAS EXPERIMENTALES, MENCIÓN QUÍMICA Y BIOLOGÍA</w:t>
      </w:r>
    </w:p>
    <w:p w14:paraId="34E58FE7" w14:textId="77777777" w:rsidR="007C2F46" w:rsidRPr="007C2F46" w:rsidRDefault="007C2F46" w:rsidP="007C2F46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eastAsia="it-IT"/>
          <w14:ligatures w14:val="none"/>
        </w:rPr>
      </w:pPr>
      <w:r w:rsidRPr="007C2F46"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eastAsia="it-IT"/>
          <w14:ligatures w14:val="none"/>
        </w:rPr>
        <w:t>SEGUNDA COHORTE 2022-2023 </w:t>
      </w:r>
    </w:p>
    <w:p w14:paraId="65CE5B65" w14:textId="77777777" w:rsidR="007C2F46" w:rsidRPr="007C2F46" w:rsidRDefault="007C2F46" w:rsidP="007C2F4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2F4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6512ACE5">
          <v:rect id="_x0000_i1025" style="width:0;height:0" o:hralign="left" o:hrstd="t" o:hrnoshade="t" o:hr="t" fillcolor="#555" stroked="f"/>
        </w:pict>
      </w:r>
    </w:p>
    <w:p w14:paraId="389520A9" w14:textId="77777777" w:rsidR="007C2F46" w:rsidRPr="007C2F46" w:rsidRDefault="007C2F46" w:rsidP="007C2F4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2F4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187FB92A">
          <v:rect id="_x0000_i1026" style="width:0;height:0" o:hralign="left" o:hrstd="t" o:hrnoshade="t" o:hr="t" fillcolor="#555" stroked="f"/>
        </w:pict>
      </w:r>
    </w:p>
    <w:p w14:paraId="4C12CD9C" w14:textId="77777777" w:rsidR="007C2F46" w:rsidRPr="007C2F46" w:rsidRDefault="007C2F46" w:rsidP="007C2F46">
      <w:pPr>
        <w:shd w:val="clear" w:color="auto" w:fill="FFFFFF"/>
        <w:spacing w:after="150" w:line="240" w:lineRule="auto"/>
        <w:jc w:val="center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7C2F46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shd w:val="clear" w:color="auto" w:fill="99CCFF"/>
          <w:lang w:val="es-ES" w:eastAsia="it-IT"/>
          <w14:ligatures w14:val="none"/>
        </w:rPr>
        <w:t>Resolución Consejo de Educación Superior </w:t>
      </w:r>
    </w:p>
    <w:p w14:paraId="0866A7D3" w14:textId="77777777" w:rsidR="007C2F46" w:rsidRPr="007C2F46" w:rsidRDefault="007C2F46" w:rsidP="007C2F46">
      <w:pPr>
        <w:shd w:val="clear" w:color="auto" w:fill="FFFFFF"/>
        <w:spacing w:after="150" w:line="240" w:lineRule="auto"/>
        <w:jc w:val="center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7C2F46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s-ES" w:eastAsia="it-IT"/>
          <w14:ligatures w14:val="none"/>
        </w:rPr>
        <w:t>CES</w:t>
      </w:r>
      <w:r w:rsidRPr="007C2F46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 </w:t>
      </w:r>
      <w:r w:rsidRPr="007C2F46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s-ES" w:eastAsia="it-IT"/>
          <w14:ligatures w14:val="none"/>
        </w:rPr>
        <w:t>RPC-SO-21-No.445-2020</w:t>
      </w:r>
    </w:p>
    <w:p w14:paraId="65410E6F" w14:textId="77777777" w:rsidR="007C2F46" w:rsidRPr="007C2F46" w:rsidRDefault="007C2F46" w:rsidP="007C2F4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2F4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76EF5047">
          <v:rect id="_x0000_i1027" style="width:0;height:0" o:hralign="left" o:hrstd="t" o:hrnoshade="t" o:hr="t" fillcolor="#555" stroked="f"/>
        </w:pict>
      </w:r>
    </w:p>
    <w:p w14:paraId="0BD3AECA" w14:textId="77777777" w:rsidR="007C2F46" w:rsidRPr="007C2F46" w:rsidRDefault="007C2F46" w:rsidP="007C2F46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7C2F46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El máster en este perfil mediante el programa de posgrado estará en la capacidad de ser un mediador entre las prácticas discriminatorias de toda índole; además, de promover la conservación de biodiversidad y el uso sustentable de recurso naturales a través de la educación, preocupándose así de los problemas socio ambientales del Ecuador; es decir, que no sólo se enfoca en mitigar los efectos ambientales, si no que analiza críticamente como las comunidades se ven afectadas por las consecuencias de las prácticas destructivas y del cambio climático, promoviendo así el impulso de actividades que contrarresten la desigualdad social, la libertad de expresión y contribuyendo al cuidado y preservación del ambiente. La motivación a los estudiantes para la continuación y culminación de los estudios ayudará al progreso y desarrollo del país.</w:t>
      </w:r>
    </w:p>
    <w:p w14:paraId="52E53587" w14:textId="77777777" w:rsidR="007C2F46" w:rsidRPr="007C2F46" w:rsidRDefault="007C2F46" w:rsidP="007C2F46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7C2F46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El master se actualiza constantemente con las modificaciones del currículo nacional, y puede instruir a otros docentes con nuevos paradigmas, metodologías, técnicas del proceso enseñanza – aprendizaje; de esta manera, se creará nuevos espacios físicos y de intercambio de conocimientos entre las diferentes instituciones y personas. Propondrá soluciones a las limitaciones de recursos educativos que puedan afectar el desempeño pedagógico y psicológico de los estudiantes, orientándolos en un aprendizaje vocacional para evitar un estancamiento en su desarrollo profesional y personal.</w:t>
      </w:r>
    </w:p>
    <w:p w14:paraId="3E435416" w14:textId="77777777" w:rsidR="007C2F46" w:rsidRDefault="007C2F46" w:rsidP="007C2F46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7C2F46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 Los conocimientos científicos químicos y biológicos serán aplicados en el proceso de enseñanza aprendizaje con metodologías innovadoras que los estudiantes comprendan, utilizando información precisa y clara, científicamente fundamentada y actualizada para su formación profesional, traduciendo de un lenguaje científico a un lenguaje sencillo para que los estudiantes puedan alcanzar un mayor desempeño académico</w:t>
      </w:r>
    </w:p>
    <w:p w14:paraId="736391BF" w14:textId="77777777" w:rsidR="007C2F46" w:rsidRPr="007C2F46" w:rsidRDefault="007C2F46" w:rsidP="007C2F46">
      <w:pPr>
        <w:shd w:val="clear" w:color="auto" w:fill="FFFFFF"/>
        <w:spacing w:before="300" w:after="300" w:line="240" w:lineRule="auto"/>
        <w:jc w:val="center"/>
        <w:outlineLvl w:val="3"/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4"/>
          <w:szCs w:val="24"/>
          <w:lang w:eastAsia="it-IT"/>
          <w14:ligatures w14:val="none"/>
        </w:rPr>
      </w:pPr>
      <w:r w:rsidRPr="007C2F46"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4"/>
          <w:szCs w:val="24"/>
          <w:lang w:eastAsia="it-IT"/>
          <w14:ligatures w14:val="none"/>
        </w:rPr>
        <w:t>OBJETIVOS ESPECÍFICOS</w:t>
      </w:r>
    </w:p>
    <w:tbl>
      <w:tblPr>
        <w:tblW w:w="8340" w:type="dxa"/>
        <w:tblBorders>
          <w:top w:val="single" w:sz="24" w:space="0" w:color="158179"/>
          <w:left w:val="single" w:sz="24" w:space="0" w:color="158179"/>
          <w:bottom w:val="single" w:sz="24" w:space="0" w:color="158179"/>
          <w:right w:val="single" w:sz="24" w:space="0" w:color="1581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5990"/>
      </w:tblGrid>
      <w:tr w:rsidR="007C2F46" w:rsidRPr="007C2F46" w14:paraId="728F3F26" w14:textId="77777777" w:rsidTr="007C2F46">
        <w:trPr>
          <w:trHeight w:val="150"/>
        </w:trPr>
        <w:tc>
          <w:tcPr>
            <w:tcW w:w="2346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4DDB4253" w14:textId="77777777" w:rsidR="007C2F46" w:rsidRPr="007C2F46" w:rsidRDefault="007C2F46" w:rsidP="007C2F4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7C2F4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lastRenderedPageBreak/>
              <w:t>Vinculado</w:t>
            </w:r>
            <w:proofErr w:type="spellEnd"/>
          </w:p>
        </w:tc>
        <w:tc>
          <w:tcPr>
            <w:tcW w:w="5979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6F8C4064" w14:textId="77777777" w:rsidR="007C2F46" w:rsidRPr="007C2F46" w:rsidRDefault="007C2F46" w:rsidP="007C2F4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7C2F4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Descripción</w:t>
            </w:r>
            <w:proofErr w:type="spellEnd"/>
          </w:p>
        </w:tc>
      </w:tr>
      <w:tr w:rsidR="007C2F46" w:rsidRPr="007C2F46" w14:paraId="0E5A5515" w14:textId="77777777" w:rsidTr="007C2F46">
        <w:trPr>
          <w:trHeight w:val="495"/>
        </w:trPr>
        <w:tc>
          <w:tcPr>
            <w:tcW w:w="2346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7C769AB3" w14:textId="77777777" w:rsidR="007C2F46" w:rsidRPr="007C2F46" w:rsidRDefault="007C2F46" w:rsidP="007C2F4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C2F4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Al conocimiento y los saberes</w:t>
            </w:r>
          </w:p>
        </w:tc>
        <w:tc>
          <w:tcPr>
            <w:tcW w:w="5979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6D19B5A4" w14:textId="77777777" w:rsidR="007C2F46" w:rsidRPr="007C2F46" w:rsidRDefault="007C2F46" w:rsidP="007C2F4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C2F4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Especializar profesionales en Pedagogía de la Química y de la Biología que sean capaces de aplicar aspectos metodológicos de investigación y técnicas que propicien el desarrollo sustentable de la región y del país, desde un abordaje epistémico de la práctica educativa.</w:t>
            </w:r>
          </w:p>
        </w:tc>
      </w:tr>
      <w:tr w:rsidR="007C2F46" w:rsidRPr="007C2F46" w14:paraId="6C7CCE35" w14:textId="77777777" w:rsidTr="007C2F46">
        <w:trPr>
          <w:trHeight w:val="900"/>
        </w:trPr>
        <w:tc>
          <w:tcPr>
            <w:tcW w:w="2346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3A7ECDE3" w14:textId="77777777" w:rsidR="007C2F46" w:rsidRPr="007C2F46" w:rsidRDefault="007C2F46" w:rsidP="007C2F4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C2F4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la </w:t>
            </w:r>
            <w:proofErr w:type="spellStart"/>
            <w:r w:rsidRPr="007C2F4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pertinencia</w:t>
            </w:r>
            <w:proofErr w:type="spellEnd"/>
          </w:p>
        </w:tc>
        <w:tc>
          <w:tcPr>
            <w:tcW w:w="5979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2DAD4D57" w14:textId="77777777" w:rsidR="007C2F46" w:rsidRPr="007C2F46" w:rsidRDefault="007C2F46" w:rsidP="007C2F4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C2F4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Promover prácticas innovadoras en docencia e investigación científica que estimulen la indagación y la enseñanza teórico-práctica de la Química y de la Biología que propicie una responsabilidad socioambiental comprometida.</w:t>
            </w:r>
          </w:p>
        </w:tc>
      </w:tr>
      <w:tr w:rsidR="007C2F46" w:rsidRPr="007C2F46" w14:paraId="1829134E" w14:textId="77777777" w:rsidTr="007C2F46">
        <w:trPr>
          <w:trHeight w:val="1650"/>
        </w:trPr>
        <w:tc>
          <w:tcPr>
            <w:tcW w:w="2346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0AFFABA9" w14:textId="77777777" w:rsidR="007C2F46" w:rsidRPr="007C2F46" w:rsidRDefault="007C2F46" w:rsidP="007C2F4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C2F4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</w:t>
            </w:r>
            <w:proofErr w:type="spellStart"/>
            <w:r w:rsidRPr="007C2F4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los</w:t>
            </w:r>
            <w:proofErr w:type="spellEnd"/>
            <w:r w:rsidRPr="007C2F4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 </w:t>
            </w:r>
            <w:proofErr w:type="spellStart"/>
            <w:r w:rsidRPr="007C2F4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aprendizajes</w:t>
            </w:r>
            <w:proofErr w:type="spellEnd"/>
          </w:p>
        </w:tc>
        <w:tc>
          <w:tcPr>
            <w:tcW w:w="5979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0D693529" w14:textId="77777777" w:rsidR="007C2F46" w:rsidRPr="007C2F46" w:rsidRDefault="007C2F46" w:rsidP="007C2F4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C2F4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Potenciar el modelo socio-crítico mediante la aplicación de prácticas experimentales y educativas, con intervenciones amigables con el ambiente, generando procesos de enseñanza y aprendizaje vinculado a la Pedagogía de la Química y de la Biología.</w:t>
            </w:r>
          </w:p>
        </w:tc>
      </w:tr>
      <w:tr w:rsidR="007C2F46" w:rsidRPr="007C2F46" w14:paraId="3CF49208" w14:textId="77777777" w:rsidTr="007C2F46">
        <w:trPr>
          <w:trHeight w:val="720"/>
        </w:trPr>
        <w:tc>
          <w:tcPr>
            <w:tcW w:w="2346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7AD64DA8" w14:textId="77777777" w:rsidR="007C2F46" w:rsidRPr="007C2F46" w:rsidRDefault="007C2F46" w:rsidP="007C2F4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C2F4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la </w:t>
            </w:r>
            <w:proofErr w:type="spellStart"/>
            <w:r w:rsidRPr="007C2F46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interculturalidad</w:t>
            </w:r>
            <w:proofErr w:type="spellEnd"/>
          </w:p>
        </w:tc>
        <w:tc>
          <w:tcPr>
            <w:tcW w:w="5979" w:type="dxa"/>
            <w:tcBorders>
              <w:top w:val="single" w:sz="24" w:space="0" w:color="158179"/>
              <w:left w:val="single" w:sz="24" w:space="0" w:color="158179"/>
              <w:bottom w:val="single" w:sz="24" w:space="0" w:color="158179"/>
              <w:right w:val="single" w:sz="24" w:space="0" w:color="158179"/>
            </w:tcBorders>
            <w:shd w:val="clear" w:color="auto" w:fill="FFFFFF"/>
            <w:vAlign w:val="center"/>
            <w:hideMark/>
          </w:tcPr>
          <w:p w14:paraId="0A6E1A53" w14:textId="77777777" w:rsidR="007C2F46" w:rsidRPr="007C2F46" w:rsidRDefault="007C2F46" w:rsidP="007C2F46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C2F46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Desarrollar propuestas curriculares con una visión intercultural que promuevan el interés de visualizar, observar, estudiar e interpretar problemas socioambientales, integrando principios y valores respetuosos de saberes ancestrales.</w:t>
            </w:r>
          </w:p>
        </w:tc>
      </w:tr>
    </w:tbl>
    <w:p w14:paraId="161EE7F2" w14:textId="77777777" w:rsidR="007C2F46" w:rsidRPr="007C2F46" w:rsidRDefault="007C2F46" w:rsidP="007C2F46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3D780DDF" w14:textId="77777777" w:rsidR="007C2F46" w:rsidRPr="007C2F46" w:rsidRDefault="007C2F46">
      <w:pPr>
        <w:rPr>
          <w:lang w:val="es-ES"/>
        </w:rPr>
      </w:pPr>
    </w:p>
    <w:sectPr w:rsidR="007C2F46" w:rsidRPr="007C2F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46"/>
    <w:rsid w:val="007C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3E70"/>
  <w15:chartTrackingRefBased/>
  <w15:docId w15:val="{462FD87B-A0BB-4EA9-B1F6-E6A7DE8A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2023-05-15T21:46:00Z</dcterms:created>
  <dcterms:modified xsi:type="dcterms:W3CDTF">2023-05-15T21:46:00Z</dcterms:modified>
</cp:coreProperties>
</file>