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64A47" w14:textId="06E27AFC" w:rsidR="00DE6BC7" w:rsidRPr="00DE6BC7" w:rsidRDefault="00837521" w:rsidP="00DE6BC7">
      <w:pPr>
        <w:shd w:val="clear" w:color="auto" w:fill="FFFFFF"/>
        <w:spacing w:before="300" w:after="300" w:line="240" w:lineRule="auto"/>
        <w:jc w:val="center"/>
        <w:outlineLvl w:val="0"/>
        <w:rPr>
          <w:rFonts w:ascii="Open Sans Light" w:eastAsia="Times New Roman" w:hAnsi="Open Sans Light" w:cs="Open Sans Light"/>
          <w:color w:val="000000"/>
          <w:kern w:val="36"/>
          <w:sz w:val="48"/>
          <w:szCs w:val="48"/>
          <w:lang w:val="es-ES" w:eastAsia="it-IT"/>
          <w14:ligatures w14:val="none"/>
        </w:rPr>
      </w:pPr>
      <w:r>
        <w:rPr>
          <w:rFonts w:ascii="Arial" w:eastAsia="Times New Roman" w:hAnsi="Arial" w:cs="Arial"/>
          <w:b/>
          <w:bCs/>
          <w:color w:val="000000"/>
          <w:kern w:val="36"/>
          <w:sz w:val="48"/>
          <w:szCs w:val="48"/>
          <w:lang w:val="es-ES" w:eastAsia="it-IT"/>
          <w14:ligatures w14:val="none"/>
        </w:rPr>
        <w:t>M</w:t>
      </w:r>
      <w:bookmarkStart w:id="0" w:name="_GoBack"/>
      <w:bookmarkEnd w:id="0"/>
      <w:r w:rsidR="00DE6BC7" w:rsidRPr="00DE6BC7">
        <w:rPr>
          <w:rFonts w:ascii="Arial" w:eastAsia="Times New Roman" w:hAnsi="Arial" w:cs="Arial"/>
          <w:b/>
          <w:bCs/>
          <w:color w:val="000000"/>
          <w:kern w:val="36"/>
          <w:sz w:val="48"/>
          <w:szCs w:val="48"/>
          <w:lang w:val="es-ES" w:eastAsia="it-IT"/>
          <w14:ligatures w14:val="none"/>
        </w:rPr>
        <w:t xml:space="preserve">AESTRÍA EN GERONTOLOGÍA </w:t>
      </w:r>
    </w:p>
    <w:p w14:paraId="64F858FF" w14:textId="157C0E7F" w:rsidR="00DE6BC7" w:rsidRDefault="00DE6BC7" w:rsidP="00DE6BC7">
      <w:pPr>
        <w:spacing w:before="300" w:after="300" w:line="240" w:lineRule="auto"/>
        <w:rPr>
          <w:rFonts w:ascii="Arial" w:eastAsia="Times New Roman" w:hAnsi="Arial" w:cs="Arial"/>
          <w:color w:val="555555"/>
          <w:kern w:val="0"/>
          <w:sz w:val="24"/>
          <w:szCs w:val="24"/>
          <w:lang w:val="es-ES" w:eastAsia="it-IT"/>
          <w14:ligatures w14:val="none"/>
        </w:rPr>
      </w:pPr>
      <w:r w:rsidRPr="00DE6BC7">
        <w:rPr>
          <w:rFonts w:ascii="Arial" w:eastAsia="Times New Roman" w:hAnsi="Arial" w:cs="Arial"/>
          <w:color w:val="555555"/>
          <w:kern w:val="0"/>
          <w:sz w:val="24"/>
          <w:szCs w:val="24"/>
          <w:lang w:val="es-ES" w:eastAsia="it-IT"/>
          <w14:ligatures w14:val="none"/>
        </w:rPr>
        <w:t>Resolución del CES: RPC-SO-09-No.262-2021</w:t>
      </w:r>
    </w:p>
    <w:p w14:paraId="1BA14367" w14:textId="77777777" w:rsidR="00DE6BC7" w:rsidRPr="00DE6BC7" w:rsidRDefault="00DE6BC7" w:rsidP="00DE6BC7">
      <w:pPr>
        <w:shd w:val="clear" w:color="auto" w:fill="FFFFFF"/>
        <w:spacing w:after="150" w:line="240" w:lineRule="auto"/>
        <w:jc w:val="center"/>
        <w:rPr>
          <w:rFonts w:ascii="Segoe UI" w:eastAsia="Times New Roman" w:hAnsi="Segoe UI" w:cs="Segoe UI"/>
          <w:color w:val="555555"/>
          <w:kern w:val="0"/>
          <w:sz w:val="21"/>
          <w:szCs w:val="21"/>
          <w:lang w:eastAsia="it-IT"/>
          <w14:ligatures w14:val="none"/>
        </w:rPr>
      </w:pPr>
      <w:r w:rsidRPr="00DE6BC7">
        <w:rPr>
          <w:rFonts w:ascii="Arial" w:eastAsia="Times New Roman" w:hAnsi="Arial" w:cs="Arial"/>
          <w:b/>
          <w:bCs/>
          <w:color w:val="555555"/>
          <w:kern w:val="0"/>
          <w:sz w:val="21"/>
          <w:szCs w:val="21"/>
          <w:lang w:eastAsia="it-IT"/>
          <w14:ligatures w14:val="none"/>
        </w:rPr>
        <w:t>Modalidades de titulación</w:t>
      </w:r>
    </w:p>
    <w:p w14:paraId="14A392B3" w14:textId="77777777" w:rsidR="00DE6BC7" w:rsidRPr="00DE6BC7" w:rsidRDefault="00DE6BC7" w:rsidP="00DE6BC7">
      <w:pPr>
        <w:numPr>
          <w:ilvl w:val="0"/>
          <w:numId w:val="2"/>
        </w:numPr>
        <w:shd w:val="clear" w:color="auto" w:fill="FFFFFF"/>
        <w:spacing w:before="100" w:beforeAutospacing="1" w:after="100" w:afterAutospacing="1" w:line="405" w:lineRule="atLeast"/>
        <w:jc w:val="both"/>
        <w:rPr>
          <w:rFonts w:ascii="Arial" w:eastAsia="Times New Roman" w:hAnsi="Arial" w:cs="Arial"/>
          <w:color w:val="555555"/>
          <w:kern w:val="0"/>
          <w:sz w:val="21"/>
          <w:szCs w:val="21"/>
          <w:lang w:eastAsia="it-IT"/>
          <w14:ligatures w14:val="none"/>
        </w:rPr>
      </w:pPr>
      <w:r w:rsidRPr="00DE6BC7">
        <w:rPr>
          <w:rFonts w:ascii="Arial" w:eastAsia="Times New Roman" w:hAnsi="Arial" w:cs="Arial"/>
          <w:color w:val="555555"/>
          <w:kern w:val="0"/>
          <w:sz w:val="21"/>
          <w:szCs w:val="21"/>
          <w:lang w:eastAsia="it-IT"/>
          <w14:ligatures w14:val="none"/>
        </w:rPr>
        <w:t>Diseño de modelos complejos</w:t>
      </w:r>
    </w:p>
    <w:p w14:paraId="623F8D0E" w14:textId="77777777" w:rsidR="00DE6BC7" w:rsidRPr="00DE6BC7" w:rsidRDefault="00DE6BC7" w:rsidP="00DE6BC7">
      <w:pPr>
        <w:numPr>
          <w:ilvl w:val="0"/>
          <w:numId w:val="2"/>
        </w:numPr>
        <w:shd w:val="clear" w:color="auto" w:fill="FFFFFF"/>
        <w:spacing w:before="100" w:beforeAutospacing="1" w:after="100" w:afterAutospacing="1" w:line="405" w:lineRule="atLeast"/>
        <w:jc w:val="both"/>
        <w:rPr>
          <w:rFonts w:ascii="Arial" w:eastAsia="Times New Roman" w:hAnsi="Arial" w:cs="Arial"/>
          <w:color w:val="555555"/>
          <w:kern w:val="0"/>
          <w:sz w:val="21"/>
          <w:szCs w:val="21"/>
          <w:lang w:eastAsia="it-IT"/>
          <w14:ligatures w14:val="none"/>
        </w:rPr>
      </w:pPr>
      <w:r w:rsidRPr="00DE6BC7">
        <w:rPr>
          <w:rFonts w:ascii="Arial" w:eastAsia="Times New Roman" w:hAnsi="Arial" w:cs="Arial"/>
          <w:color w:val="555555"/>
          <w:kern w:val="0"/>
          <w:sz w:val="21"/>
          <w:szCs w:val="21"/>
          <w:lang w:eastAsia="it-IT"/>
          <w14:ligatures w14:val="none"/>
        </w:rPr>
        <w:t>Propuestas metodológicas y tecnológicas avanzadas</w:t>
      </w:r>
    </w:p>
    <w:p w14:paraId="3B133C7C" w14:textId="77777777" w:rsidR="00DE6BC7" w:rsidRPr="00DE6BC7" w:rsidRDefault="00DE6BC7" w:rsidP="00DE6BC7">
      <w:pPr>
        <w:numPr>
          <w:ilvl w:val="0"/>
          <w:numId w:val="2"/>
        </w:numPr>
        <w:shd w:val="clear" w:color="auto" w:fill="FFFFFF"/>
        <w:spacing w:before="100" w:beforeAutospacing="1" w:after="100" w:afterAutospacing="1" w:line="405" w:lineRule="atLeast"/>
        <w:jc w:val="both"/>
        <w:rPr>
          <w:rFonts w:ascii="Arial" w:eastAsia="Times New Roman" w:hAnsi="Arial" w:cs="Arial"/>
          <w:color w:val="555555"/>
          <w:kern w:val="0"/>
          <w:sz w:val="21"/>
          <w:szCs w:val="21"/>
          <w:lang w:val="es-ES" w:eastAsia="it-IT"/>
          <w14:ligatures w14:val="none"/>
        </w:rPr>
      </w:pPr>
      <w:r w:rsidRPr="00DE6BC7">
        <w:rPr>
          <w:rFonts w:ascii="Arial" w:eastAsia="Times New Roman" w:hAnsi="Arial" w:cs="Arial"/>
          <w:color w:val="555555"/>
          <w:kern w:val="0"/>
          <w:sz w:val="21"/>
          <w:szCs w:val="21"/>
          <w:lang w:val="es-ES" w:eastAsia="it-IT"/>
          <w14:ligatures w14:val="none"/>
        </w:rPr>
        <w:t>Proyecto de titulación con componentes de investigación aplicada y/o de desarrollo.</w:t>
      </w:r>
    </w:p>
    <w:p w14:paraId="6C043830" w14:textId="77777777" w:rsidR="00DE6BC7" w:rsidRPr="00DE6BC7" w:rsidRDefault="00837521" w:rsidP="00DE6BC7">
      <w:pPr>
        <w:shd w:val="clear" w:color="auto" w:fill="FFFFFF"/>
        <w:spacing w:before="300" w:after="300" w:line="240" w:lineRule="auto"/>
        <w:jc w:val="both"/>
        <w:rPr>
          <w:rFonts w:ascii="Segoe UI" w:eastAsia="Times New Roman" w:hAnsi="Segoe UI" w:cs="Segoe UI"/>
          <w:color w:val="555555"/>
          <w:kern w:val="0"/>
          <w:sz w:val="21"/>
          <w:szCs w:val="21"/>
          <w:lang w:eastAsia="it-IT"/>
          <w14:ligatures w14:val="none"/>
        </w:rPr>
      </w:pPr>
      <w:r>
        <w:rPr>
          <w:rFonts w:ascii="Segoe UI" w:eastAsia="Times New Roman" w:hAnsi="Segoe UI" w:cs="Segoe UI"/>
          <w:color w:val="555555"/>
          <w:kern w:val="0"/>
          <w:sz w:val="21"/>
          <w:szCs w:val="21"/>
          <w:lang w:eastAsia="it-IT"/>
          <w14:ligatures w14:val="none"/>
        </w:rPr>
        <w:pict w14:anchorId="40EE939A">
          <v:rect id="_x0000_i1025" style="width:0;height:0" o:hralign="center" o:hrstd="t" o:hr="t" fillcolor="#a0a0a0" stroked="f"/>
        </w:pict>
      </w:r>
    </w:p>
    <w:p w14:paraId="78EC6CCA" w14:textId="77777777" w:rsidR="00DE6BC7" w:rsidRPr="00DE6BC7" w:rsidRDefault="00DE6BC7" w:rsidP="00DE6BC7">
      <w:pPr>
        <w:shd w:val="clear" w:color="auto" w:fill="FFFFFF"/>
        <w:spacing w:after="150" w:line="240" w:lineRule="auto"/>
        <w:jc w:val="both"/>
        <w:rPr>
          <w:rFonts w:ascii="Segoe UI" w:eastAsia="Times New Roman" w:hAnsi="Segoe UI" w:cs="Segoe UI"/>
          <w:color w:val="555555"/>
          <w:kern w:val="0"/>
          <w:sz w:val="21"/>
          <w:szCs w:val="21"/>
          <w:lang w:val="es-ES" w:eastAsia="it-IT"/>
          <w14:ligatures w14:val="none"/>
        </w:rPr>
      </w:pPr>
      <w:r w:rsidRPr="00DE6BC7">
        <w:rPr>
          <w:rFonts w:ascii="Segoe UI" w:eastAsia="Times New Roman" w:hAnsi="Segoe UI" w:cs="Segoe UI"/>
          <w:color w:val="555555"/>
          <w:kern w:val="0"/>
          <w:sz w:val="21"/>
          <w:szCs w:val="21"/>
          <w:lang w:val="es-ES" w:eastAsia="it-IT"/>
          <w14:ligatures w14:val="none"/>
        </w:rPr>
        <w:t>Según los datos de la Organización Mundial de la Salud, en el año 2019, 1 de cada 11 personas en el mundo (9%) son mayores de 65 años.</w:t>
      </w:r>
    </w:p>
    <w:p w14:paraId="21167C31" w14:textId="77777777" w:rsidR="00DE6BC7" w:rsidRPr="00DE6BC7" w:rsidRDefault="00DE6BC7" w:rsidP="00DE6BC7">
      <w:pPr>
        <w:shd w:val="clear" w:color="auto" w:fill="FFFFFF"/>
        <w:spacing w:after="150" w:line="240" w:lineRule="auto"/>
        <w:jc w:val="both"/>
        <w:rPr>
          <w:rFonts w:ascii="Segoe UI" w:eastAsia="Times New Roman" w:hAnsi="Segoe UI" w:cs="Segoe UI"/>
          <w:color w:val="555555"/>
          <w:kern w:val="0"/>
          <w:sz w:val="21"/>
          <w:szCs w:val="21"/>
          <w:lang w:val="es-ES" w:eastAsia="it-IT"/>
          <w14:ligatures w14:val="none"/>
        </w:rPr>
      </w:pPr>
      <w:r w:rsidRPr="00DE6BC7">
        <w:rPr>
          <w:rFonts w:ascii="Segoe UI" w:eastAsia="Times New Roman" w:hAnsi="Segoe UI" w:cs="Segoe UI"/>
          <w:color w:val="555555"/>
          <w:kern w:val="0"/>
          <w:sz w:val="21"/>
          <w:szCs w:val="21"/>
          <w:lang w:val="es-ES" w:eastAsia="it-IT"/>
          <w14:ligatures w14:val="none"/>
        </w:rPr>
        <w:t>Según datos del INEC en el año 2018 el grupo poblacional era de 1´212.461 adultos mayores en el Ecuador, representando un 8,96% de toda la población nacional, de los cuales 737.514 (47,78%) son hombres y 806,012 (52,22%) son mujeres. En cuanto a la espectativa de vida se estima en promedio una edad de 77,1 años, siendo en el caso de los hombres una expectativa de 74 años y en el caso de las mujeres 80 años.</w:t>
      </w:r>
    </w:p>
    <w:p w14:paraId="76A7328C" w14:textId="77777777" w:rsidR="00DE6BC7" w:rsidRPr="00DE6BC7" w:rsidRDefault="00DE6BC7" w:rsidP="00DE6BC7">
      <w:pPr>
        <w:shd w:val="clear" w:color="auto" w:fill="FFFFFF"/>
        <w:spacing w:after="150" w:line="240" w:lineRule="auto"/>
        <w:jc w:val="both"/>
        <w:rPr>
          <w:rFonts w:ascii="Segoe UI" w:eastAsia="Times New Roman" w:hAnsi="Segoe UI" w:cs="Segoe UI"/>
          <w:color w:val="555555"/>
          <w:kern w:val="0"/>
          <w:sz w:val="21"/>
          <w:szCs w:val="21"/>
          <w:lang w:val="es-ES" w:eastAsia="it-IT"/>
          <w14:ligatures w14:val="none"/>
        </w:rPr>
      </w:pPr>
      <w:r w:rsidRPr="00DE6BC7">
        <w:rPr>
          <w:rFonts w:ascii="Segoe UI" w:eastAsia="Times New Roman" w:hAnsi="Segoe UI" w:cs="Segoe UI"/>
          <w:color w:val="555555"/>
          <w:kern w:val="0"/>
          <w:sz w:val="21"/>
          <w:szCs w:val="21"/>
          <w:lang w:val="es-ES" w:eastAsia="it-IT"/>
          <w14:ligatures w14:val="none"/>
        </w:rPr>
        <w:t>Por más que se extremen las medidas de prevención de la enfermedad, la salud de las personas adultas mayores se deteriora con mucha frecuencia debido al progresivo menoscabo propio del envejecimiento.</w:t>
      </w:r>
    </w:p>
    <w:p w14:paraId="074B2165" w14:textId="77777777" w:rsidR="00DE6BC7" w:rsidRPr="00DE6BC7" w:rsidRDefault="00DE6BC7" w:rsidP="00DE6BC7">
      <w:pPr>
        <w:shd w:val="clear" w:color="auto" w:fill="FFFFFF"/>
        <w:spacing w:after="150" w:line="240" w:lineRule="auto"/>
        <w:jc w:val="both"/>
        <w:rPr>
          <w:rFonts w:ascii="Segoe UI" w:eastAsia="Times New Roman" w:hAnsi="Segoe UI" w:cs="Segoe UI"/>
          <w:color w:val="555555"/>
          <w:kern w:val="0"/>
          <w:sz w:val="21"/>
          <w:szCs w:val="21"/>
          <w:lang w:val="es-ES" w:eastAsia="it-IT"/>
          <w14:ligatures w14:val="none"/>
        </w:rPr>
      </w:pPr>
      <w:r w:rsidRPr="00DE6BC7">
        <w:rPr>
          <w:rFonts w:ascii="Segoe UI" w:eastAsia="Times New Roman" w:hAnsi="Segoe UI" w:cs="Segoe UI"/>
          <w:color w:val="555555"/>
          <w:kern w:val="0"/>
          <w:sz w:val="21"/>
          <w:szCs w:val="21"/>
          <w:lang w:val="es-ES" w:eastAsia="it-IT"/>
          <w14:ligatures w14:val="none"/>
        </w:rPr>
        <w:t>Estos problemas de salud agravan la calidad de vida del adulto mayor, en muchos casos por la soledad familiar y social, es frecuente el sedentarismo, el abandono, la exclusión, en no pocos casos, el maltrato, la desprotección social del Estado y la familia. La pérdida de su pareja y familiares genera profundas carencias afectivas y temor a que no se respete su voluntad y recursos.</w:t>
      </w:r>
    </w:p>
    <w:p w14:paraId="684CCEF8" w14:textId="77777777" w:rsidR="00DE6BC7" w:rsidRPr="00DE6BC7" w:rsidRDefault="00DE6BC7" w:rsidP="00DE6BC7">
      <w:pPr>
        <w:shd w:val="clear" w:color="auto" w:fill="FFFFFF"/>
        <w:spacing w:after="150" w:line="240" w:lineRule="auto"/>
        <w:jc w:val="both"/>
        <w:rPr>
          <w:rFonts w:ascii="Segoe UI" w:eastAsia="Times New Roman" w:hAnsi="Segoe UI" w:cs="Segoe UI"/>
          <w:color w:val="555555"/>
          <w:kern w:val="0"/>
          <w:sz w:val="21"/>
          <w:szCs w:val="21"/>
          <w:lang w:val="es-ES" w:eastAsia="it-IT"/>
          <w14:ligatures w14:val="none"/>
        </w:rPr>
      </w:pPr>
      <w:r w:rsidRPr="00DE6BC7">
        <w:rPr>
          <w:rFonts w:ascii="Segoe UI" w:eastAsia="Times New Roman" w:hAnsi="Segoe UI" w:cs="Segoe UI"/>
          <w:color w:val="555555"/>
          <w:kern w:val="0"/>
          <w:sz w:val="21"/>
          <w:szCs w:val="21"/>
          <w:lang w:val="es-ES" w:eastAsia="it-IT"/>
          <w14:ligatures w14:val="none"/>
        </w:rPr>
        <w:t>Según el consejo nacional para la igualdad de discapacidades, en el Ecuador existen un total de 124.803 adultos mayores con algún tipo de discapacidad en el grupo etario de 65 años en delante, esto representa a un 25,93% de las 481.392 personas con discapacidad registradas en el país.</w:t>
      </w:r>
    </w:p>
    <w:p w14:paraId="65ACF189" w14:textId="77777777" w:rsidR="00DE6BC7" w:rsidRPr="00DE6BC7" w:rsidRDefault="00DE6BC7" w:rsidP="00DE6BC7">
      <w:pPr>
        <w:shd w:val="clear" w:color="auto" w:fill="FFFFFF"/>
        <w:spacing w:after="150" w:line="240" w:lineRule="auto"/>
        <w:jc w:val="both"/>
        <w:rPr>
          <w:rFonts w:ascii="Segoe UI" w:eastAsia="Times New Roman" w:hAnsi="Segoe UI" w:cs="Segoe UI"/>
          <w:color w:val="555555"/>
          <w:kern w:val="0"/>
          <w:sz w:val="21"/>
          <w:szCs w:val="21"/>
          <w:lang w:val="es-ES" w:eastAsia="it-IT"/>
          <w14:ligatures w14:val="none"/>
        </w:rPr>
      </w:pPr>
      <w:r w:rsidRPr="00DE6BC7">
        <w:rPr>
          <w:rFonts w:ascii="Segoe UI" w:eastAsia="Times New Roman" w:hAnsi="Segoe UI" w:cs="Segoe UI"/>
          <w:color w:val="555555"/>
          <w:kern w:val="0"/>
          <w:sz w:val="21"/>
          <w:szCs w:val="21"/>
          <w:lang w:val="es-ES" w:eastAsia="it-IT"/>
          <w14:ligatures w14:val="none"/>
        </w:rPr>
        <w:t>El programa “Maestría en Gerontología Social” es pertinente con el Plan Nacional de Desarrollo, “TODA UNA VIDA 2017 - 2021” el cual refiere enfocar el trabajo en beneficio de los adultos mayores en temas de: Ampliación de cobertura y especialización de los servicios de salud, así como en el cuidado familiar o institucional.</w:t>
      </w:r>
    </w:p>
    <w:p w14:paraId="36BAEEC2" w14:textId="77777777" w:rsidR="00DE6BC7" w:rsidRPr="00DE6BC7" w:rsidRDefault="00DE6BC7" w:rsidP="00DE6BC7">
      <w:pPr>
        <w:shd w:val="clear" w:color="auto" w:fill="FFFFFF"/>
        <w:spacing w:after="150" w:line="240" w:lineRule="auto"/>
        <w:jc w:val="both"/>
        <w:rPr>
          <w:rFonts w:ascii="Segoe UI" w:eastAsia="Times New Roman" w:hAnsi="Segoe UI" w:cs="Segoe UI"/>
          <w:color w:val="555555"/>
          <w:kern w:val="0"/>
          <w:sz w:val="21"/>
          <w:szCs w:val="21"/>
          <w:lang w:val="es-ES" w:eastAsia="it-IT"/>
          <w14:ligatures w14:val="none"/>
        </w:rPr>
      </w:pPr>
      <w:r w:rsidRPr="00DE6BC7">
        <w:rPr>
          <w:rFonts w:ascii="Segoe UI" w:eastAsia="Times New Roman" w:hAnsi="Segoe UI" w:cs="Segoe UI"/>
          <w:color w:val="555555"/>
          <w:kern w:val="0"/>
          <w:sz w:val="21"/>
          <w:szCs w:val="21"/>
          <w:lang w:val="es-ES" w:eastAsia="it-IT"/>
          <w14:ligatures w14:val="none"/>
        </w:rPr>
        <w:t>Dentro de las Intervenciones emblemáticas para el eje 1 se encuentra el “Plan Toda una vida” cuya intervención llamada “Mis mejores años” hace énfasis en el adulto mayor, priorizando la atención y cuidado mediante la prestación de servicios gerontológicos.</w:t>
      </w:r>
    </w:p>
    <w:p w14:paraId="3C666816" w14:textId="77777777" w:rsidR="00DE6BC7" w:rsidRPr="00DE6BC7" w:rsidRDefault="00DE6BC7" w:rsidP="00DE6BC7">
      <w:pPr>
        <w:shd w:val="clear" w:color="auto" w:fill="FFFFFF"/>
        <w:spacing w:after="150" w:line="240" w:lineRule="auto"/>
        <w:jc w:val="both"/>
        <w:rPr>
          <w:rFonts w:ascii="Segoe UI" w:eastAsia="Times New Roman" w:hAnsi="Segoe UI" w:cs="Segoe UI"/>
          <w:color w:val="555555"/>
          <w:kern w:val="0"/>
          <w:sz w:val="21"/>
          <w:szCs w:val="21"/>
          <w:lang w:val="es-ES" w:eastAsia="it-IT"/>
          <w14:ligatures w14:val="none"/>
        </w:rPr>
      </w:pPr>
      <w:r w:rsidRPr="00DE6BC7">
        <w:rPr>
          <w:rFonts w:ascii="Segoe UI" w:eastAsia="Times New Roman" w:hAnsi="Segoe UI" w:cs="Segoe UI"/>
          <w:color w:val="555555"/>
          <w:kern w:val="0"/>
          <w:sz w:val="21"/>
          <w:szCs w:val="21"/>
          <w:lang w:val="es-ES" w:eastAsia="it-IT"/>
          <w14:ligatures w14:val="none"/>
        </w:rPr>
        <w:t>En lo que refiere a la visión de “El Plan Nacional de Desarrollo y la planificación a largo plazo” propone “ampliar las modalidades de educación especializada e inclusiva” para lo cual se espera el incremento importante de la oferta en educación superior de tercer y cuarto nivel vinculado a la demanda laboral que se proyecta a futuro, a esto se añade la tendencia al crecimiento de la población adulta mayor en el país.</w:t>
      </w:r>
    </w:p>
    <w:p w14:paraId="3FB3E524" w14:textId="77777777" w:rsidR="00DE6BC7" w:rsidRPr="00DE6BC7" w:rsidRDefault="00DE6BC7" w:rsidP="00DE6BC7">
      <w:pPr>
        <w:shd w:val="clear" w:color="auto" w:fill="FFFFFF"/>
        <w:spacing w:line="240" w:lineRule="auto"/>
        <w:jc w:val="both"/>
        <w:rPr>
          <w:rFonts w:ascii="Segoe UI" w:eastAsia="Times New Roman" w:hAnsi="Segoe UI" w:cs="Segoe UI"/>
          <w:color w:val="555555"/>
          <w:kern w:val="0"/>
          <w:sz w:val="21"/>
          <w:szCs w:val="21"/>
          <w:lang w:val="es-ES" w:eastAsia="it-IT"/>
          <w14:ligatures w14:val="none"/>
        </w:rPr>
      </w:pPr>
      <w:r w:rsidRPr="00DE6BC7">
        <w:rPr>
          <w:rFonts w:ascii="Segoe UI" w:eastAsia="Times New Roman" w:hAnsi="Segoe UI" w:cs="Segoe UI"/>
          <w:color w:val="555555"/>
          <w:kern w:val="0"/>
          <w:sz w:val="21"/>
          <w:szCs w:val="21"/>
          <w:lang w:val="es-ES" w:eastAsia="it-IT"/>
          <w14:ligatures w14:val="none"/>
        </w:rPr>
        <w:t>El programa “Maestría en Gerontología Social” se propone responder a los requerimientos de formar profesionales especializados para tratar los problemas de envejecimiento frente a la situación de crecimiento demográfico de las personas adultas mayores en el país y la región.</w:t>
      </w:r>
    </w:p>
    <w:p w14:paraId="134F7885" w14:textId="77777777" w:rsidR="00DE6BC7" w:rsidRPr="00DE6BC7" w:rsidRDefault="00DE6BC7" w:rsidP="00DE6BC7">
      <w:pPr>
        <w:spacing w:before="300" w:after="300" w:line="240" w:lineRule="auto"/>
        <w:rPr>
          <w:rFonts w:ascii="Times New Roman" w:eastAsia="Times New Roman" w:hAnsi="Times New Roman" w:cs="Times New Roman"/>
          <w:kern w:val="0"/>
          <w:sz w:val="24"/>
          <w:szCs w:val="24"/>
          <w:lang w:val="es-ES" w:eastAsia="it-IT"/>
          <w14:ligatures w14:val="none"/>
        </w:rPr>
      </w:pPr>
    </w:p>
    <w:p w14:paraId="0C69ADCB" w14:textId="77777777" w:rsidR="00DE6BC7" w:rsidRPr="00DE6BC7" w:rsidRDefault="00DE6BC7">
      <w:pPr>
        <w:rPr>
          <w:lang w:val="es-ES"/>
        </w:rPr>
      </w:pPr>
    </w:p>
    <w:sectPr w:rsidR="00DE6BC7" w:rsidRPr="00DE6B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Light">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F2C7B"/>
    <w:multiLevelType w:val="multilevel"/>
    <w:tmpl w:val="427A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C541A"/>
    <w:multiLevelType w:val="multilevel"/>
    <w:tmpl w:val="3B66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C7"/>
    <w:rsid w:val="00837521"/>
    <w:rsid w:val="00DE6B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DF2C"/>
  <w15:chartTrackingRefBased/>
  <w15:docId w15:val="{47FCEF22-FEA3-4323-85D2-D00CF376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327933">
      <w:bodyDiv w:val="1"/>
      <w:marLeft w:val="0"/>
      <w:marRight w:val="0"/>
      <w:marTop w:val="0"/>
      <w:marBottom w:val="0"/>
      <w:divBdr>
        <w:top w:val="none" w:sz="0" w:space="0" w:color="auto"/>
        <w:left w:val="none" w:sz="0" w:space="0" w:color="auto"/>
        <w:bottom w:val="none" w:sz="0" w:space="0" w:color="auto"/>
        <w:right w:val="none" w:sz="0" w:space="0" w:color="auto"/>
      </w:divBdr>
      <w:divsChild>
        <w:div w:id="1952858691">
          <w:marLeft w:val="0"/>
          <w:marRight w:val="0"/>
          <w:marTop w:val="1326"/>
          <w:marBottom w:val="1326"/>
          <w:divBdr>
            <w:top w:val="none" w:sz="0" w:space="0" w:color="auto"/>
            <w:left w:val="none" w:sz="0" w:space="0" w:color="auto"/>
            <w:bottom w:val="none" w:sz="0" w:space="0" w:color="auto"/>
            <w:right w:val="none" w:sz="0" w:space="0" w:color="auto"/>
          </w:divBdr>
          <w:divsChild>
            <w:div w:id="4642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2503</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uees</cp:lastModifiedBy>
  <cp:revision>2</cp:revision>
  <dcterms:created xsi:type="dcterms:W3CDTF">2023-05-15T21:52:00Z</dcterms:created>
  <dcterms:modified xsi:type="dcterms:W3CDTF">2023-07-28T21:54:00Z</dcterms:modified>
</cp:coreProperties>
</file>