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A3E2" w14:textId="7009D3EA" w:rsidR="000F4FA9" w:rsidRPr="000F4FA9" w:rsidRDefault="000F4FA9">
      <w:pPr>
        <w:rPr>
          <w:rStyle w:val="Enfasigrassetto"/>
          <w:rFonts w:ascii="Arial Black" w:hAnsi="Arial Black" w:cs="Arial"/>
          <w:color w:val="343434"/>
          <w:sz w:val="40"/>
          <w:szCs w:val="40"/>
          <w:shd w:val="clear" w:color="auto" w:fill="FFFFFF"/>
          <w:lang w:val="es-EC"/>
        </w:rPr>
      </w:pPr>
      <w:r w:rsidRPr="000F4FA9">
        <w:rPr>
          <w:rFonts w:ascii="Arial Black" w:hAnsi="Arial Black"/>
          <w:sz w:val="40"/>
          <w:szCs w:val="40"/>
        </w:rPr>
        <w:fldChar w:fldCharType="begin"/>
      </w:r>
      <w:r w:rsidRPr="000F4FA9">
        <w:rPr>
          <w:rFonts w:ascii="Arial Black" w:hAnsi="Arial Black"/>
          <w:sz w:val="40"/>
          <w:szCs w:val="40"/>
          <w:lang w:val="es-ES"/>
        </w:rPr>
        <w:instrText xml:space="preserve"> HYPERLINK "https://www.unl.edu.ec/posgrados/maestria-en-gestion-del-talento-humano" </w:instrText>
      </w:r>
      <w:r w:rsidRPr="000F4FA9">
        <w:rPr>
          <w:rFonts w:ascii="Arial Black" w:hAnsi="Arial Black"/>
          <w:sz w:val="40"/>
          <w:szCs w:val="40"/>
        </w:rPr>
        <w:fldChar w:fldCharType="separate"/>
      </w:r>
      <w:r w:rsidRPr="000F4FA9">
        <w:rPr>
          <w:rStyle w:val="Collegamentoipertestuale"/>
          <w:rFonts w:ascii="Arial Black" w:hAnsi="Arial Black"/>
          <w:b/>
          <w:bCs/>
          <w:color w:val="DE361C"/>
          <w:sz w:val="40"/>
          <w:szCs w:val="40"/>
          <w:shd w:val="clear" w:color="auto" w:fill="FFFFFF"/>
          <w:lang w:val="es-ES"/>
        </w:rPr>
        <w:t>Maestría en Gestión del Talento Humano</w:t>
      </w:r>
      <w:r w:rsidRPr="000F4FA9">
        <w:rPr>
          <w:rFonts w:ascii="Arial Black" w:hAnsi="Arial Black"/>
          <w:sz w:val="40"/>
          <w:szCs w:val="40"/>
        </w:rPr>
        <w:fldChar w:fldCharType="end"/>
      </w:r>
    </w:p>
    <w:p w14:paraId="549843A4" w14:textId="06CF150F" w:rsidR="000F4FA9" w:rsidRDefault="000F4FA9">
      <w:pPr>
        <w:rPr>
          <w:rFonts w:ascii="Arial Black" w:hAnsi="Arial Black" w:cs="Arial"/>
          <w:color w:val="343434"/>
          <w:sz w:val="40"/>
          <w:szCs w:val="40"/>
          <w:shd w:val="clear" w:color="auto" w:fill="FFFFFF"/>
          <w:lang w:val="es-EC"/>
        </w:rPr>
      </w:pPr>
      <w:r w:rsidRPr="000F4FA9">
        <w:rPr>
          <w:rStyle w:val="Enfasigrassetto"/>
          <w:rFonts w:ascii="Arial Black" w:hAnsi="Arial Black" w:cs="Arial"/>
          <w:color w:val="343434"/>
          <w:sz w:val="40"/>
          <w:szCs w:val="40"/>
          <w:shd w:val="clear" w:color="auto" w:fill="FFFFFF"/>
          <w:lang w:val="es-EC"/>
        </w:rPr>
        <w:t>Resolución: </w:t>
      </w:r>
      <w:r w:rsidRPr="000F4FA9">
        <w:rPr>
          <w:rFonts w:ascii="Arial Black" w:hAnsi="Arial Black" w:cs="Arial"/>
          <w:color w:val="343434"/>
          <w:sz w:val="40"/>
          <w:szCs w:val="40"/>
          <w:shd w:val="clear" w:color="auto" w:fill="FFFFFF"/>
          <w:lang w:val="es-EC"/>
        </w:rPr>
        <w:t> RPC-SO-14-NO.387-2021</w:t>
      </w:r>
    </w:p>
    <w:p w14:paraId="77C6C5AA" w14:textId="1DBCAB92" w:rsidR="000F4FA9" w:rsidRDefault="000F4FA9">
      <w:pPr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</w:pPr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La Maestría en Gestión del Talento Humano busca integrar la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teoría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con la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práctica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en un espacio de intercambio y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generación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de conocimientos en las ciencias Administrativas, Derecho,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Matemáticas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y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estadística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, enfocados al desarrollo de las organizaciones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públicas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y privadas, a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través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del proceso del talento humano, el </w:t>
      </w:r>
      <w:proofErr w:type="spellStart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>diseño</w:t>
      </w:r>
      <w:proofErr w:type="spellEnd"/>
      <w:r w:rsidRPr="000F4FA9">
        <w:rPr>
          <w:rFonts w:ascii="Montserrat" w:hAnsi="Montserrat"/>
          <w:color w:val="343434"/>
          <w:sz w:val="21"/>
          <w:szCs w:val="21"/>
          <w:shd w:val="clear" w:color="auto" w:fill="FFFFFF"/>
          <w:lang w:val="es-ES"/>
        </w:rPr>
        <w:t xml:space="preserve"> organizacional y la mejora y cambio organizacional.</w:t>
      </w:r>
    </w:p>
    <w:p w14:paraId="7DE6FF8B" w14:textId="77777777" w:rsidR="000F4FA9" w:rsidRPr="000F4FA9" w:rsidRDefault="000F4FA9" w:rsidP="000F4F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</w:pPr>
      <w:proofErr w:type="spellStart"/>
      <w:r w:rsidRPr="000F4FA9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>Perfil</w:t>
      </w:r>
      <w:proofErr w:type="spellEnd"/>
      <w:r w:rsidRPr="000F4FA9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 xml:space="preserve"> </w:t>
      </w:r>
      <w:proofErr w:type="spellStart"/>
      <w:r w:rsidRPr="000F4FA9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>profesional</w:t>
      </w:r>
      <w:proofErr w:type="spellEnd"/>
    </w:p>
    <w:p w14:paraId="21E68629" w14:textId="77777777" w:rsidR="000F4FA9" w:rsidRPr="000F4FA9" w:rsidRDefault="000F4FA9" w:rsidP="000F4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Dirige el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área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funcional de Recursos Humanos de las organizaciones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públicas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y privadas.</w:t>
      </w:r>
    </w:p>
    <w:p w14:paraId="23B5A6BE" w14:textId="77777777" w:rsidR="000F4FA9" w:rsidRPr="000F4FA9" w:rsidRDefault="000F4FA9" w:rsidP="000F4FA9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 </w:t>
      </w:r>
    </w:p>
    <w:p w14:paraId="0ACA8451" w14:textId="77777777" w:rsidR="000F4FA9" w:rsidRPr="000F4FA9" w:rsidRDefault="000F4FA9" w:rsidP="000F4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Diseña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y ejecuta los diferentes procesos de los subsistemas de talento humano, logrando una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relación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eficiente entre el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tamaño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de la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organización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y la </w:t>
      </w:r>
      <w:proofErr w:type="spellStart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distribución</w:t>
      </w:r>
      <w:proofErr w:type="spellEnd"/>
      <w:r w:rsidRPr="000F4FA9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 xml:space="preserve"> de su recurso humano.</w:t>
      </w:r>
    </w:p>
    <w:p w14:paraId="5262911B" w14:textId="77777777" w:rsidR="000F4FA9" w:rsidRPr="000F4FA9" w:rsidRDefault="000F4FA9">
      <w:pPr>
        <w:rPr>
          <w:rFonts w:ascii="Arial Black" w:hAnsi="Arial Black"/>
          <w:sz w:val="40"/>
          <w:szCs w:val="40"/>
          <w:lang w:val="es-ES"/>
        </w:rPr>
      </w:pPr>
    </w:p>
    <w:sectPr w:rsidR="000F4FA9" w:rsidRPr="000F4F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00D2"/>
    <w:multiLevelType w:val="multilevel"/>
    <w:tmpl w:val="6CA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0625D"/>
    <w:multiLevelType w:val="multilevel"/>
    <w:tmpl w:val="8DF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432007">
    <w:abstractNumId w:val="1"/>
  </w:num>
  <w:num w:numId="2" w16cid:durableId="166732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A9"/>
    <w:rsid w:val="000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EA55"/>
  <w15:chartTrackingRefBased/>
  <w15:docId w15:val="{E8AD3F0A-70AA-491E-B09C-B743611E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F4FA9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0F4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2023-05-17T20:30:00Z</dcterms:created>
  <dcterms:modified xsi:type="dcterms:W3CDTF">2023-05-17T20:32:00Z</dcterms:modified>
</cp:coreProperties>
</file>