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777E" w14:textId="77777777" w:rsidR="00F8162B" w:rsidRPr="00F8162B" w:rsidRDefault="00F8162B" w:rsidP="00F8162B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F8162B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391DBF51" w14:textId="77777777" w:rsidR="00F8162B" w:rsidRPr="00F8162B" w:rsidRDefault="00F8162B" w:rsidP="00F8162B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F8162B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DERECHO PENAL MENCIÓN DERECHO PROCESAL PENAL</w:t>
      </w:r>
    </w:p>
    <w:p w14:paraId="13D69A1B" w14:textId="77777777" w:rsidR="00F8162B" w:rsidRPr="00F8162B" w:rsidRDefault="00F8162B" w:rsidP="00F8162B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F8162B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2D9E760" wp14:editId="1C8E045A">
            <wp:extent cx="227330" cy="227330"/>
            <wp:effectExtent l="0" t="0" r="1270" b="1270"/>
            <wp:docPr id="24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AA64" w14:textId="77777777" w:rsidR="00F8162B" w:rsidRPr="00F8162B" w:rsidRDefault="00F8162B" w:rsidP="00F8162B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F8162B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RPC-SO-05-No. 064-2019 RPC-SO-07-No.140-2020</w:t>
      </w:r>
    </w:p>
    <w:p w14:paraId="54AF9B17" w14:textId="77777777" w:rsidR="00F8162B" w:rsidRPr="00F8162B" w:rsidRDefault="00F8162B" w:rsidP="00F8162B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F8162B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F49A633" wp14:editId="17799A2B">
            <wp:extent cx="227330" cy="227330"/>
            <wp:effectExtent l="0" t="0" r="1270" b="1270"/>
            <wp:docPr id="25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963F" w14:textId="77777777" w:rsidR="00F8162B" w:rsidRPr="00F8162B" w:rsidRDefault="00F8162B" w:rsidP="00F8162B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F8162B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Derecho Penal mención Derecho Procesal Penal</w:t>
      </w:r>
    </w:p>
    <w:p w14:paraId="34B36679" w14:textId="77777777" w:rsidR="00F8162B" w:rsidRDefault="00F8162B">
      <w:pPr>
        <w:rPr>
          <w:lang w:val="es-ES"/>
        </w:rPr>
      </w:pPr>
    </w:p>
    <w:p w14:paraId="643045EF" w14:textId="21A02F00" w:rsidR="00F8162B" w:rsidRDefault="00F8162B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F8162B">
        <w:rPr>
          <w:rFonts w:ascii="Sovereign" w:hAnsi="Sovereign"/>
          <w:color w:val="000000"/>
          <w:sz w:val="60"/>
          <w:szCs w:val="60"/>
          <w:lang w:val="es-ES"/>
        </w:rPr>
        <w:t>El programa académico otorga competencias para el desenvolvimiento exitoso en los procesos penales con base en la Ley y la Jurisprudencia</w:t>
      </w:r>
    </w:p>
    <w:p w14:paraId="378870B1" w14:textId="77777777" w:rsidR="00F8162B" w:rsidRPr="00F8162B" w:rsidRDefault="00F8162B" w:rsidP="00F8162B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F8162B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Comprender los diversos trastornos psiquiátricos y su aplicabilidad en el campo penal.</w:t>
      </w:r>
    </w:p>
    <w:p w14:paraId="0857F89E" w14:textId="77777777" w:rsidR="00F8162B" w:rsidRPr="00F8162B" w:rsidRDefault="00F8162B" w:rsidP="00F8162B">
      <w:pPr>
        <w:numPr>
          <w:ilvl w:val="0"/>
          <w:numId w:val="2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F8162B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Identificar el rol de cada uno de los sujetos procesales.</w:t>
      </w:r>
    </w:p>
    <w:p w14:paraId="31E96F5C" w14:textId="77777777" w:rsidR="00F8162B" w:rsidRPr="00F8162B" w:rsidRDefault="00F8162B" w:rsidP="00F8162B">
      <w:pPr>
        <w:numPr>
          <w:ilvl w:val="0"/>
          <w:numId w:val="3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F8162B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Aplicar la teórica y práctica de la prueba.</w:t>
      </w:r>
    </w:p>
    <w:p w14:paraId="0C026548" w14:textId="77777777" w:rsidR="00F8162B" w:rsidRPr="00F8162B" w:rsidRDefault="00F8162B">
      <w:pPr>
        <w:rPr>
          <w:lang w:val="es-ES"/>
        </w:rPr>
      </w:pPr>
    </w:p>
    <w:sectPr w:rsidR="00F8162B" w:rsidRPr="00F816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115"/>
    <w:multiLevelType w:val="multilevel"/>
    <w:tmpl w:val="807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C43B0"/>
    <w:multiLevelType w:val="multilevel"/>
    <w:tmpl w:val="EEF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45D10"/>
    <w:multiLevelType w:val="multilevel"/>
    <w:tmpl w:val="16BE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317394">
    <w:abstractNumId w:val="1"/>
  </w:num>
  <w:num w:numId="2" w16cid:durableId="871305671">
    <w:abstractNumId w:val="2"/>
  </w:num>
  <w:num w:numId="3" w16cid:durableId="61718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2B"/>
    <w:rsid w:val="00F8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74E1"/>
  <w15:chartTrackingRefBased/>
  <w15:docId w15:val="{A2B86E90-9004-400F-B522-506FDD4E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2023-05-22T20:12:00Z</dcterms:created>
  <dcterms:modified xsi:type="dcterms:W3CDTF">2023-05-22T20:13:00Z</dcterms:modified>
</cp:coreProperties>
</file>