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64E5" w14:textId="77777777" w:rsidR="003015F5" w:rsidRPr="003015F5" w:rsidRDefault="003015F5" w:rsidP="003015F5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3015F5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2D1FA133" w14:textId="77777777" w:rsidR="003015F5" w:rsidRPr="003015F5" w:rsidRDefault="003015F5" w:rsidP="003015F5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3015F5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COMUNICACIÓN ESTRATÉGICA MENCIÓN COMUNICACIÓN DIGITAL</w:t>
      </w:r>
    </w:p>
    <w:p w14:paraId="522CEB01" w14:textId="77777777" w:rsidR="003015F5" w:rsidRPr="003015F5" w:rsidRDefault="003015F5" w:rsidP="003015F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015F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247A6A4" wp14:editId="31D0AB9C">
            <wp:extent cx="227330" cy="227330"/>
            <wp:effectExtent l="0" t="0" r="1270" b="1270"/>
            <wp:docPr id="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6AAB" w14:textId="77777777" w:rsidR="003015F5" w:rsidRPr="003015F5" w:rsidRDefault="003015F5" w:rsidP="003015F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3015F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RPC-SO-17-No.287-2019 RPC-SO-10-No.189-2020</w:t>
      </w:r>
    </w:p>
    <w:p w14:paraId="6248EBC6" w14:textId="77777777" w:rsidR="003015F5" w:rsidRPr="003015F5" w:rsidRDefault="003015F5" w:rsidP="003015F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015F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D5444D5" wp14:editId="14E16BF5">
            <wp:extent cx="227330" cy="227330"/>
            <wp:effectExtent l="0" t="0" r="1270" b="1270"/>
            <wp:docPr id="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F9FA" w14:textId="77777777" w:rsidR="003015F5" w:rsidRPr="003015F5" w:rsidRDefault="003015F5" w:rsidP="003015F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3015F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Comunicación Estratégica mención Comunicación Digital</w:t>
      </w:r>
    </w:p>
    <w:p w14:paraId="0A2B66D7" w14:textId="77777777" w:rsidR="003015F5" w:rsidRDefault="003015F5">
      <w:pPr>
        <w:rPr>
          <w:lang w:val="es-ES"/>
        </w:rPr>
      </w:pPr>
    </w:p>
    <w:p w14:paraId="7B73DB31" w14:textId="68FD35CB" w:rsidR="003015F5" w:rsidRDefault="003015F5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3015F5">
        <w:rPr>
          <w:rFonts w:ascii="Sovereign" w:hAnsi="Sovereign"/>
          <w:color w:val="000000"/>
          <w:sz w:val="60"/>
          <w:szCs w:val="60"/>
          <w:lang w:val="es-ES"/>
        </w:rPr>
        <w:t>Los estudiantes podrán realizar prácticas con empresas que operan en el mercado ecuatoriano y que son miembros de Mucho Mejor Ecuador y Alianza para el Emprendimiento e Innovación del Ecuador -AEI</w:t>
      </w:r>
    </w:p>
    <w:p w14:paraId="532A9D62" w14:textId="77777777" w:rsidR="003015F5" w:rsidRPr="003015F5" w:rsidRDefault="003015F5" w:rsidP="003015F5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3015F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Determinar estrategias, herramientas, técnicas de comunicación, relaciones públicas, publicidad y marketing digital en beneficio del posicionamiento de una marca.</w:t>
      </w:r>
    </w:p>
    <w:p w14:paraId="24E4943E" w14:textId="77777777" w:rsidR="003015F5" w:rsidRPr="003015F5" w:rsidRDefault="003015F5" w:rsidP="003015F5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3015F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Crear estrategias de contenidos y selecciona plataformas online idóneas para monitorear, escuchar, y participar en los ecosistemas digitales interactivos con los stakeholders que permitan posicionar a la organización en entornos off y on line.</w:t>
      </w:r>
    </w:p>
    <w:p w14:paraId="7017C79E" w14:textId="77777777" w:rsidR="003015F5" w:rsidRPr="003015F5" w:rsidRDefault="003015F5" w:rsidP="003015F5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3015F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Medir y evalúar las acciones de comunicación on y off line para construir una presencia relevante en internet, mejorar el posicionamiento en buscadores y multiplicar las posibilidades de que los usuarios encuentren a la organización en la web.</w:t>
      </w:r>
    </w:p>
    <w:p w14:paraId="550260DF" w14:textId="77777777" w:rsidR="003015F5" w:rsidRPr="003015F5" w:rsidRDefault="003015F5">
      <w:pPr>
        <w:rPr>
          <w:lang w:val="es-ES"/>
        </w:rPr>
      </w:pPr>
    </w:p>
    <w:sectPr w:rsidR="003015F5" w:rsidRPr="00301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007"/>
    <w:multiLevelType w:val="multilevel"/>
    <w:tmpl w:val="E7A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06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F5"/>
    <w:rsid w:val="0030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0377"/>
  <w15:chartTrackingRefBased/>
  <w15:docId w15:val="{6929D9B1-8ADB-4049-86DA-9A735DD6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2023-05-22T20:00:00Z</dcterms:created>
  <dcterms:modified xsi:type="dcterms:W3CDTF">2023-05-22T20:01:00Z</dcterms:modified>
</cp:coreProperties>
</file>