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6ED7" w14:textId="77777777" w:rsidR="00C2612B" w:rsidRDefault="00C2612B" w:rsidP="00C2612B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</w:pPr>
      <w:r w:rsidRPr="00C2612B"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  <w:t>Maestría en Farmacia, Mención Farmacia Clínica III cohorte</w:t>
      </w:r>
    </w:p>
    <w:p w14:paraId="1176F3EF" w14:textId="3CD2B75E" w:rsidR="00C2612B" w:rsidRPr="00C2612B" w:rsidRDefault="00C2612B" w:rsidP="00C2612B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</w:pPr>
      <w:r w:rsidRPr="00C2612B">
        <w:rPr>
          <w:rStyle w:val="Enfasigrassetto"/>
          <w:rFonts w:ascii="Arial" w:hAnsi="Arial" w:cs="Arial"/>
          <w:color w:val="6B6B6B"/>
          <w:sz w:val="20"/>
          <w:szCs w:val="20"/>
          <w:bdr w:val="none" w:sz="0" w:space="0" w:color="auto" w:frame="1"/>
          <w:shd w:val="clear" w:color="auto" w:fill="FFFFFF"/>
          <w:lang w:val="es-ES"/>
        </w:rPr>
        <w:t>No. de Resolución: RPC-SO-42 -No.775 -2019</w:t>
      </w:r>
    </w:p>
    <w:p w14:paraId="3177FE21" w14:textId="77777777" w:rsidR="00C2612B" w:rsidRPr="00C2612B" w:rsidRDefault="00C2612B" w:rsidP="00C2612B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</w:pPr>
      <w:r w:rsidRPr="00C2612B"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  <w:pict w14:anchorId="66FAE476">
          <v:rect id="_x0000_i1025" style="width:0;height:.75pt" o:hralign="center" o:hrstd="t" o:hr="t" fillcolor="#a0a0a0" stroked="f"/>
        </w:pict>
      </w:r>
    </w:p>
    <w:p w14:paraId="635D1187" w14:textId="77777777" w:rsidR="00C2612B" w:rsidRPr="00C2612B" w:rsidRDefault="00C2612B" w:rsidP="00C2612B">
      <w:pPr>
        <w:spacing w:after="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C2612B">
        <w:rPr>
          <w:rFonts w:ascii="Arial" w:eastAsia="Times New Roman" w:hAnsi="Arial" w:cs="Arial"/>
          <w:b/>
          <w:bCs/>
          <w:color w:val="6F6F6F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Descripción:</w:t>
      </w:r>
    </w:p>
    <w:p w14:paraId="04764435" w14:textId="77777777" w:rsidR="00C2612B" w:rsidRDefault="00C2612B" w:rsidP="00C2612B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C2612B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>El programa busca contribuir con la formación de los profesionales farmacéuticos y otros del área de la salud permitiéndoles aplicar el método científico apropiado para resolver los problemas actuales de la terapia farmacológica instaurada a los pacientes que padecen patologías determinadas. En el campo del conocimiento y el ejercicio profesional, son numerosas las áreas de aplicación de este programa en las instituciones de salud humana como centros de atención primaria, hospitales de diferentes niveles, farmacias comunitarias y hospitalarias; así como en la industria farmacéutica e institutos de investigación, entre otros.</w:t>
      </w:r>
    </w:p>
    <w:p w14:paraId="74AE5BDC" w14:textId="77777777" w:rsidR="00C2612B" w:rsidRPr="00C2612B" w:rsidRDefault="00C2612B" w:rsidP="00C261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eastAsia="it-IT"/>
          <w14:ligatures w14:val="none"/>
        </w:rPr>
      </w:pPr>
      <w:proofErr w:type="spellStart"/>
      <w:r w:rsidRPr="00C2612B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Objetivo</w:t>
      </w:r>
      <w:proofErr w:type="spellEnd"/>
      <w:r w:rsidRPr="00C2612B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</w:t>
      </w:r>
      <w:proofErr w:type="gramStart"/>
      <w:r w:rsidRPr="00C2612B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General :</w:t>
      </w:r>
      <w:proofErr w:type="gramEnd"/>
    </w:p>
    <w:p w14:paraId="600701E1" w14:textId="77777777" w:rsidR="00C2612B" w:rsidRPr="00C2612B" w:rsidRDefault="00C2612B" w:rsidP="00C2612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2612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497A5226">
          <v:rect id="_x0000_i1027" style="width:0;height:.75pt" o:hrstd="t" o:hrnoshade="t" o:hr="t" fillcolor="#6b6b6b" stroked="f"/>
        </w:pict>
      </w:r>
    </w:p>
    <w:p w14:paraId="07DFF16E" w14:textId="77777777" w:rsidR="00C2612B" w:rsidRPr="00C2612B" w:rsidRDefault="00C2612B" w:rsidP="00C2612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C2612B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Brindar al maestrante las herramientas fundamentales de metodológicas científicas para desarrollar sus habilidades, competencias y destrezas en el campo de la farmacología aplicada a la clínica, ambulatoria y hospitalaria, conservando siempre como eje el cuidado al paciente; un manejo exhaustivo de los medicamentos y cumpliendo los nuevos retos en el modelo de inserción del Bioquímico Farmacéutico en la práctica clínica.</w:t>
      </w:r>
    </w:p>
    <w:p w14:paraId="353DB086" w14:textId="77777777" w:rsidR="00C2612B" w:rsidRPr="00C2612B" w:rsidRDefault="00C2612B" w:rsidP="00C261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C2612B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 </w:t>
      </w:r>
    </w:p>
    <w:p w14:paraId="1AA9DAED" w14:textId="77777777" w:rsidR="00C2612B" w:rsidRPr="00C2612B" w:rsidRDefault="00C2612B" w:rsidP="00C261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C2612B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Específicos:</w:t>
      </w:r>
    </w:p>
    <w:p w14:paraId="01406C33" w14:textId="77777777" w:rsidR="00C2612B" w:rsidRPr="00C2612B" w:rsidRDefault="00C2612B" w:rsidP="00C261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C2612B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Al conocimiento y los saberes</w:t>
      </w:r>
    </w:p>
    <w:p w14:paraId="1F83998D" w14:textId="77777777" w:rsidR="00C2612B" w:rsidRPr="00C2612B" w:rsidRDefault="00C2612B" w:rsidP="00C2612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C2612B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*Desarrollar capacidades analítico-críticas para conocimiento del método científico aplicado a investigación clínica.</w:t>
      </w:r>
    </w:p>
    <w:p w14:paraId="16A67278" w14:textId="77777777" w:rsidR="00C2612B" w:rsidRPr="00C2612B" w:rsidRDefault="00C2612B" w:rsidP="00C2612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C2612B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 xml:space="preserve">*Obtener un adecuado dominio de bioestadística, de </w:t>
      </w:r>
      <w:proofErr w:type="gramStart"/>
      <w:r w:rsidRPr="00C2612B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meta-análisis</w:t>
      </w:r>
      <w:proofErr w:type="gramEnd"/>
      <w:r w:rsidRPr="00C2612B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 xml:space="preserve"> y de bioética en la investigación clínica.</w:t>
      </w:r>
    </w:p>
    <w:p w14:paraId="0A822613" w14:textId="77777777" w:rsidR="00C2612B" w:rsidRPr="00C2612B" w:rsidRDefault="00C2612B" w:rsidP="00C2612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C2612B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*Integrar los saberes de farmacocinética, farmacogenética y farmacodinamia con aplicación clínica.</w:t>
      </w:r>
    </w:p>
    <w:p w14:paraId="3DFB52C6" w14:textId="77777777" w:rsidR="00C2612B" w:rsidRPr="00C2612B" w:rsidRDefault="00C2612B" w:rsidP="00C261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C2612B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A la pertinencia</w:t>
      </w:r>
    </w:p>
    <w:p w14:paraId="6DA34A09" w14:textId="77777777" w:rsidR="00C2612B" w:rsidRPr="00C2612B" w:rsidRDefault="00C2612B" w:rsidP="00C2612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C2612B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*Propiciar la integración de los principios científico – técnicos para la investigación, monitorización de fármacos, farmacovigilancia, tecnovigilancia y fundamentos farmacológicos (terapéuticos y de toxicidad) de la aplicación farmacoterapéutica en poblaciones de riesgo como niños, adultos mayores y embarazadas.</w:t>
      </w:r>
    </w:p>
    <w:p w14:paraId="2C5C242C" w14:textId="77777777" w:rsidR="00C2612B" w:rsidRPr="00C2612B" w:rsidRDefault="00C2612B" w:rsidP="00C2612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C2612B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*Armonizar capacidades técnicas y educativas para la monitorización de fármacos que permitirá mejorar la personalización e individualización de los tratamientos farmacológicos dirigidos a los pacientes.</w:t>
      </w:r>
    </w:p>
    <w:p w14:paraId="65E46AD9" w14:textId="77777777" w:rsidR="00C2612B" w:rsidRPr="00C2612B" w:rsidRDefault="00C2612B" w:rsidP="00C2612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C2612B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*Generar destrezas de análisis e interpretación de los tratamientos farmacológicos que garanticen la salud integral de la población.</w:t>
      </w:r>
    </w:p>
    <w:p w14:paraId="06E3EFE3" w14:textId="77777777" w:rsidR="00C2612B" w:rsidRPr="00C2612B" w:rsidRDefault="00C2612B" w:rsidP="00C2612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C2612B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 </w:t>
      </w:r>
    </w:p>
    <w:p w14:paraId="71767DE6" w14:textId="77777777" w:rsidR="00C2612B" w:rsidRPr="00C2612B" w:rsidRDefault="00C2612B" w:rsidP="00C261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C2612B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A los aprendizajes</w:t>
      </w:r>
    </w:p>
    <w:p w14:paraId="69C8E7B9" w14:textId="77777777" w:rsidR="00C2612B" w:rsidRPr="00C2612B" w:rsidRDefault="00C2612B" w:rsidP="00C2612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C2612B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*Construir aprendizajes a través de una metodología centrada en el maestrante, basada en un aprender haciendo a través de un proceso interactivo, de investigación formativa y rescatando los saberes ancestrales.</w:t>
      </w:r>
    </w:p>
    <w:p w14:paraId="5B6E981F" w14:textId="77777777" w:rsidR="00C2612B" w:rsidRPr="00C2612B" w:rsidRDefault="00C2612B" w:rsidP="00C2612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C2612B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lastRenderedPageBreak/>
        <w:t> </w:t>
      </w:r>
    </w:p>
    <w:p w14:paraId="35D13896" w14:textId="77777777" w:rsidR="00C2612B" w:rsidRPr="00C2612B" w:rsidRDefault="00C2612B" w:rsidP="00C2612B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</w:p>
    <w:p w14:paraId="69F5D72E" w14:textId="77777777" w:rsidR="00C2612B" w:rsidRPr="00C2612B" w:rsidRDefault="00C2612B">
      <w:pPr>
        <w:rPr>
          <w:lang w:val="es-ES"/>
        </w:rPr>
      </w:pPr>
    </w:p>
    <w:sectPr w:rsidR="00C2612B" w:rsidRPr="00C261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2B"/>
    <w:rsid w:val="00C2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FE1DF"/>
  <w15:chartTrackingRefBased/>
  <w15:docId w15:val="{0B426303-E102-417B-8871-9B2B12B4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C261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2023-05-10T15:13:00Z</dcterms:created>
  <dcterms:modified xsi:type="dcterms:W3CDTF">2023-05-10T15:15:00Z</dcterms:modified>
</cp:coreProperties>
</file>