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0B45" w14:textId="5AF3D3A6" w:rsidR="008507B2" w:rsidRDefault="00443F8D">
      <w:pP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</w:pPr>
      <w:r>
        <w:rPr>
          <w:rFonts w:ascii="Arial" w:hAnsi="Arial" w:cs="Arial"/>
          <w:b/>
          <w:bCs/>
          <w:color w:val="091133"/>
          <w:sz w:val="54"/>
          <w:szCs w:val="54"/>
          <w:shd w:val="clear" w:color="auto" w:fill="FFFFFF"/>
        </w:rPr>
        <w:t>Maestría en Historia</w:t>
      </w:r>
    </w:p>
    <w:p w14:paraId="70B51F4F" w14:textId="77777777" w:rsidR="00443F8D" w:rsidRPr="00443F8D" w:rsidRDefault="00443F8D" w:rsidP="00443F8D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443F8D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Contenido y objetivos</w:t>
      </w:r>
    </w:p>
    <w:p w14:paraId="6F7EFC3A" w14:textId="77777777" w:rsidR="00443F8D" w:rsidRPr="00443F8D" w:rsidRDefault="00443F8D" w:rsidP="00443F8D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La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Maestría en Historia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 tiene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reconocimiento del Ministerio de Educación y Cultura desde 2013. 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Su primera generación inició en 2011. Este programa proporciona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conocimientos de historia universal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, es decir, la formación no se limita a historia latinoamericana. Asimismo, ofrece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herramientas teóricas y metodológicas de oficio de historiador,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 con un fuerte énfasis de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preparación en investigación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 y en docencia sustentada en investigación. La Maestría tiene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dos opciones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, una en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“Cultura y Sociedad”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 y otra en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 “Arte y Patrimonio”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, permitiendo a los estudiantes elegir materias electivas. Las </w:t>
      </w:r>
      <w:r w:rsidRPr="00443F8D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val="es-ES" w:eastAsia="es-CO"/>
          <w14:ligatures w14:val="none"/>
        </w:rPr>
        <w:t>temáticas de historia política</w:t>
      </w:r>
      <w:r w:rsidRPr="00443F8D">
        <w:rPr>
          <w:rFonts w:ascii="Arial" w:eastAsia="Times New Roman" w:hAnsi="Arial" w:cs="Arial"/>
          <w:color w:val="5D6970"/>
          <w:kern w:val="0"/>
          <w:sz w:val="24"/>
          <w:szCs w:val="24"/>
          <w:lang w:val="es-ES" w:eastAsia="es-CO"/>
          <w14:ligatures w14:val="none"/>
        </w:rPr>
        <w:t> están contempladas fundamentalmente en la opción de Cultura y Sociedad.</w:t>
      </w:r>
    </w:p>
    <w:p w14:paraId="6E3DF036" w14:textId="4BD8530C" w:rsidR="00443F8D" w:rsidRPr="00443F8D" w:rsidRDefault="00443F8D">
      <w:pPr>
        <w:rPr>
          <w:sz w:val="24"/>
          <w:szCs w:val="24"/>
        </w:rPr>
      </w:pPr>
      <w:r w:rsidRPr="00443F8D">
        <w:rPr>
          <w:rFonts w:ascii="Arial" w:hAnsi="Arial" w:cs="Arial"/>
          <w:color w:val="5D6970"/>
          <w:sz w:val="24"/>
          <w:szCs w:val="24"/>
          <w:shd w:val="clear" w:color="auto" w:fill="FFFFFF"/>
        </w:rPr>
        <w:t>La maestría está abierta a egresados universitarios del país o extranjeros (no exclusivamente titulados en Historia) así como a egresados del profesorado de Historia del Sistema Nacional de Formación Docente (ANEP).</w:t>
      </w:r>
    </w:p>
    <w:sectPr w:rsidR="00443F8D" w:rsidRPr="00443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8D"/>
    <w:rsid w:val="00443F8D"/>
    <w:rsid w:val="008507B2"/>
    <w:rsid w:val="008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59E31"/>
  <w15:chartTrackingRefBased/>
  <w15:docId w15:val="{A5DF8DAA-2028-4CBC-8674-13382A06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3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3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F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3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43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2024-06-20T05:09:00Z</dcterms:created>
  <dcterms:modified xsi:type="dcterms:W3CDTF">2024-06-20T05:10:00Z</dcterms:modified>
</cp:coreProperties>
</file>