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37"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p>
      <w:pPr>
        <w:pStyle w:val="BodyText"/>
      </w:pPr>
      <w:r>
        <w:t xml:space="preserve">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bookmarkStart w:id="28" w:name="data-sources"/>
    <w:p>
      <w:pPr>
        <w:pStyle w:val="Heading2"/>
      </w:pPr>
      <w:r>
        <w:t xml:space="preserve">Data sources</w:t>
      </w:r>
    </w:p>
    <w:p>
      <w:pPr>
        <w:pStyle w:val="FirstParagraph"/>
      </w:pPr>
      <w:r>
        <w:t xml:space="preserve">We used two open-access data sources: Webometrics Ranking of World Universities and the Occupational Information Network. The Webometrics Ranking of World Universities</w:t>
      </w:r>
      <w:r>
        <w:t xml:space="preserve"> </w:t>
      </w:r>
      <w:r>
        <w:t xml:space="preserve">(Aguillo et al., 2008)</w:t>
      </w:r>
      <w:r>
        <w:t xml:space="preserve"> </w:t>
      </w:r>
      <w:r>
        <w:t xml:space="preserve">was selected because it provides comprehensive and regularly updated coverage of over 31,000 Higher Education Institutions (HEIs) from 223 countries and territories in seven regions (i.e., North America, Latin America, Europe, Asia, Africa, the Arab World, and Oceania). Compared with other ranking systems such as times higher education (THE), Quacquarelli Symonds (QS), or Academic Ranking of World Universities (ARWU), Webometrics primarily focuses on the volume and visibility of a university’s web presence and online activity. Its goal is to promote the Open Access initiative and the electronic publication of academic materials. Webometrics is the largest ranking system, covering tens of thousands of higher education institutions, including many not represented in the selective QS or THE lists. This ranking ensures that sampled universities maintain verifiable online visibility, which is crucial for accessing official program brochures and institutional data required for text-based analyses</w:t>
      </w:r>
      <w:r>
        <w:t xml:space="preserve"> </w:t>
      </w:r>
      <w:r>
        <w:t xml:space="preserve">(Udartseva, 2024)</w:t>
      </w:r>
      <w:r>
        <w:t xml:space="preserve">. Webometrics has served as a fundamental basis for evaluating the global improvement in universities as a result of educational innovation governance</w:t>
      </w:r>
      <w:r>
        <w:t xml:space="preserve"> </w:t>
      </w:r>
      <w:r>
        <w:t xml:space="preserve">(De los Ríos-Carmenado et al., 2021)</w:t>
      </w:r>
      <w:r>
        <w:t xml:space="preserve">.</w:t>
      </w:r>
    </w:p>
    <w:p>
      <w:pPr>
        <w:pStyle w:val="BodyText"/>
      </w:pPr>
      <w:r>
        <w:t xml:space="preserve">The Occupational Information Network (O*NET), maintained by the U.S. Department of Labor’s Employment and Training Administration, provides detailed descriptions of the world of work for use by job seekers, talent recruiters, students, developers, researchers, and other professionals. O*NET has been useful for designing graduate curricula by using market-driven skills</w:t>
      </w:r>
      <w:r>
        <w:t xml:space="preserve"> </w:t>
      </w:r>
      <w:r>
        <w:t xml:space="preserve">(Boshkoska et al., 2025)</w:t>
      </w:r>
      <w:r>
        <w:t xml:space="preserve">. We visited the O*NET website to conduct a series of queries about the set of basic skills available for a significant sample of job descriptions^[</w:t>
      </w:r>
      <w:hyperlink r:id="rId26">
        <w:r>
          <w:rPr>
            <w:rStyle w:val="Hyperlink"/>
          </w:rPr>
          <w:t xml:space="preserve">https://www.onetcenter.org/dictionary/30.0/excel/skills.html</w:t>
        </w:r>
      </w:hyperlink>
      <w:r>
        <w:t xml:space="preserve">] . We relied on the list of the 10 basic skills defined by O*NET as developed capacities that facilitate learning or the more rapid acquisition of knowledge^[</w:t>
      </w:r>
      <w:hyperlink r:id="rId27">
        <w:r>
          <w:rPr>
            <w:rStyle w:val="Hyperlink"/>
          </w:rPr>
          <w:t xml:space="preserve">https://www.onetonline.org/find/descriptor/browse/2.A</w:t>
        </w:r>
      </w:hyperlink>
      <w:r>
        <w:t xml:space="preserve">]. With this skill set, we focused our sampling procedure on the academic offerings of a selected group of nine Latin American countries. Among these, four nations are members of the Organization for Economic Co-operation and Development (i.e., Mexico, Costa Rica, Colombia, and Chile), while the remaining five are not (i.e., Argentina, Brazil, Ecuador, Uruguay, and Venezuela). Selecting these countries enables a more effective analysis for future studies focused on comparative educational policies.</w:t>
      </w:r>
    </w:p>
    <w:bookmarkEnd w:id="28"/>
    <w:bookmarkStart w:id="29" w:name="statistical-sample"/>
    <w:p>
      <w:pPr>
        <w:pStyle w:val="Heading2"/>
      </w:pPr>
      <w:r>
        <w:t xml:space="preserve">Statistical sample</w:t>
      </w:r>
    </w:p>
    <w:p>
      <w:pPr>
        <w:pStyle w:val="FirstParagraph"/>
      </w:pPr>
      <w:r>
        <w:t xml:space="preserve">Our sample covers 481 higher education institutions with 3,155 postgraduate programs across nine Latin American countries: Argentina (n = 514), Brazil (n = 922), Chile (n = 208), Colombia (n = 230), Costa Rica (n = 120), Ecuador (n = 731), Mexico (n = 553), Uruguay (n = 147), and Venezuela (n = 210). The sample covers the main UNESCO fields and subdisciplines of science, technology, and innovation, offering a broad regional overview of curriculum design patterns in Latin American postgraduate education. Given the number of countries, universities, and programs sampled, our sample is fairly distant from representing the whole academic offering in the region. Nonetheless, our sample is largely enough to conduct inferential network analyses</w:t>
      </w:r>
      <w:r>
        <w:t xml:space="preserve"> </w:t>
      </w:r>
      <w:r>
        <w:t xml:space="preserve">(Cranmer et al., 2021)</w:t>
      </w:r>
      <w:r>
        <w:t xml:space="preserve">.</w:t>
      </w:r>
    </w:p>
    <w:p>
      <w:pPr>
        <w:pStyle w:val="BodyText"/>
      </w:pPr>
      <w:r>
        <w:t xml:space="preserve">We downloaded program’s brochure in a portable document format (PDF) or MS Word file format to a GitHub repository from the official university websites. Each brochure corresponds to a postgraduate program:</w:t>
      </w:r>
      <w:r>
        <w:t xml:space="preserve"> </w:t>
      </w:r>
      <w:r>
        <w:t xml:space="preserve">“specialization,”</w:t>
      </w:r>
      <w:r>
        <w:t xml:space="preserve"> </w:t>
      </w:r>
      <w:r>
        <w:t xml:space="preserve">“master’s,”</w:t>
      </w:r>
      <w:r>
        <w:t xml:space="preserve"> </w:t>
      </w:r>
      <w:r>
        <w:t xml:space="preserve">and</w:t>
      </w:r>
      <w:r>
        <w:t xml:space="preserve"> </w:t>
      </w:r>
      <w:r>
        <w:t xml:space="preserve">“doctorate.”</w:t>
      </w:r>
      <w:r>
        <w:t xml:space="preserve"> </w:t>
      </w:r>
      <w:r>
        <w:t xml:space="preserve">These categories differentiate their target audience and distinguish the duration of the study plan students should follow before getting their diplomas. While the standard duration for specializations is one year or two academic semesters (except for health-related occupations that can last two or three years), masters require two years or four academic semesters, and doctorates can last at least three years or six academic semesters.</w:t>
      </w:r>
    </w:p>
    <w:bookmarkEnd w:id="29"/>
    <w:bookmarkStart w:id="36" w:name="research-design"/>
    <w:p>
      <w:pPr>
        <w:pStyle w:val="Heading2"/>
      </w:pPr>
      <w:r>
        <w:t xml:space="preserve">Research design</w:t>
      </w:r>
    </w:p>
    <w:p>
      <w:pPr>
        <w:pStyle w:val="FirstParagraph"/>
      </w:pPr>
      <w:r>
        <w:t xml:space="preserve">Our case study has a cross-case synthesis design</w:t>
      </w:r>
      <w:r>
        <w:t xml:space="preserve"> </w:t>
      </w:r>
      <w:r>
        <w:t xml:space="preserve">(Yin, 2018)</w:t>
      </w:r>
      <w:r>
        <w:t xml:space="preserve">, which enables analytical comparison across national contexts through structured synthesis supported by network- based data modeling. This design is particularly appropriate for investigating</w:t>
      </w:r>
      <w:r>
        <w:t xml:space="preserve"> </w:t>
      </w:r>
      <w:r>
        <w:t xml:space="preserve">“how”</w:t>
      </w:r>
      <w:r>
        <w:t xml:space="preserve"> </w:t>
      </w:r>
      <w:r>
        <w:t xml:space="preserve">and</w:t>
      </w:r>
      <w:r>
        <w:t xml:space="preserve"> </w:t>
      </w:r>
      <w:r>
        <w:t xml:space="preserve">“why”</w:t>
      </w:r>
      <w:r>
        <w:t xml:space="preserve"> </w:t>
      </w:r>
      <w:r>
        <w:t xml:space="preserve">questions about contemporary phenomena without requiring experimental control over behavioral events such as university staff advertising or posting new postgraduate programs. Our case study involves an in-depth exploration of a phenomenon within its real-life context, particularly when the boundaries between the phenomenon and its context are not clearly defined. Case studies rely on multiple sources of evidence, and benefit from prior empirical or theoretical propositions that guide data collection and analysis. In this case, institutional data from Webometrics and the O*NET skills taxonomy provided the conceptual and empirical foundations for data collection and analysis.</w:t>
      </w:r>
    </w:p>
    <w:bookmarkStart w:id="30" w:name="research-questions"/>
    <w:p>
      <w:pPr>
        <w:pStyle w:val="Heading3"/>
      </w:pPr>
      <w:r>
        <w:t xml:space="preserve">Research questions</w:t>
      </w:r>
    </w:p>
    <w:p>
      <w:pPr>
        <w:pStyle w:val="FirstParagraph"/>
      </w:pPr>
      <w:r>
        <w:t xml:space="preserve">To guide the analytical design of this study, we formulated a set of research questions that align the conceptual framework with the empirical modeling strategy:</w:t>
      </w:r>
    </w:p>
    <w:p>
      <w:pPr>
        <w:numPr>
          <w:ilvl w:val="0"/>
          <w:numId w:val="1001"/>
        </w:numPr>
      </w:pPr>
      <w:r>
        <w:t xml:space="preserve">RQ1:</w:t>
      </w:r>
      <w:r>
        <w:t xml:space="preserve"> </w:t>
      </w:r>
      <w:r>
        <w:rPr>
          <w:i/>
          <w:iCs/>
        </w:rPr>
        <w:t xml:space="preserve">How does the importance of basic skills vary across Latin American nations?</w:t>
      </w:r>
    </w:p>
    <w:p>
      <w:pPr>
        <w:numPr>
          <w:ilvl w:val="0"/>
          <w:numId w:val="1000"/>
        </w:numPr>
      </w:pPr>
      <w:r>
        <w:t xml:space="preserve">This question addresses an empirical gap in the comparative study of job-related skills across national contexts. While previous research has primarily examined the relevance of such skills within individual countries</w:t>
      </w:r>
      <w:r>
        <w:t xml:space="preserve"> </w:t>
      </w:r>
      <w:r>
        <w:t xml:space="preserve">(Gadár &amp; Abonyi, 2018; García-Chitiva &amp; Correa, 2024; Vista, 2020)</w:t>
      </w:r>
      <w:r>
        <w:t xml:space="preserve">, cross-country comparisons remain limited due to methodological and cultural constraints. To address these challenges, we develop a bipartite network approach that facilitates cross-national comparison of skills and programs as interconnected partitions within Latin American postgraduate offerings where Spanish is the primary language of instruction. To the best of our knowledge, this constitutes the first study of its kind in the existing literature and can be characterized as a cross-case synthesis according to</w:t>
      </w:r>
      <w:r>
        <w:t xml:space="preserve"> </w:t>
      </w:r>
      <w:r>
        <w:t xml:space="preserve">Yin (2018)</w:t>
      </w:r>
      <w:r>
        <w:t xml:space="preserve">.</w:t>
      </w:r>
    </w:p>
    <w:p>
      <w:pPr>
        <w:numPr>
          <w:ilvl w:val="0"/>
          <w:numId w:val="1001"/>
        </w:numPr>
      </w:pPr>
      <w:r>
        <w:t xml:space="preserve">RQ2.</w:t>
      </w:r>
      <w:r>
        <w:t xml:space="preserve"> </w:t>
      </w:r>
      <w:r>
        <w:rPr>
          <w:i/>
          <w:iCs/>
        </w:rPr>
        <w:t xml:space="preserve">What are the top five most central basic skills across the Latin American academic offering?</w:t>
      </w:r>
    </w:p>
    <w:p>
      <w:pPr>
        <w:numPr>
          <w:ilvl w:val="0"/>
          <w:numId w:val="1000"/>
        </w:numPr>
      </w:pPr>
      <w:r>
        <w:t xml:space="preserve">This question explores which basic skills hold the greatest structural prominence across Latin American postgraduate programs. To the best of our knowledge, available evidence suggest that critical thinking, or communication are basic skills with limited important for countries like Colombia</w:t>
      </w:r>
      <w:r>
        <w:t xml:space="preserve"> </w:t>
      </w:r>
      <w:r>
        <w:t xml:space="preserve">(García-Chitiva &amp; Correa, 2024)</w:t>
      </w:r>
      <w:r>
        <w:t xml:space="preserve">. Yet, the evidence about the importance of basic skills in Latin American universities remains neglected in the literature.</w:t>
      </w:r>
    </w:p>
    <w:p>
      <w:pPr>
        <w:numPr>
          <w:ilvl w:val="0"/>
          <w:numId w:val="1001"/>
        </w:numPr>
      </w:pPr>
      <w:r>
        <w:t xml:space="preserve">RQ3.</w:t>
      </w:r>
      <w:r>
        <w:t xml:space="preserve"> </w:t>
      </w:r>
      <w:r>
        <w:rPr>
          <w:i/>
          <w:iCs/>
        </w:rPr>
        <w:t xml:space="preserve">Are there significant differences in the ranking of basic skills across Latin American countries?</w:t>
      </w:r>
    </w:p>
    <w:p>
      <w:pPr>
        <w:numPr>
          <w:ilvl w:val="0"/>
          <w:numId w:val="1000"/>
        </w:numPr>
      </w:pPr>
      <w:r>
        <w:t xml:space="preserve">This question examines whether statistically significant differences exist in the ranking of basic skills among Latin American countries. We test for cross-national variation using inferential network models, based on the idea that educational systems change the skills they focus on depending on their missions and policies.</w:t>
      </w:r>
    </w:p>
    <w:p>
      <w:pPr>
        <w:pStyle w:val="FirstParagraph"/>
      </w:pPr>
      <w:r>
        <w:t xml:space="preserve">In summary, these research questions provide a coherent framework to explore how foundational skills are represented, prioritized, and differentiated across Latin American postgraduate education, linking empirical network analysis with broader discussions on curriculum design and policy alignment.</w:t>
      </w:r>
    </w:p>
    <w:bookmarkEnd w:id="30"/>
    <w:bookmarkStart w:id="31" w:name="research-propositions"/>
    <w:p>
      <w:pPr>
        <w:pStyle w:val="Heading3"/>
      </w:pPr>
      <w:r>
        <w:t xml:space="preserve">Research propositions</w:t>
      </w:r>
    </w:p>
    <w:p>
      <w:pPr>
        <w:pStyle w:val="FirstParagraph"/>
      </w:pPr>
      <w:r>
        <w:t xml:space="preserve">To address the research propositions, we model the relationship between basic skills and programs as an undirected bipartite network. In this structure, nodes from one partition represent skills, while nodes from the other represent postgraduate programs. An edge denotes the explicit presence of a given skill within a specific program description. Since these links are non-directed, there is no need to distinguish in-degree from out-degree connectivity (i.e., we do not differentiate connectivity from node A to B versus node B to A).</w:t>
      </w:r>
    </w:p>
    <w:p>
      <w:pPr>
        <w:pStyle w:val="BodyText"/>
      </w:pPr>
      <w:r>
        <w:t xml:space="preserve">With this model we can analyze the relative importance of basic skills for graduate university programs across sampled countries. To the best of our knowledge, the literature has neglected this characterization of the academic offering. Our central research proposition is that the relative importance of basic skills can be inferred by their network centrality within the structure of a bipartite network that captures the aspects of the academic offefring described previously. The exploratory nature of this research along with the recognition of its lack of statistical representativeness provide the basis for framing our work as a cross-case synthesis</w:t>
      </w:r>
      <w:r>
        <w:t xml:space="preserve"> </w:t>
      </w:r>
      <w:r>
        <w:t xml:space="preserve">(Yin, 2018)</w:t>
      </w:r>
      <w:r>
        <w:t xml:space="preserve">. We should not confuse the absence of statistical representativeness in this context with a lack of rigor. Instead, framing this research as a case study recognizes its intrinsic limitations for any attempt of statistical generalization.</w:t>
      </w:r>
    </w:p>
    <w:bookmarkEnd w:id="31"/>
    <w:bookmarkStart w:id="32" w:name="data-analytic-plan"/>
    <w:p>
      <w:pPr>
        <w:pStyle w:val="Heading3"/>
      </w:pPr>
      <w:r>
        <w:t xml:space="preserve">Data analytic plan</w:t>
      </w:r>
    </w:p>
    <w:p>
      <w:pPr>
        <w:pStyle w:val="FirstParagraph"/>
      </w:pPr>
      <w:r>
        <w:t xml:space="preserve">We combine descriptive and inferential network analyses as complementary parts of the analytic plan. The descriptive analyses aimed to quantify the structural characteristics of the bipartite network of skills and programs by national sub-networks. These procedures were implemented in the R programming language</w:t>
      </w:r>
      <w:r>
        <w:t xml:space="preserve"> </w:t>
      </w:r>
      <w:r>
        <w:t xml:space="preserve">(Luke, 2015)</w:t>
      </w:r>
      <w:r>
        <w:t xml:space="preserve"> </w:t>
      </w:r>
      <w:r>
        <w:t xml:space="preserve">using igraph</w:t>
      </w:r>
      <w:r>
        <w:t xml:space="preserve"> </w:t>
      </w:r>
      <w:r>
        <w:t xml:space="preserve">(Csardi &amp; Nepusz, 2006)</w:t>
      </w:r>
      <w:r>
        <w:t xml:space="preserve">, and network</w:t>
      </w:r>
      <w:r>
        <w:t xml:space="preserve"> </w:t>
      </w:r>
      <w:r>
        <w:t xml:space="preserve">(Butts, 2008)</w:t>
      </w:r>
      <w:r>
        <w:t xml:space="preserve">. The inferential network analyses were also conducted in R, relying on state-of-the-art algorithms of exponential random graph modeling</w:t>
      </w:r>
      <w:r>
        <w:t xml:space="preserve"> </w:t>
      </w:r>
      <w:r>
        <w:t xml:space="preserve">(Lusher et al., 2013)</w:t>
      </w:r>
      <w:r>
        <w:t xml:space="preserve"> </w:t>
      </w:r>
      <w:r>
        <w:t xml:space="preserve">through the library ergm</w:t>
      </w:r>
      <w:r>
        <w:t xml:space="preserve"> </w:t>
      </w:r>
      <w:r>
        <w:t xml:space="preserve">(Krivitsky et al., 2023)</w:t>
      </w:r>
      <w:r>
        <w:t xml:space="preserve">.</w:t>
      </w:r>
    </w:p>
    <w:p>
      <w:pPr>
        <w:pStyle w:val="BodyText"/>
      </w:pPr>
      <w:r>
        <w:t xml:space="preserve">Our approach provides a robust statistical framework to understand the network structure of the academic offering of basic skills in the region. In this context, exponential random graph models (ERGM) provide a good choice for cases where the outcome of interest is the presence or absence of edges</w:t>
      </w:r>
      <w:r>
        <w:t xml:space="preserve"> </w:t>
      </w:r>
      <w:r>
        <w:t xml:space="preserve">(Cranmer et al., 2021)</w:t>
      </w:r>
      <w:r>
        <w:t xml:space="preserve">. The major advantage of these models is that they can scrutinize how edges depend on each other by distinguishing between exogenous and endogenous effects. According to</w:t>
      </w:r>
      <w:r>
        <w:t xml:space="preserve"> </w:t>
      </w:r>
      <w:r>
        <w:t xml:space="preserve">Cranmer et al. (2021)</w:t>
      </w:r>
      <w:r>
        <w:t xml:space="preserve">, exogeneous factors are those occurring outside the outcome network. In our case study, exogenous factors include the length of program brochure, the target audience of prorams (e.g., specialization, master’s, PhD), or whether the sampled country is an OECD member. In contrast, endogeneous factors are those dependencies among the ties. For example, in our case study, an endogeneous factor is the popularity of a given skill based on the number of connections it has with university programs.</w:t>
      </w:r>
    </w:p>
    <w:p>
      <w:pPr>
        <w:pStyle w:val="BodyText"/>
      </w:pPr>
      <w:r>
        <w:t xml:space="preserve">We formalized the relationship between skills and programs as a rectangular skills-programs matrix</w:t>
      </w:r>
      <w:r>
        <w:t xml:space="preserve"> </w:t>
      </w:r>
      <m:oMath>
        <m:r>
          <m:t>Y</m:t>
        </m:r>
        <m:r>
          <m:rPr>
            <m:sty m:val="p"/>
          </m:rPr>
          <m:t>=</m:t>
        </m:r>
        <m:d>
          <m:dPr>
            <m:begChr m:val="("/>
            <m:sepChr m:val=""/>
            <m:endChr m:val=")"/>
            <m:grow/>
          </m:dPr>
          <m:e>
            <m:r>
              <m:t>R</m:t>
            </m:r>
            <m:r>
              <m:rPr>
                <m:sty m:val="p"/>
              </m:rPr>
              <m:t>,</m:t>
            </m:r>
            <m:r>
              <m:t>C</m:t>
            </m:r>
            <m:r>
              <m:rPr>
                <m:sty m:val="p"/>
              </m:rPr>
              <m:t>,</m:t>
            </m:r>
            <m:r>
              <m:t>E</m:t>
            </m:r>
          </m:e>
        </m:d>
      </m:oMath>
      <w:r>
        <w:t xml:space="preserve">, where skills</w:t>
      </w:r>
      <w:r>
        <w:t xml:space="preserve"> </w:t>
      </w:r>
      <m:oMath>
        <m:d>
          <m:dPr>
            <m:begChr m:val="("/>
            <m:sepChr m:val=""/>
            <m:endChr m:val=")"/>
            <m:grow/>
          </m:dPr>
          <m:e>
            <m:r>
              <m:t>R</m:t>
            </m:r>
          </m:e>
        </m:d>
      </m:oMath>
      <w:r>
        <w:t xml:space="preserve"> </w:t>
      </w:r>
      <w:r>
        <w:t xml:space="preserve">and programs</w:t>
      </w:r>
      <w:r>
        <w:t xml:space="preserve"> </w:t>
      </w:r>
      <m:oMath>
        <m:d>
          <m:dPr>
            <m:begChr m:val="("/>
            <m:sepChr m:val=""/>
            <m:endChr m:val=")"/>
            <m:grow/>
          </m:dPr>
          <m:e>
            <m:r>
              <m:t>C</m:t>
            </m:r>
          </m:e>
        </m:d>
      </m:oMath>
      <w:r>
        <w:t xml:space="preserve"> </w:t>
      </w:r>
      <w:r>
        <w:t xml:space="preserve">form two distinct node sets connected through the edge set</w:t>
      </w:r>
      <w:r>
        <w:t xml:space="preserve"> </w:t>
      </w:r>
      <m:oMath>
        <m:r>
          <m:t>E</m:t>
        </m:r>
      </m:oMath>
      <w:r>
        <w:t xml:space="preserve">, and</w:t>
      </w:r>
      <w:r>
        <w:t xml:space="preserve"> </w:t>
      </w:r>
      <m:oMath>
        <m:r>
          <m:t>E</m:t>
        </m:r>
        <m:r>
          <m:rPr>
            <m:sty m:val="p"/>
          </m:rPr>
          <m:t>⊆</m:t>
        </m:r>
        <m:r>
          <m:t>R</m:t>
        </m:r>
        <m:r>
          <m:rPr>
            <m:sty m:val="p"/>
          </m:rPr>
          <m:t>×</m:t>
        </m:r>
        <m:r>
          <m:t>C</m:t>
        </m:r>
      </m:oMath>
      <w:r>
        <w:t xml:space="preserve">. Each cell</w:t>
      </w:r>
      <w:r>
        <w:t xml:space="preserve"> </w:t>
      </w:r>
      <m:oMath>
        <m:sSub>
          <m:e>
            <m:r>
              <m:t>E</m:t>
            </m:r>
          </m:e>
          <m:sub>
            <m:r>
              <m:t>i</m:t>
            </m:r>
            <m:r>
              <m:rPr>
                <m:sty m:val="p"/>
              </m:rPr>
              <m:t>,</m:t>
            </m:r>
            <m:r>
              <m:t>j</m:t>
            </m:r>
          </m:sub>
        </m:sSub>
      </m:oMath>
      <w:r>
        <w:t xml:space="preserve"> </w:t>
      </w:r>
      <w:r>
        <w:t xml:space="preserve">indicates whether skill</w:t>
      </w:r>
      <w:r>
        <w:t xml:space="preserve"> </w:t>
      </w:r>
      <m:oMath>
        <m:r>
          <m:t>i</m:t>
        </m:r>
      </m:oMath>
      <w:r>
        <w:t xml:space="preserve"> </w:t>
      </w:r>
      <w:r>
        <w:t xml:space="preserve">appears in program</w:t>
      </w:r>
      <w:r>
        <w:t xml:space="preserve"> </w:t>
      </w:r>
      <m:oMath>
        <m:r>
          <m:t>j</m:t>
        </m:r>
      </m:oMath>
      <w:r>
        <w:t xml:space="preserve">. In simpler terms,</w:t>
      </w:r>
      <w:r>
        <w:t xml:space="preserve"> </w:t>
      </w:r>
      <m:oMath>
        <m:r>
          <m:t>E</m:t>
        </m:r>
      </m:oMath>
      <w:r>
        <w:t xml:space="preserve"> </w:t>
      </w:r>
      <w:r>
        <w:t xml:space="preserve">represents that a given skill is tied or connected with a given program because its name is explicitly described or mentioned in the program (e.g., ``</w:t>
      </w:r>
      <w:r>
        <w:t xml:space="preserve">’’). In</w:t>
      </w:r>
      <w:r>
        <w:t xml:space="preserve"> </w:t>
      </w:r>
      <m:oMath>
        <m:r>
          <m:t>Y</m:t>
        </m:r>
      </m:oMath>
      <w:r>
        <w:t xml:space="preserve">, cell entries can take several values. A value of 1 indicates the presence of a skill in a program, while a value of 0 indicates its absence. Values of 2 or higher represent the frequency with which the skill is mentioned. The analyst can decide to feed</w:t>
      </w:r>
      <w:r>
        <w:t xml:space="preserve"> </w:t>
      </w:r>
      <m:oMath>
        <m:r>
          <m:t>Y</m:t>
        </m:r>
      </m:oMath>
      <w:r>
        <w:t xml:space="preserve"> </w:t>
      </w:r>
      <w:r>
        <w:t xml:space="preserve">with binary entries (i.e., only 0/1) or frequencies. In the first case,</w:t>
      </w:r>
      <w:r>
        <w:t xml:space="preserve"> </w:t>
      </w:r>
      <m:oMath>
        <m:r>
          <m:t>Y</m:t>
        </m:r>
      </m:oMath>
      <w:r>
        <w:t xml:space="preserve"> </w:t>
      </w:r>
      <w:r>
        <w:t xml:space="preserve">is known as binary bipartite network, and in the latter is known as a weighted bipartite network.</w:t>
      </w:r>
    </w:p>
    <w:p>
      <w:pPr>
        <w:pStyle w:val="BodyText"/>
      </w:pPr>
      <w:r>
        <w:t xml:space="preserve">Following</w:t>
      </w:r>
      <w:r>
        <w:t xml:space="preserve"> </w:t>
      </w:r>
      <w:r>
        <w:t xml:space="preserve">Kevork &amp; Kauermann (2022)</w:t>
      </w:r>
      <w:r>
        <w:t xml:space="preserve">, we model the probability of observing a given skills-programs network</w:t>
      </w:r>
      <w:r>
        <w:t xml:space="preserve"> </w:t>
      </w:r>
      <m:oMath>
        <m:r>
          <m:t>Y</m:t>
        </m:r>
      </m:oMath>
      <w:r>
        <w:t xml:space="preserve"> </w:t>
      </w:r>
      <w:r>
        <w:t xml:space="preserve">using an exponential random graph model, defined as:</w:t>
      </w:r>
    </w:p>
    <w:p>
      <w:pPr>
        <w:pStyle w:val="BodyText"/>
      </w:pPr>
      <m:oMathPara>
        <m:oMathParaPr>
          <m:jc m:val="center"/>
        </m:oMathParaPr>
        <m:oMath>
          <m:r>
            <m:t>P</m:t>
          </m:r>
          <m:d>
            <m:dPr>
              <m:begChr m:val="("/>
              <m:sepChr m:val=""/>
              <m:endChr m:val=")"/>
              <m:grow/>
            </m:dPr>
            <m:e>
              <m:r>
                <m:t>Y</m:t>
              </m:r>
              <m:r>
                <m:rPr>
                  <m:sty m:val="p"/>
                </m:rPr>
                <m:t>=</m:t>
              </m:r>
              <m:r>
                <m:t>y</m:t>
              </m:r>
              <m:r>
                <m:rPr>
                  <m:sty m:val="p"/>
                </m:rPr>
                <m:t>|</m:t>
              </m:r>
              <m:r>
                <m:t>θ</m:t>
              </m:r>
              <m:r>
                <m:rPr>
                  <m:sty m:val="p"/>
                </m:rPr>
                <m:t>,</m:t>
              </m:r>
              <m:r>
                <m:t>u</m:t>
              </m:r>
              <m:r>
                <m:rPr>
                  <m:sty m:val="p"/>
                </m:rPr>
                <m:t>,</m:t>
              </m:r>
              <m:r>
                <m:t>v</m:t>
              </m:r>
            </m:e>
          </m:d>
          <m:r>
            <m:rPr>
              <m:sty m:val="p"/>
            </m:rPr>
            <m:t>=</m:t>
          </m:r>
          <m:f>
            <m:fPr>
              <m:type m:val="bar"/>
            </m:fPr>
            <m:num>
              <m:r>
                <m:t>e</m:t>
              </m:r>
              <m:r>
                <m:t>x</m:t>
              </m:r>
              <m:r>
                <m:t>p</m:t>
              </m:r>
              <m:d>
                <m:dPr>
                  <m:begChr m:val="{"/>
                  <m:sepChr m:val=""/>
                  <m:endChr m:val="}"/>
                  <m:grow/>
                </m:dPr>
                <m:e>
                  <m:sSup>
                    <m:e>
                      <m:r>
                        <m:t>θ</m:t>
                      </m:r>
                    </m:e>
                    <m:sup>
                      <m:r>
                        <m:t>T</m:t>
                      </m:r>
                    </m:sup>
                  </m:sSup>
                  <m:r>
                    <m:t>s</m:t>
                  </m:r>
                  <m:d>
                    <m:dPr>
                      <m:begChr m:val="("/>
                      <m:sepChr m:val=""/>
                      <m:endChr m:val=")"/>
                      <m:grow/>
                    </m:dPr>
                    <m:e>
                      <m:r>
                        <m:t>y</m:t>
                      </m:r>
                    </m:e>
                  </m:d>
                  <m:r>
                    <m:rPr>
                      <m:sty m:val="p"/>
                    </m:rPr>
                    <m:t>+</m:t>
                  </m:r>
                  <m:sSup>
                    <m:e>
                      <m:r>
                        <m:t>u</m:t>
                      </m:r>
                    </m:e>
                    <m:sup>
                      <m:r>
                        <m:t>T</m:t>
                      </m:r>
                    </m:sup>
                  </m:sSup>
                  <m:r>
                    <m:t>r</m:t>
                  </m:r>
                  <m:d>
                    <m:dPr>
                      <m:begChr m:val="("/>
                      <m:sepChr m:val=""/>
                      <m:endChr m:val=")"/>
                      <m:grow/>
                    </m:dPr>
                    <m:e>
                      <m:r>
                        <m:t>y</m:t>
                      </m:r>
                    </m:e>
                  </m:d>
                  <m:r>
                    <m:rPr>
                      <m:sty m:val="p"/>
                    </m:rPr>
                    <m:t>+</m:t>
                  </m:r>
                  <m:sSup>
                    <m:e>
                      <m:r>
                        <m:t>v</m:t>
                      </m:r>
                    </m:e>
                    <m:sup>
                      <m:r>
                        <m:t>T</m:t>
                      </m:r>
                    </m:sup>
                  </m:sSup>
                  <m:r>
                    <m:t>c</m:t>
                  </m:r>
                  <m:d>
                    <m:dPr>
                      <m:begChr m:val="("/>
                      <m:sepChr m:val=""/>
                      <m:endChr m:val=")"/>
                      <m:grow/>
                    </m:dPr>
                    <m:e>
                      <m:r>
                        <m:t>y</m:t>
                      </m:r>
                    </m:e>
                  </m:d>
                </m:e>
              </m:d>
            </m:num>
            <m:den>
              <m:r>
                <m:t>κ</m:t>
              </m:r>
              <m:d>
                <m:dPr>
                  <m:begChr m:val="("/>
                  <m:sepChr m:val=""/>
                  <m:endChr m:val=")"/>
                  <m:grow/>
                </m:dPr>
                <m:e>
                  <m:r>
                    <m:t>θ</m:t>
                  </m:r>
                  <m:r>
                    <m:rPr>
                      <m:sty m:val="p"/>
                    </m:rPr>
                    <m:t>,</m:t>
                  </m:r>
                  <m:r>
                    <m:t>u</m:t>
                  </m:r>
                  <m:r>
                    <m:rPr>
                      <m:sty m:val="p"/>
                    </m:rPr>
                    <m:t>,</m:t>
                  </m:r>
                  <m:r>
                    <m:t>v</m:t>
                  </m:r>
                </m:e>
              </m:d>
            </m:den>
          </m:f>
        </m:oMath>
      </m:oMathPara>
    </w:p>
    <w:p>
      <w:pPr>
        <w:pStyle w:val="FirstParagraph"/>
      </w:pPr>
      <w:r>
        <w:t xml:space="preserve">where</w:t>
      </w:r>
      <w:r>
        <w:t xml:space="preserve"> </w:t>
      </w:r>
      <m:oMath>
        <m:r>
          <m:t>θ</m:t>
        </m:r>
        <m:r>
          <m:rPr>
            <m:sty m:val="p"/>
          </m:rPr>
          <m:t>∈</m:t>
        </m:r>
        <m:sSup>
          <m:e>
            <m:r>
              <m:rPr>
                <m:sty m:val="p"/>
                <m:scr m:val="double-struck"/>
              </m:rPr>
              <m:t>R</m:t>
            </m:r>
          </m:e>
          <m:sup>
            <m:r>
              <m:t>q</m:t>
            </m:r>
          </m:sup>
        </m:sSup>
      </m:oMath>
      <w:r>
        <w:t xml:space="preserve"> </w:t>
      </w:r>
      <w:r>
        <w:t xml:space="preserve">is a</w:t>
      </w:r>
      <w:r>
        <w:t xml:space="preserve"> </w:t>
      </w:r>
      <m:oMath>
        <m:r>
          <m:t>q</m:t>
        </m:r>
      </m:oMath>
      <w:r>
        <w:t xml:space="preserve"> </w:t>
      </w:r>
      <w:r>
        <w:t xml:space="preserve">dimensional parameter vector,</w:t>
      </w:r>
      <w:r>
        <w:t xml:space="preserve"> </w:t>
      </w:r>
      <m:oMath>
        <m:r>
          <m:t>s</m:t>
        </m:r>
        <m:d>
          <m:dPr>
            <m:begChr m:val="("/>
            <m:sepChr m:val=""/>
            <m:endChr m:val=")"/>
            <m:grow/>
          </m:dPr>
          <m:e>
            <m:r>
              <m:t>y</m:t>
            </m:r>
          </m:e>
        </m:d>
        <m:r>
          <m:rPr>
            <m:sty m:val="p"/>
          </m:rPr>
          <m:t>=</m:t>
        </m:r>
        <m:d>
          <m:dPr>
            <m:begChr m:val="("/>
            <m:sepChr m:val=""/>
            <m:endChr m:val=")"/>
            <m:grow/>
          </m:dPr>
          <m:e>
            <m:sSub>
              <m:e>
                <m:r>
                  <m:t>s</m:t>
                </m:r>
              </m:e>
              <m:sub>
                <m:r>
                  <m:t>0</m:t>
                </m:r>
              </m:sub>
            </m:sSub>
            <m:d>
              <m:dPr>
                <m:begChr m:val="("/>
                <m:sepChr m:val=""/>
                <m:endChr m:val=")"/>
                <m:grow/>
              </m:dPr>
              <m:e>
                <m:r>
                  <m:t>y</m:t>
                </m:r>
              </m:e>
            </m:d>
            <m:r>
              <m:rPr>
                <m:sty m:val="p"/>
              </m:rPr>
              <m:t>,</m:t>
            </m:r>
            <m:sSub>
              <m:e>
                <m:r>
                  <m:t>s</m:t>
                </m:r>
              </m:e>
              <m:sub>
                <m:r>
                  <m:t>1</m:t>
                </m:r>
              </m:sub>
            </m:sSub>
            <m:d>
              <m:dPr>
                <m:begChr m:val="("/>
                <m:sepChr m:val=""/>
                <m:endChr m:val=")"/>
                <m:grow/>
              </m:dPr>
              <m:e>
                <m:r>
                  <m:t>y</m:t>
                </m:r>
              </m:e>
            </m:d>
            <m:r>
              <m:rPr>
                <m:sty m:val="p"/>
              </m:rPr>
              <m:t>,</m:t>
            </m:r>
            <m:r>
              <m:rPr>
                <m:sty m:val="p"/>
              </m:rPr>
              <m:t>.</m:t>
            </m:r>
            <m:r>
              <m:rPr>
                <m:sty m:val="p"/>
              </m:rPr>
              <m:t>.</m:t>
            </m:r>
            <m:r>
              <m:rPr>
                <m:sty m:val="p"/>
              </m:rPr>
              <m:t>.</m:t>
            </m:r>
          </m:e>
        </m:d>
      </m:oMath>
      <w:r>
        <w:t xml:space="preserve"> </w:t>
      </w:r>
      <w:r>
        <w:t xml:space="preserve">is a</w:t>
      </w:r>
      <w:r>
        <w:t xml:space="preserve"> </w:t>
      </w:r>
      <m:oMath>
        <m:r>
          <m:t>q</m:t>
        </m:r>
      </m:oMath>
      <w:r>
        <w:t xml:space="preserve"> </w:t>
      </w:r>
      <w:r>
        <w:t xml:space="preserve">dimensional vector of network statistics with</w:t>
      </w:r>
      <w:r>
        <w:t xml:space="preserve"> </w:t>
      </w:r>
      <m:oMath>
        <m:sSub>
          <m:e>
            <m:r>
              <m:t>s</m:t>
            </m:r>
          </m:e>
          <m:sub>
            <m:r>
              <m:t>0</m:t>
            </m:r>
          </m:sub>
        </m:sSub>
        <m:d>
          <m:dPr>
            <m:begChr m:val="("/>
            <m:sepChr m:val=""/>
            <m:endChr m:val=")"/>
            <m:grow/>
          </m:dPr>
          <m:e>
            <m:r>
              <m:t>y</m:t>
            </m:r>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y</m:t>
                    </m:r>
                  </m:e>
                  <m:sub>
                    <m:r>
                      <m:t>i</m:t>
                    </m:r>
                    <m:r>
                      <m:rPr>
                        <m:sty m:val="p"/>
                      </m:rPr>
                      <m:t>,</m:t>
                    </m:r>
                    <m:r>
                      <m:t>j</m:t>
                    </m:r>
                  </m:sub>
                </m:sSub>
              </m:e>
            </m:nary>
          </m:e>
        </m:nary>
      </m:oMath>
      <w:r>
        <w:t xml:space="preserve"> </w:t>
      </w:r>
      <w:r>
        <w:t xml:space="preserve">and</w:t>
      </w:r>
      <w:r>
        <w:t xml:space="preserve"> </w:t>
      </w:r>
      <m:oMath>
        <m:r>
          <m:t>r</m:t>
        </m:r>
        <m:d>
          <m:dPr>
            <m:begChr m:val="("/>
            <m:sepChr m:val=""/>
            <m:endChr m:val=")"/>
            <m:grow/>
          </m:dPr>
          <m:e>
            <m:r>
              <m:t>y</m:t>
            </m:r>
          </m:e>
        </m:d>
        <m:r>
          <m:rPr>
            <m:sty m:val="p"/>
          </m:rPr>
          <m:t>=</m:t>
        </m:r>
        <m:d>
          <m:dPr>
            <m:begChr m:val="("/>
            <m:sepChr m:val=""/>
            <m:endChr m:val=")"/>
            <m:grow/>
          </m:dPr>
          <m:e>
            <m:nary>
              <m:naryPr>
                <m:chr m:val="∑"/>
                <m:limLoc m:val="undOvr"/>
                <m:subHide m:val="off"/>
                <m:supHide m:val="off"/>
              </m:naryPr>
              <m:sub>
                <m:r>
                  <m:t>j</m:t>
                </m:r>
                <m:r>
                  <m:rPr>
                    <m:sty m:val="p"/>
                  </m:rPr>
                  <m:t>=</m:t>
                </m:r>
                <m:r>
                  <m:t>1</m:t>
                </m:r>
              </m:sub>
              <m:sup>
                <m:r>
                  <m:t>m</m:t>
                </m:r>
              </m:sup>
              <m:e>
                <m:sSub>
                  <m:e>
                    <m:r>
                      <m:t>y</m:t>
                    </m:r>
                  </m:e>
                  <m:sub>
                    <m:r>
                      <m:t>1</m:t>
                    </m:r>
                    <m:r>
                      <m:t>j</m:t>
                    </m:r>
                  </m:sub>
                </m:sSub>
              </m:e>
            </m:nary>
            <m:r>
              <m:rPr>
                <m:sty m:val="p"/>
              </m:rPr>
              <m:t>,</m:t>
            </m:r>
            <m:nary>
              <m:naryPr>
                <m:chr m:val="∑"/>
                <m:limLoc m:val="undOvr"/>
                <m:subHide m:val="off"/>
                <m:supHide m:val="off"/>
              </m:naryPr>
              <m:sub>
                <m:r>
                  <m:t>j</m:t>
                </m:r>
                <m:r>
                  <m:rPr>
                    <m:sty m:val="p"/>
                  </m:rPr>
                  <m:t>=</m:t>
                </m:r>
                <m:r>
                  <m:t>1</m:t>
                </m:r>
              </m:sub>
              <m:sup>
                <m:r>
                  <m:t>m</m:t>
                </m:r>
              </m:sup>
              <m:e>
                <m:sSub>
                  <m:e>
                    <m:r>
                      <m:t>y</m:t>
                    </m:r>
                  </m:e>
                  <m:sub>
                    <m:r>
                      <m:t>2</m:t>
                    </m:r>
                    <m:r>
                      <m:t>j</m:t>
                    </m:r>
                  </m:sub>
                </m:sSub>
              </m:e>
            </m:nary>
            <m:r>
              <m:rPr>
                <m:sty m:val="p"/>
              </m:rPr>
              <m:t>.</m:t>
            </m:r>
            <m:r>
              <m:rPr>
                <m:sty m:val="p"/>
              </m:rPr>
              <m:t>.</m:t>
            </m:r>
            <m:r>
              <m:rPr>
                <m:sty m:val="p"/>
              </m:rPr>
              <m:t>.</m:t>
            </m:r>
          </m:e>
        </m:d>
      </m:oMath>
      <w:r>
        <w:t xml:space="preserve"> </w:t>
      </w:r>
      <w:r>
        <w:t xml:space="preserve">is the</w:t>
      </w:r>
      <w:r>
        <w:t xml:space="preserve"> </w:t>
      </w:r>
      <m:oMath>
        <m:r>
          <m:t>n</m:t>
        </m:r>
      </m:oMath>
      <w:r>
        <w:t xml:space="preserve"> </w:t>
      </w:r>
      <w:r>
        <w:t xml:space="preserve">dimensional vector of node degrees in</w:t>
      </w:r>
      <w:r>
        <w:t xml:space="preserve"> </w:t>
      </w:r>
      <m:oMath>
        <m:r>
          <m:t>R</m:t>
        </m:r>
      </m:oMath>
      <w:r>
        <w:t xml:space="preserve"> </w:t>
      </w:r>
      <w:r>
        <w:t xml:space="preserve">and</w:t>
      </w:r>
      <w:r>
        <w:t xml:space="preserve"> </w:t>
      </w:r>
      <m:oMath>
        <m:r>
          <m:t>c</m:t>
        </m:r>
        <m:d>
          <m:dPr>
            <m:begChr m:val="("/>
            <m:sepChr m:val=""/>
            <m:endChr m:val=")"/>
            <m:grow/>
          </m:dPr>
          <m:e>
            <m:r>
              <m:t>y</m:t>
            </m:r>
          </m:e>
        </m:d>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y</m:t>
                    </m:r>
                  </m:e>
                  <m:sub>
                    <m:r>
                      <m:t>i</m:t>
                    </m:r>
                    <m:r>
                      <m:t>1</m:t>
                    </m:r>
                  </m:sub>
                </m:sSub>
              </m:e>
            </m:nary>
            <m:r>
              <m:rPr>
                <m:sty m:val="p"/>
              </m:rPr>
              <m:t>,</m:t>
            </m:r>
            <m:nary>
              <m:naryPr>
                <m:chr m:val="∑"/>
                <m:limLoc m:val="undOvr"/>
                <m:subHide m:val="off"/>
                <m:supHide m:val="off"/>
              </m:naryPr>
              <m:sub>
                <m:r>
                  <m:t>i</m:t>
                </m:r>
                <m:r>
                  <m:rPr>
                    <m:sty m:val="p"/>
                  </m:rPr>
                  <m:t>=</m:t>
                </m:r>
                <m:r>
                  <m:t>1</m:t>
                </m:r>
              </m:sub>
              <m:sup>
                <m:r>
                  <m:t>n</m:t>
                </m:r>
              </m:sup>
              <m:e>
                <m:sSub>
                  <m:e>
                    <m:r>
                      <m:t>y</m:t>
                    </m:r>
                  </m:e>
                  <m:sub>
                    <m:r>
                      <m:t>i</m:t>
                    </m:r>
                    <m:r>
                      <m:t>2</m:t>
                    </m:r>
                  </m:sub>
                </m:sSub>
              </m:e>
            </m:nary>
            <m:r>
              <m:rPr>
                <m:sty m:val="p"/>
              </m:rPr>
              <m:t>,</m:t>
            </m:r>
            <m:r>
              <m:rPr>
                <m:sty m:val="p"/>
              </m:rPr>
              <m:t>.</m:t>
            </m:r>
            <m:r>
              <m:rPr>
                <m:sty m:val="p"/>
              </m:rPr>
              <m:t>.</m:t>
            </m:r>
            <m:r>
              <m:rPr>
                <m:sty m:val="p"/>
              </m:rPr>
              <m:t>.</m:t>
            </m:r>
          </m:e>
        </m:d>
      </m:oMath>
      <w:r>
        <w:t xml:space="preserve"> </w:t>
      </w:r>
      <w:r>
        <w:t xml:space="preserve">is the</w:t>
      </w:r>
      <w:r>
        <w:t xml:space="preserve"> </w:t>
      </w:r>
      <m:oMath>
        <m:r>
          <m:t>m</m:t>
        </m:r>
      </m:oMath>
      <w:r>
        <w:t xml:space="preserve"> </w:t>
      </w:r>
      <w:r>
        <w:t xml:space="preserve">dimensional vector of node degrees in</w:t>
      </w:r>
      <w:r>
        <w:t xml:space="preserve"> </w:t>
      </w:r>
      <m:oMath>
        <m:r>
          <m:t>C</m:t>
        </m:r>
      </m:oMath>
      <w:r>
        <w:t xml:space="preserve">. The</w:t>
      </w:r>
      <w:r>
        <w:t xml:space="preserve"> </w:t>
      </w:r>
      <m:oMath>
        <m:r>
          <m:t>κ</m:t>
        </m:r>
        <m:d>
          <m:dPr>
            <m:begChr m:val="("/>
            <m:sepChr m:val=""/>
            <m:endChr m:val=")"/>
            <m:grow/>
          </m:dPr>
          <m:e>
            <m:r>
              <m:t>θ</m:t>
            </m:r>
            <m:r>
              <m:rPr>
                <m:sty m:val="p"/>
              </m:rPr>
              <m:t>,</m:t>
            </m:r>
            <m:r>
              <m:t>u</m:t>
            </m:r>
            <m:r>
              <m:rPr>
                <m:sty m:val="p"/>
              </m:rPr>
              <m:t>,</m:t>
            </m:r>
            <m:r>
              <m:t>v</m:t>
            </m:r>
          </m:e>
        </m:d>
      </m:oMath>
      <w:r>
        <w:t xml:space="preserve"> </w:t>
      </w:r>
      <w:r>
        <w:t xml:space="preserve">is a normalizing factor that ensures that</w:t>
      </w:r>
      <w:r>
        <w:t xml:space="preserve"> </w:t>
      </w:r>
      <m:oMath>
        <m:r>
          <m:t>P</m:t>
        </m:r>
        <m:d>
          <m:dPr>
            <m:begChr m:val="("/>
            <m:sepChr m:val=""/>
            <m:endChr m:val=")"/>
            <m:grow/>
          </m:dPr>
          <m:e>
            <m:r>
              <m:t>Y</m:t>
            </m:r>
            <m:r>
              <m:rPr>
                <m:sty m:val="p"/>
              </m:rPr>
              <m:t>=</m:t>
            </m:r>
            <m:r>
              <m:t>y</m:t>
            </m:r>
            <m:r>
              <m:rPr>
                <m:sty m:val="p"/>
              </m:rPr>
              <m:t>|</m:t>
            </m:r>
            <m:r>
              <m:t>θ</m:t>
            </m:r>
            <m:r>
              <m:rPr>
                <m:sty m:val="p"/>
              </m:rPr>
              <m:t>,</m:t>
            </m:r>
            <m:r>
              <m:t>u</m:t>
            </m:r>
            <m:r>
              <m:rPr>
                <m:sty m:val="p"/>
              </m:rPr>
              <m:t>,</m:t>
            </m:r>
            <m:r>
              <m:t>v</m:t>
            </m:r>
          </m:e>
        </m:d>
      </m:oMath>
      <w:r>
        <w:t xml:space="preserve"> </w:t>
      </w:r>
      <w:r>
        <w:t xml:space="preserve">is a legitimate probability mass function.</w:t>
      </w:r>
    </w:p>
    <w:p>
      <w:pPr>
        <w:pStyle w:val="BodyText"/>
      </w:pPr>
      <w:r>
        <w:t xml:space="preserve">In this framework, the vector</w:t>
      </w:r>
      <w:r>
        <w:t xml:space="preserve"> </w:t>
      </w:r>
      <m:oMath>
        <m:r>
          <m:t>s</m:t>
        </m:r>
        <m:d>
          <m:dPr>
            <m:begChr m:val="("/>
            <m:sepChr m:val=""/>
            <m:endChr m:val=")"/>
            <m:grow/>
          </m:dPr>
          <m:e>
            <m:r>
              <m:t>y</m:t>
            </m:r>
          </m:e>
        </m:d>
      </m:oMath>
      <w:r>
        <w:t xml:space="preserve"> </w:t>
      </w:r>
      <w:r>
        <w:t xml:space="preserve">includes structural configurations of the bipartite network (i.e., endogenous factors), and can be extended to</w:t>
      </w:r>
      <w:r>
        <w:t xml:space="preserve"> </w:t>
      </w:r>
      <m:oMath>
        <m:r>
          <m:t>s</m:t>
        </m:r>
        <m:d>
          <m:dPr>
            <m:begChr m:val="("/>
            <m:sepChr m:val=""/>
            <m:endChr m:val=")"/>
            <m:grow/>
          </m:dPr>
          <m:e>
            <m:r>
              <m:t>y</m:t>
            </m:r>
            <m:r>
              <m:rPr>
                <m:sty m:val="p"/>
              </m:rPr>
              <m:t>,</m:t>
            </m:r>
            <m:r>
              <m:t>X</m:t>
            </m:r>
          </m:e>
        </m:d>
      </m:oMath>
      <w:r>
        <w:t xml:space="preserve"> </w:t>
      </w:r>
      <w:r>
        <w:t xml:space="preserve">should covariates</w:t>
      </w:r>
      <w:r>
        <w:t xml:space="preserve"> </w:t>
      </w:r>
      <m:oMath>
        <m:r>
          <m:t>X</m:t>
        </m:r>
      </m:oMath>
      <w:r>
        <w:t xml:space="preserve"> </w:t>
      </w:r>
      <w:r>
        <w:t xml:space="preserve">are included in the model as exogenous factors that may affect the connection between our two network partitions</w:t>
      </w:r>
      <w:r>
        <w:t xml:space="preserve"> </w:t>
      </w:r>
      <w:r>
        <w:t xml:space="preserve">. These parameters collectively define the structural tendencies that shape how skills are embedded in postgraduate curricula across Latin American universities.</w:t>
      </w:r>
    </w:p>
    <w:p>
      <w:pPr>
        <w:pStyle w:val="BodyText"/>
      </w:pPr>
      <w:r>
        <w:t xml:space="preserve">The descriptive and inferential procedures proposed allow us to identify both structural regularities and statistically significant determinants underlying the configuration of skill-program networks, providing the foundation for the results presented in section</w:t>
      </w:r>
      <w:r>
        <w:t xml:space="preserve"> </w:t>
      </w:r>
      <w:r>
        <w:t xml:space="preserve">.</w:t>
      </w:r>
    </w:p>
    <w:bookmarkEnd w:id="32"/>
    <w:bookmarkStart w:id="33" w:name="criteria-for-interpreting-the-findings"/>
    <w:p>
      <w:pPr>
        <w:pStyle w:val="Heading3"/>
      </w:pPr>
      <w:r>
        <w:t xml:space="preserve">Criteria for interpreting the findings</w:t>
      </w:r>
    </w:p>
    <w:p>
      <w:pPr>
        <w:pStyle w:val="FirstParagraph"/>
      </w:pPr>
      <w:r>
        <w:t xml:space="preserve">To ensure analytical rigor in the interpretation of model estimates, we followed the standard criteria commonly applied in ERGM-based research</w:t>
      </w:r>
      <w:r>
        <w:t xml:space="preserve"> </w:t>
      </w:r>
      <w:r>
        <w:t xml:space="preserve">(Cranmer et al., 2021; Lusher et al., 2013)</w:t>
      </w:r>
      <w:r>
        <w:t xml:space="preserve">. Our analysis focuses on the sign, magnitude, and statistical significance (e.g., p-values) of estimated parameters, as well as the overall goodness-of-fit of the model specification.</w:t>
      </w:r>
    </w:p>
    <w:p>
      <w:pPr>
        <w:pStyle w:val="BodyText"/>
      </w:pPr>
      <w:r>
        <w:t xml:space="preserve">A positive coefficient indicates that the corresponding structural or covariate term increases the likelihood of a skill–program tie, whereas a negative coefficient suggests a suppressive effect relative to random tie formation. The analysis also examines how these coefficients vary across alternative model specifications to assess parameter stability.</w:t>
      </w:r>
    </w:p>
    <w:p>
      <w:pPr>
        <w:pStyle w:val="BodyText"/>
      </w:pPr>
      <w:r>
        <w:t xml:space="preserve">Because parameter estimates can depend on model terms and estimation settings, we evaluate robustness through convergence diagnostics, model fit statistics, and checks for potential degeneracy</w:t>
      </w:r>
      <w:r>
        <w:t xml:space="preserve"> </w:t>
      </w:r>
      <w:r>
        <w:t xml:space="preserve">(Lusher et al., 2013)</w:t>
      </w:r>
      <w:r>
        <w:t xml:space="preserve">. When parameter estimates are consistent across models, this stability enhances the interpretive validity of the results. However, such consistency is interpreted cautiously, emphasizing analytical rather than statistical generalization.</w:t>
      </w:r>
    </w:p>
    <w:p>
      <w:pPr>
        <w:pStyle w:val="BodyText"/>
      </w:pPr>
      <w:r>
        <w:t xml:space="preserve">These interpretive criteria guide the evaluation of results presented in following section and support the reproducibility of our analyses, which are documented in the supplementary material and GitHub repository.</w:t>
      </w:r>
    </w:p>
    <w:bookmarkEnd w:id="33"/>
    <w:bookmarkStart w:id="34" w:name="data-pre-processing"/>
    <w:p>
      <w:pPr>
        <w:pStyle w:val="Heading3"/>
      </w:pPr>
      <w:r>
        <w:t xml:space="preserve">Data pre-processing</w:t>
      </w:r>
    </w:p>
    <w:p>
      <w:pPr>
        <w:pStyle w:val="FirstParagraph"/>
      </w:pPr>
      <w:r>
        <w:t xml:space="preserve">The data pre-processing phase was conducted in R using quanteda (Benoit et al., 2018). We parsed 3,155 program brochures to build a digital corpus representing each nation’s academic offering. We tokenized each corpus to build a standard document-feature matrix (DFM). In the tokenization process, we removed symbol punctuations, special characters (e.g.,</w:t>
      </w:r>
      <w:r>
        <w:t xml:space="preserve"> </w:t>
      </w:r>
      <w:r>
        <w:t xml:space="preserve">“@”</w:t>
      </w:r>
      <w:r>
        <w:t xml:space="preserve"> </w:t>
      </w:r>
      <w:r>
        <w:t xml:space="preserve">“http://”</w:t>
      </w:r>
      <w:r>
        <w:t xml:space="preserve"> </w:t>
      </w:r>
      <w:r>
        <w:t xml:space="preserve">“.html”</w:t>
      </w:r>
      <w:r>
        <w:t xml:space="preserve">), numbers, and Spanish stopwords (for all sampled countries) and Portuguese stopwords for the academic offering of Brazil. This cleaning step standardized the corpus and minimized noise from common lexical patterns. After tokenization, we applied a</w:t>
      </w:r>
      <w:r>
        <w:t xml:space="preserve"> </w:t>
      </w:r>
      <w:r>
        <w:rPr>
          <w:i/>
          <w:iCs/>
        </w:rPr>
        <w:t xml:space="preserve">keyword-in-context</w:t>
      </w:r>
      <w:r>
        <w:t xml:space="preserve"> </w:t>
      </w:r>
      <w:r>
        <w:t xml:space="preserve">(KWIC) filter</w:t>
      </w:r>
      <w:r>
        <w:t xml:space="preserve"> </w:t>
      </w:r>
      <w:r>
        <w:t xml:space="preserve">(Benoit et al., 2018)</w:t>
      </w:r>
      <w:r>
        <w:t xml:space="preserve"> </w:t>
      </w:r>
      <w:r>
        <w:t xml:space="preserve">to identify mentions of the ten basic skills defined by O*NET</w:t>
      </w:r>
      <w:r>
        <w:t xml:space="preserve">(National Center for O*NET Development, 2022; Peterson et al., 2001)</w:t>
      </w:r>
      <w:r>
        <w:t xml:space="preserve">. For each skill, a customized dictionary was created including synonyms, bigrams, and related terms. For instance, the skill</w:t>
      </w:r>
      <w:r>
        <w:t xml:space="preserve"> </w:t>
      </w:r>
      <w:r>
        <w:t xml:space="preserve">“science”</w:t>
      </w:r>
      <w:r>
        <w:t xml:space="preserve"> </w:t>
      </w:r>
      <w:r>
        <w:t xml:space="preserve">was associated with expressions such as</w:t>
      </w:r>
      <w:r>
        <w:t xml:space="preserve"> </w:t>
      </w:r>
      <w:r>
        <w:t xml:space="preserve">“scientific method,”</w:t>
      </w:r>
      <w:r>
        <w:t xml:space="preserve"> </w:t>
      </w:r>
      <w:r>
        <w:t xml:space="preserve">“solve problems,”</w:t>
      </w:r>
      <w:r>
        <w:t xml:space="preserve"> </w:t>
      </w:r>
      <w:r>
        <w:t xml:space="preserve">and</w:t>
      </w:r>
      <w:r>
        <w:t xml:space="preserve"> </w:t>
      </w:r>
      <w:r>
        <w:t xml:space="preserve">“scientific knowledge.”</w:t>
      </w:r>
      <w:r>
        <w:t xml:space="preserve"> </w:t>
      </w:r>
      <w:r>
        <w:t xml:space="preserve">This guided search allowed us to locate and quantify every occurrence of each skill in the brochures.</w:t>
      </w:r>
    </w:p>
    <w:p>
      <w:pPr>
        <w:pStyle w:val="BodyText"/>
      </w:pPr>
      <w:r>
        <w:t xml:space="preserve">Here, it is worth to remember that for bipartite networks, nodes in the first partition usually take an action to form the links with nodes subject to that action in the second partition</w:t>
      </w:r>
      <w:r>
        <w:t xml:space="preserve"> </w:t>
      </w:r>
      <w:r>
        <w:t xml:space="preserve">(Borgatti &amp; Everett, 1997)</w:t>
      </w:r>
      <w:r>
        <w:t xml:space="preserve">. Thus, brochures aim to inform prospective students to be aware of the skills and knowledge they can learn when enrolling in a given program. The resulting DFM is a rectangular matrix that coincides with the formal relationship between skills and programs that we introduced in section 3. We used this DFM as input for representing its relational data following the standards of the library network</w:t>
      </w:r>
      <w:r>
        <w:t xml:space="preserve"> </w:t>
      </w:r>
      <w:r>
        <w:t xml:space="preserve">(Butts, 2008)</w:t>
      </w:r>
      <w:r>
        <w:t xml:space="preserve">. A note of warning is relevant in this point. Although the DFM provides skill frequencies in its entries, the network library manages its representation with binary entries. Given our theoretical interest in the association between programs and skills, we proceed to use this relational data representation for network description. We estimate the two-mode clustering coefficient (see supplementary material) or network description purposes, as this approach has proven more accurate estimates for bipartite networks than unipartite projections</w:t>
      </w:r>
      <w:r>
        <w:t xml:space="preserve"> </w:t>
      </w:r>
      <w:r>
        <w:t xml:space="preserve">(Opsahl, 2013)</w:t>
      </w:r>
      <w:r>
        <w:t xml:space="preserve">. In addition, we use the normalized centrality degree to rank skills on a common standardized scale controlling by nation network size. Following the canonic consideration of</w:t>
      </w:r>
      <w:r>
        <w:t xml:space="preserve"> </w:t>
      </w:r>
      <w:r>
        <w:t xml:space="preserve">“actors”</w:t>
      </w:r>
      <w:r>
        <w:t xml:space="preserve"> </w:t>
      </w:r>
      <w:r>
        <w:t xml:space="preserve">and</w:t>
      </w:r>
      <w:r>
        <w:t xml:space="preserve"> </w:t>
      </w:r>
      <w:r>
        <w:t xml:space="preserve">“events”</w:t>
      </w:r>
      <w:r>
        <w:t xml:space="preserve"> </w:t>
      </w:r>
      <w:r>
        <w:t xml:space="preserve">in bipartite networks</w:t>
      </w:r>
      <w:r>
        <w:t xml:space="preserve"> </w:t>
      </w:r>
      <w:r>
        <w:t xml:space="preserve">(Borgatti &amp; Everett, 1997)</w:t>
      </w:r>
      <w:r>
        <w:t xml:space="preserve">, program brochures were set as nodes of the first partition, and basic skills as nodes of the second partition. The pre-processing steps ensured the consistency, comparability, and analytical validity of the textual data across all sampled countries. The resulting standardized matrices provided a reliable foundation for constructing the bipartite networks and for conducting the descriptive and inferential analyses discussed in the following section.</w:t>
      </w:r>
    </w:p>
    <w:bookmarkEnd w:id="34"/>
    <w:bookmarkStart w:id="35" w:name="network-models-specification"/>
    <w:p>
      <w:pPr>
        <w:pStyle w:val="Heading3"/>
      </w:pPr>
      <w:r>
        <w:t xml:space="preserve">Network models specification</w:t>
      </w:r>
    </w:p>
    <w:p>
      <w:pPr>
        <w:pStyle w:val="FirstParagraph"/>
      </w:pPr>
      <w:r>
        <w:t xml:space="preserve">Our network model specification accounts for the structural imbalance between the number of basic skills and the number of postgraduate programs per country. While the number of skills is constant across nations, programs outnumber skills by at least one order of magnitude, which posits fundamental considerations from the statistical and conceptual perspectives. From a conceptual perspective, the fact that programs outnumber skills is a key characteristic of the academic offering that we model as an undirected bipartite network. Basic skills, at least from the perspective of O*NET</w:t>
      </w:r>
      <w:r>
        <w:t xml:space="preserve">(National Center for O*NET Development, 2022)</w:t>
      </w:r>
      <w:r>
        <w:t xml:space="preserve">, are regarded as developed capacities that facilitate learning or the more rapid acquisition of learning. These basic skills are of ultimate importance from the viewpoint of professional transitions that take place when a professional decides to work in another area from which he or she did not receive formal education</w:t>
      </w:r>
      <w:r>
        <w:t xml:space="preserve"> </w:t>
      </w:r>
      <w:r>
        <w:t xml:space="preserve">(Vista, 2020)</w:t>
      </w:r>
      <w:r>
        <w:t xml:space="preserve">. From this conceptual viewpoint, although two or more universities may offer programs with identical names (e.g., Master in Artificial Intelligence) one of their differences can rely on the way basic skills are considered in the program brochure intended to recruit prospective students. Our model specification addresses this particular educational intended purpose.</w:t>
      </w:r>
    </w:p>
    <w:p>
      <w:pPr>
        <w:pStyle w:val="BodyText"/>
      </w:pPr>
      <w:r>
        <w:t xml:space="preserve">Postgraduate programs can differ in other factors unrelated to skills training, such as campus location, reputation or prestige, tuition costs, graduation rates, employability of graduates, or quality accreditation standards. Nonetheless, our model does not consider these other factors, as they fall outside our research goal. The decision to exclude these factors from our model specification is based on several criteria. First, the presence and extent of local socio-economic factors in each country introduce additional complexities that prevent us from conducting a more extended cross-national comparison. For example, as nations differ in economic inflation, governmental expenditure on education, and power purchase parity, the economic aspects of the academic offering should remain unexplored unless they are explicitly considered in more complex models. We do not deny the fundamental value of these more complex models. Nonetheless, our in-depth explorations for each visited graduate program revealed that the information about graduation rates or graduates’ employability in sampled nations remains systematically undisclosed, preventing us from including these factors as covariate terms in our models. We regard this circumstance as a call to action for further studies. In any case, we take the length of the program brochure as a covariate that might hide confounding factors like the ones just described that are not explicitly related to basic skills.</w:t>
      </w:r>
    </w:p>
    <w:p>
      <w:pPr>
        <w:pStyle w:val="BodyText"/>
      </w:pPr>
      <w:r>
        <w:t xml:space="preserve">A statistical consideration of our model specification relates to the number of sampled program brochures by nation. As illustrated in Table 1, the academic offering varies between a minimum of 120 program brochures from Costa Rica to the maximum of 922 program brochures from Brazil. To prevent biased estimates from the inferential perspective, the academic offering of each nation is modeled as an independent network sample that we then integrated into a large regional network. We used this large regional network as a computational input to conduct our inferential network estimates on the following model specifications:</w:t>
      </w:r>
    </w:p>
    <w:p>
      <w:pPr>
        <w:numPr>
          <w:ilvl w:val="0"/>
          <w:numId w:val="1002"/>
        </w:numPr>
      </w:pPr>
      <w:r>
        <w:rPr>
          <w:b/>
          <w:bCs/>
        </w:rPr>
        <w:t xml:space="preserve">Model 1</w:t>
      </w:r>
      <w:r>
        <w:t xml:space="preserve">: The baseline model examines the propensity of connections between programs and basic skills relative to the exogenous covariate of brochure length. Drawing on previous studies that explored program–skill relationships</w:t>
      </w:r>
      <w:r>
        <w:t xml:space="preserve"> </w:t>
      </w:r>
      <w:r>
        <w:t xml:space="preserve">(Dakduk et al., 2025; Garcia-Chitiva &amp; Correa, 2024)</w:t>
      </w:r>
      <w:r>
        <w:t xml:space="preserve">, we anticipate a negative and statistically significant effect for the network density term. A negative coefficient indicates that observed connections occur far less frequently than would be expected by random chance. This baseline specification serves as a reference point for comparing additional effects in related ERGM models. In this initial model, we also assess the influence of other latent factors potentially confounded with brochure length (as captured by the total number of written sentences in each document). We expect a positive and statistically significant association, suggesting that longer brochures tend to mention more skills.</w:t>
      </w:r>
    </w:p>
    <w:p>
      <w:pPr>
        <w:numPr>
          <w:ilvl w:val="0"/>
          <w:numId w:val="1002"/>
        </w:numPr>
      </w:pPr>
      <w:r>
        <w:rPr>
          <w:b/>
          <w:bCs/>
        </w:rPr>
        <w:t xml:space="preserve">Model 2</w:t>
      </w:r>
      <w:r>
        <w:t xml:space="preserve">: The second model extends the first model’s specification by incorporating five additional terms representing the most central basic skills as endogenous network parameters, following prior work</w:t>
      </w:r>
      <w:r>
        <w:t xml:space="preserve"> </w:t>
      </w:r>
      <w:r>
        <w:t xml:space="preserve">(Dakduk et al., 2025)</w:t>
      </w:r>
      <w:r>
        <w:t xml:space="preserve">. We expect these skills to exhibit positive and statistically significant effects. A positive coefficient indicates that their connections with program brochures occur well above what would be expected by chance. Furthermore, their estimates are expected to decrease hierarchically, consistent with inferential network modeling for bipartite networks</w:t>
      </w:r>
      <w:r>
        <w:t xml:space="preserve"> </w:t>
      </w:r>
      <w:r>
        <w:t xml:space="preserve">(Wang et al., 2009)</w:t>
      </w:r>
      <w:r>
        <w:t xml:space="preserve">. Finally, we anticipate that the estimate for each skill will exceed that for program brochures.</w:t>
      </w:r>
    </w:p>
    <w:p>
      <w:pPr>
        <w:numPr>
          <w:ilvl w:val="0"/>
          <w:numId w:val="1002"/>
        </w:numPr>
      </w:pPr>
      <w:r>
        <w:rPr>
          <w:b/>
          <w:bCs/>
        </w:rPr>
        <w:t xml:space="preserve">Model 3</w:t>
      </w:r>
      <w:r>
        <w:t xml:space="preserve">: The third model expands the specification of the second model by including exogenous covariates for master’s and doctoral programs. We expect the statistical estimates for basic skills to remain positive and statistically significant. Furthermore, these estimates are anticipated to decrease hierarchically, such that popular basic skills will have higher estimates than those for brochure length and program-level covariates.</w:t>
      </w:r>
    </w:p>
    <w:p>
      <w:pPr>
        <w:numPr>
          <w:ilvl w:val="0"/>
          <w:numId w:val="1002"/>
        </w:numPr>
      </w:pPr>
      <w:r>
        <w:rPr>
          <w:b/>
          <w:bCs/>
        </w:rPr>
        <w:t xml:space="preserve">Model 4</w:t>
      </w:r>
      <w:r>
        <w:t xml:space="preserve">: The final model incorporates the covariate for OECD membership alongside all other covariates and the endogenous effects of the top five basic skills. To our knowledge, OECD membership has been largely overlooked in prior studies. However, drawing on previous reports on educational outcomes in OECD member countries, we expect this effect to be positive and statistically significant.</w:t>
      </w:r>
    </w:p>
    <w:p>
      <w:pPr>
        <w:pStyle w:val="FirstParagraph"/>
      </w:pPr>
      <w:r>
        <w:t xml:space="preserve">Altogether, these four nested models integrate the textual, institutional, and contextual dimensions of the study into a unified analytical framework. This sequential approach clarifies how each factor contributes to the structure of skill–program networks and provides a basis for comparing model performance and interpretive validity. The subsequent section presents the empirical results derived from these specifications.</w:t>
      </w:r>
    </w:p>
    <w:bookmarkEnd w:id="35"/>
    <w:bookmarkEnd w:id="36"/>
    <w:bookmarkEnd w:id="37"/>
    <w:bookmarkStart w:id="131" w:name="results"/>
    <w:p>
      <w:pPr>
        <w:pStyle w:val="Heading1"/>
      </w:pPr>
      <w:r>
        <w:t xml:space="preserve">Results</w:t>
      </w:r>
    </w:p>
    <w:p>
      <w:pPr>
        <w:pStyle w:val="FirstParagraph"/>
      </w:pPr>
      <w:r>
        <w:t xml:space="preserve">We organize the results in the following sections. The first part presents a descriptive network analysis that shows the quantitative features of the academic offering in all sampled countries of our case study. Then, we examine the centrality of basic skills by nation and program level. Finally, we evaluate via exponential random graphs the role of these skills and other covariates in the formation of these networks.</w:t>
      </w:r>
    </w:p>
    <w:bookmarkStart w:id="130" w:name="descriptive-network-analysis"/>
    <w:p>
      <w:pPr>
        <w:pStyle w:val="Heading2"/>
      </w:pPr>
      <w:r>
        <w:t xml:space="preserve">Descriptive network analysis</w:t>
      </w:r>
    </w:p>
    <w:p>
      <w:pPr>
        <w:pStyle w:val="FirstParagraph"/>
      </w:pPr>
      <w:r>
        <w:t xml:space="preserve">The academic offering in sampled countries shows a weak connectivity with basic skills. The network density ranges from 0.005 in Brazil and Ecuador to 0.060 in Costa Rica. As Table 1 shows, the overall low network density, which is consistent across all countries, indicates that only a small fraction of the potential links between basic skills and programs are realized. This pattern suggests that program brochures make reference to basic skills selectively rather than comprehensively. The higher values in Costa Rica and Chile (both members of the OECD) point to a more consistent incorporation of basic skills into the academic offering. In contrast, countries with larger and more complex higher education systems, such as Brazil and Mexico, exhibit networks that are more extensively fragmented —a pattern consistent with their programmatic diversity and institutional heterogeneity. The academic offering of Ecuador is also similar to that of Mexico and Brazil in terms of sparsity. The clustering index for these networks also shows important variation across countries. Costa Rica stands for its highest clustering while Brazil has the lowest clustering in the region. Taken together, these findings suggest that basic skills are sparsely tied with univesity programs.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bookmarkStart w:id="129" w:name="refs"/>
    <w:bookmarkStart w:id="39" w:name="ref-Aguillo2008"/>
    <w:p>
      <w:pPr>
        <w:pStyle w:val="Bibliography"/>
      </w:pPr>
      <w:r>
        <w:t xml:space="preserve">Aguillo, I. F., Ortega, J. L., &amp; Fernández, M. (2008).</w:t>
      </w:r>
      <w:r>
        <w:t xml:space="preserve"> </w:t>
      </w:r>
      <w:r>
        <w:t xml:space="preserve">Webometric Ranking of World Universities: Introduction, Methodology, and Future Developments</w:t>
      </w:r>
      <w:r>
        <w:t xml:space="preserve">.</w:t>
      </w:r>
      <w:r>
        <w:t xml:space="preserve"> </w:t>
      </w:r>
      <w:r>
        <w:rPr>
          <w:i/>
          <w:iCs/>
        </w:rPr>
        <w:t xml:space="preserve">Higher Education in Europe</w:t>
      </w:r>
      <w:r>
        <w:t xml:space="preserve">,</w:t>
      </w:r>
      <w:r>
        <w:t xml:space="preserve"> </w:t>
      </w:r>
      <w:r>
        <w:rPr>
          <w:i/>
          <w:iCs/>
        </w:rPr>
        <w:t xml:space="preserve">33</w:t>
      </w:r>
      <w:r>
        <w:t xml:space="preserve">(2-3), 233–244.</w:t>
      </w:r>
      <w:r>
        <w:t xml:space="preserve"> </w:t>
      </w:r>
      <w:hyperlink r:id="rId38">
        <w:r>
          <w:rPr>
            <w:rStyle w:val="Hyperlink"/>
          </w:rPr>
          <w:t xml:space="preserve">https://doi.org/10.1080/03797720802254031</w:t>
        </w:r>
      </w:hyperlink>
    </w:p>
    <w:bookmarkEnd w:id="39"/>
    <w:bookmarkStart w:id="41"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40">
        <w:r>
          <w:rPr>
            <w:rStyle w:val="Hyperlink"/>
          </w:rPr>
          <w:t xml:space="preserve">https://doi.org/10.1126/sciadv.aao6030</w:t>
        </w:r>
      </w:hyperlink>
    </w:p>
    <w:bookmarkEnd w:id="41"/>
    <w:bookmarkStart w:id="43"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42">
        <w:r>
          <w:rPr>
            <w:rStyle w:val="Hyperlink"/>
          </w:rPr>
          <w:t xml:space="preserve">https://doi.org/10.1007/978-94-015-9946-7_14</w:t>
        </w:r>
      </w:hyperlink>
    </w:p>
    <w:bookmarkEnd w:id="43"/>
    <w:bookmarkStart w:id="45"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44">
        <w:r>
          <w:rPr>
            <w:rStyle w:val="Hyperlink"/>
          </w:rPr>
          <w:t xml:space="preserve">https://doi.org/10.1038/s41598-024-61448-x</w:t>
        </w:r>
      </w:hyperlink>
    </w:p>
    <w:bookmarkEnd w:id="45"/>
    <w:bookmarkStart w:id="47" w:name="ref-Benoit2018"/>
    <w:p>
      <w:pPr>
        <w:pStyle w:val="Bibliography"/>
      </w:pPr>
      <w:r>
        <w:t xml:space="preserve">Benoit, K., Watanabe, K., Wang, H., Nulty, P., Obeng, A., Müller, S., &amp; Matsuo, A. (2018).</w:t>
      </w:r>
      <w:r>
        <w:t xml:space="preserve"> </w:t>
      </w:r>
      <w:r>
        <w:t xml:space="preserve">quanteda: An R package for the quantitative analysis of textual data</w:t>
      </w:r>
      <w:r>
        <w:t xml:space="preserve">.</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46">
        <w:r>
          <w:rPr>
            <w:rStyle w:val="Hyperlink"/>
          </w:rPr>
          <w:t xml:space="preserve">https://doi.org/10.21105/joss.00774</w:t>
        </w:r>
      </w:hyperlink>
    </w:p>
    <w:bookmarkEnd w:id="47"/>
    <w:bookmarkStart w:id="48" w:name="ref-Borgatti1997"/>
    <w:p>
      <w:pPr>
        <w:pStyle w:val="Bibliography"/>
      </w:pPr>
      <w:r>
        <w:t xml:space="preserve">Borgatti, S., &amp; Everett, M. (1997). Network analysis of 2-mode data.</w:t>
      </w:r>
      <w:r>
        <w:t xml:space="preserve"> </w:t>
      </w:r>
      <w:r>
        <w:rPr>
          <w:i/>
          <w:iCs/>
        </w:rPr>
        <w:t xml:space="preserve">Social Networks</w:t>
      </w:r>
      <w:r>
        <w:t xml:space="preserve">,</w:t>
      </w:r>
      <w:r>
        <w:t xml:space="preserve"> </w:t>
      </w:r>
      <w:r>
        <w:rPr>
          <w:i/>
          <w:iCs/>
        </w:rPr>
        <w:t xml:space="preserve">19</w:t>
      </w:r>
      <w:r>
        <w:t xml:space="preserve">, 243–269.</w:t>
      </w:r>
    </w:p>
    <w:bookmarkEnd w:id="48"/>
    <w:bookmarkStart w:id="50"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49">
        <w:r>
          <w:rPr>
            <w:rStyle w:val="Hyperlink"/>
          </w:rPr>
          <w:t xml:space="preserve">https://doi.org/10.1073/pnas.1804247115</w:t>
        </w:r>
      </w:hyperlink>
    </w:p>
    <w:bookmarkEnd w:id="50"/>
    <w:bookmarkStart w:id="52" w:name="ref-Boshkoska2025"/>
    <w:p>
      <w:pPr>
        <w:pStyle w:val="Bibliography"/>
      </w:pPr>
      <w:r>
        <w:t xml:space="preserve">Boshkoska, B. M., Sen, S., &amp; Boškoski, P. (2025). Designing graduate business curricula by utilizing a market-driven skills extraction approach.</w:t>
      </w:r>
      <w:r>
        <w:t xml:space="preserve"> </w:t>
      </w:r>
      <w:r>
        <w:rPr>
          <w:i/>
          <w:iCs/>
        </w:rPr>
        <w:t xml:space="preserve">Decision Sciences Journal of Innovative Education</w:t>
      </w:r>
      <w:r>
        <w:t xml:space="preserve">,</w:t>
      </w:r>
      <w:r>
        <w:t xml:space="preserve"> </w:t>
      </w:r>
      <w:r>
        <w:rPr>
          <w:i/>
          <w:iCs/>
        </w:rPr>
        <w:t xml:space="preserve">23</w:t>
      </w:r>
      <w:r>
        <w:t xml:space="preserve">(2), e70003.</w:t>
      </w:r>
      <w:r>
        <w:t xml:space="preserve"> </w:t>
      </w:r>
      <w:hyperlink r:id="rId51">
        <w:r>
          <w:rPr>
            <w:rStyle w:val="Hyperlink"/>
          </w:rPr>
          <w:t xml:space="preserve">https://doi.org/10.1111/dsji.70003</w:t>
        </w:r>
      </w:hyperlink>
    </w:p>
    <w:bookmarkEnd w:id="52"/>
    <w:bookmarkStart w:id="54" w:name="ref-Butts2008"/>
    <w:p>
      <w:pPr>
        <w:pStyle w:val="Bibliography"/>
      </w:pPr>
      <w:r>
        <w:t xml:space="preserve">Butts, C. T. (2008).</w:t>
      </w:r>
      <w:r>
        <w:t xml:space="preserve"> </w:t>
      </w:r>
      <w:r>
        <w:t xml:space="preserve">network: A Package for Managing Relational Data in R</w:t>
      </w:r>
      <w:r>
        <w:t xml:space="preserve">.</w:t>
      </w:r>
      <w:r>
        <w:t xml:space="preserve"> </w:t>
      </w:r>
      <w:r>
        <w:rPr>
          <w:i/>
          <w:iCs/>
        </w:rPr>
        <w:t xml:space="preserve">Journal of Statistical Software</w:t>
      </w:r>
      <w:r>
        <w:t xml:space="preserve">,</w:t>
      </w:r>
      <w:r>
        <w:t xml:space="preserve"> </w:t>
      </w:r>
      <w:r>
        <w:rPr>
          <w:i/>
          <w:iCs/>
        </w:rPr>
        <w:t xml:space="preserve">24</w:t>
      </w:r>
      <w:r>
        <w:t xml:space="preserve">(2).</w:t>
      </w:r>
      <w:r>
        <w:t xml:space="preserve"> </w:t>
      </w:r>
      <w:hyperlink r:id="rId53">
        <w:r>
          <w:rPr>
            <w:rStyle w:val="Hyperlink"/>
          </w:rPr>
          <w:t xml:space="preserve">https://doi.org/10.18637/jss.v024.i02</w:t>
        </w:r>
      </w:hyperlink>
    </w:p>
    <w:bookmarkEnd w:id="54"/>
    <w:bookmarkStart w:id="55"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55"/>
    <w:bookmarkStart w:id="56"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56"/>
    <w:bookmarkStart w:id="57" w:name="ref-Csardi2006"/>
    <w:p>
      <w:pPr>
        <w:pStyle w:val="Bibliography"/>
      </w:pPr>
      <w:r>
        <w:t xml:space="preserve">Csardi, G., &amp; Nepusz, T. (2006).</w:t>
      </w:r>
      <w:r>
        <w:t xml:space="preserve"> </w:t>
      </w:r>
      <w:r>
        <w:t xml:space="preserve">The Igraph Software Package for Complex Network Research</w:t>
      </w:r>
      <w:r>
        <w:t xml:space="preserve">.</w:t>
      </w:r>
      <w:r>
        <w:t xml:space="preserve"> </w:t>
      </w:r>
      <w:r>
        <w:rPr>
          <w:i/>
          <w:iCs/>
        </w:rPr>
        <w:t xml:space="preserve">InterJournal</w:t>
      </w:r>
      <w:r>
        <w:t xml:space="preserve">,</w:t>
      </w:r>
      <w:r>
        <w:t xml:space="preserve"> </w:t>
      </w:r>
      <w:r>
        <w:rPr>
          <w:i/>
          <w:iCs/>
        </w:rPr>
        <w:t xml:space="preserve">1695</w:t>
      </w:r>
      <w:r>
        <w:t xml:space="preserve">, 1–9.</w:t>
      </w:r>
    </w:p>
    <w:bookmarkEnd w:id="57"/>
    <w:bookmarkStart w:id="59"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58">
        <w:r>
          <w:rPr>
            <w:rStyle w:val="Hyperlink"/>
          </w:rPr>
          <w:t xml:space="preserve">https://doi.org/10.1007/s41109-025-00696-w</w:t>
        </w:r>
      </w:hyperlink>
    </w:p>
    <w:bookmarkEnd w:id="59"/>
    <w:bookmarkStart w:id="61" w:name="ref-Delosrios2021"/>
    <w:p>
      <w:pPr>
        <w:pStyle w:val="Bibliography"/>
      </w:pPr>
      <w:r>
        <w:t xml:space="preserve">De los Ríos-Carmenado, I., Sastre-Merino, S., Díaz Lantada, A., García-Martín, J., Nole, P., &amp; Pérez-Martínez, J. E. (2021). Building world class universities through innovative teaching governance.</w:t>
      </w:r>
      <w:r>
        <w:t xml:space="preserve"> </w:t>
      </w:r>
      <w:r>
        <w:rPr>
          <w:i/>
          <w:iCs/>
        </w:rPr>
        <w:t xml:space="preserve">Studies in Educational Evaluation</w:t>
      </w:r>
      <w:r>
        <w:t xml:space="preserve">,</w:t>
      </w:r>
      <w:r>
        <w:t xml:space="preserve"> </w:t>
      </w:r>
      <w:r>
        <w:rPr>
          <w:i/>
          <w:iCs/>
        </w:rPr>
        <w:t xml:space="preserve">70</w:t>
      </w:r>
      <w:r>
        <w:t xml:space="preserve">.</w:t>
      </w:r>
      <w:r>
        <w:t xml:space="preserve"> </w:t>
      </w:r>
      <w:hyperlink r:id="rId60">
        <w:r>
          <w:rPr>
            <w:rStyle w:val="Hyperlink"/>
          </w:rPr>
          <w:t xml:space="preserve">https://doi.org/10.1016/j.stueduc.2021.101031</w:t>
        </w:r>
      </w:hyperlink>
    </w:p>
    <w:bookmarkEnd w:id="61"/>
    <w:bookmarkStart w:id="63"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62">
        <w:r>
          <w:rPr>
            <w:rStyle w:val="Hyperlink"/>
          </w:rPr>
          <w:t xml:space="preserve">https://doi.org/10.3389/frma.2022.893593</w:t>
        </w:r>
      </w:hyperlink>
    </w:p>
    <w:bookmarkEnd w:id="63"/>
    <w:bookmarkStart w:id="65"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64">
        <w:r>
          <w:rPr>
            <w:rStyle w:val="Hyperlink"/>
          </w:rPr>
          <w:t xml:space="preserve">https://doi.org/10.1080/03075079.2024.2316881</w:t>
        </w:r>
      </w:hyperlink>
    </w:p>
    <w:bookmarkEnd w:id="65"/>
    <w:bookmarkStart w:id="67"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66">
        <w:r>
          <w:rPr>
            <w:rStyle w:val="Hyperlink"/>
          </w:rPr>
          <w:t xml:space="preserve">https://doi.org/10.1038/d41586-023-03507-3</w:t>
        </w:r>
      </w:hyperlink>
    </w:p>
    <w:bookmarkEnd w:id="67"/>
    <w:bookmarkStart w:id="69"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68">
        <w:r>
          <w:rPr>
            <w:rStyle w:val="Hyperlink"/>
          </w:rPr>
          <w:t xml:space="preserve">https://doi.org/10.1080/03075079.2025.2515512</w:t>
        </w:r>
      </w:hyperlink>
    </w:p>
    <w:bookmarkEnd w:id="69"/>
    <w:bookmarkStart w:id="70"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70"/>
    <w:bookmarkStart w:id="72"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71">
        <w:r>
          <w:rPr>
            <w:rStyle w:val="Hyperlink"/>
          </w:rPr>
          <w:t xml:space="preserve">https://doi.org/10.1371/journal.pone.0192427</w:t>
        </w:r>
      </w:hyperlink>
    </w:p>
    <w:bookmarkEnd w:id="72"/>
    <w:bookmarkStart w:id="74" w:name="ref-garcia-chitiva2024"/>
    <w:p>
      <w:pPr>
        <w:pStyle w:val="Bibliography"/>
      </w:pPr>
      <w:r>
        <w:t xml:space="preserve">Garcia-Chitiva, M. del P., &amp; Correa, J. C. and.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73">
        <w:r>
          <w:rPr>
            <w:rStyle w:val="Hyperlink"/>
          </w:rPr>
          <w:t xml:space="preserve">https://doi.org/10.1080/03075079.2023.2254799</w:t>
        </w:r>
      </w:hyperlink>
    </w:p>
    <w:bookmarkEnd w:id="74"/>
    <w:bookmarkStart w:id="75"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73">
        <w:r>
          <w:rPr>
            <w:rStyle w:val="Hyperlink"/>
          </w:rPr>
          <w:t xml:space="preserve">https://doi.org/10.1080/03075079.2023.2254799</w:t>
        </w:r>
      </w:hyperlink>
    </w:p>
    <w:bookmarkEnd w:id="75"/>
    <w:bookmarkStart w:id="77"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76">
        <w:r>
          <w:rPr>
            <w:rStyle w:val="Hyperlink"/>
          </w:rPr>
          <w:t xml:space="preserve">https://doi.org/10.3991/ijep.v15i2.51561</w:t>
        </w:r>
      </w:hyperlink>
    </w:p>
    <w:bookmarkEnd w:id="77"/>
    <w:bookmarkStart w:id="78"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78"/>
    <w:bookmarkStart w:id="80"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79">
        <w:r>
          <w:rPr>
            <w:rStyle w:val="Hyperlink"/>
          </w:rPr>
          <w:t xml:space="preserve">https://doi.org/10.7238/rusc.v10i2.1744</w:t>
        </w:r>
      </w:hyperlink>
    </w:p>
    <w:bookmarkEnd w:id="80"/>
    <w:bookmarkStart w:id="82"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81">
        <w:r>
          <w:rPr>
            <w:rStyle w:val="Hyperlink"/>
          </w:rPr>
          <w:t xml:space="preserve">https://doi.org/10.14426/cristal.v11iSI.624</w:t>
        </w:r>
      </w:hyperlink>
    </w:p>
    <w:bookmarkEnd w:id="82"/>
    <w:bookmarkStart w:id="84"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83">
        <w:r>
          <w:rPr>
            <w:rStyle w:val="Hyperlink"/>
          </w:rPr>
          <w:t xml:space="preserve">https://doi.org/10.1073/pnas.0900943106</w:t>
        </w:r>
      </w:hyperlink>
    </w:p>
    <w:bookmarkEnd w:id="84"/>
    <w:bookmarkStart w:id="85"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85"/>
    <w:bookmarkStart w:id="87"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86">
        <w:r>
          <w:rPr>
            <w:rStyle w:val="Hyperlink"/>
          </w:rPr>
          <w:t xml:space="preserve">https://doi.org/10.1038/s41597-024-03931-8</w:t>
        </w:r>
      </w:hyperlink>
    </w:p>
    <w:bookmarkEnd w:id="87"/>
    <w:bookmarkStart w:id="88"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88"/>
    <w:bookmarkStart w:id="90" w:name="ref-Kevork2022"/>
    <w:p>
      <w:pPr>
        <w:pStyle w:val="Bibliography"/>
      </w:pPr>
      <w:r>
        <w:t xml:space="preserve">Kevork, S., &amp; Kauermann, G. (2022). Bipartite exponential random graph models with nodal random effects.</w:t>
      </w:r>
      <w:r>
        <w:t xml:space="preserve"> </w:t>
      </w:r>
      <w:r>
        <w:rPr>
          <w:i/>
          <w:iCs/>
        </w:rPr>
        <w:t xml:space="preserve">Social Networks</w:t>
      </w:r>
      <w:r>
        <w:t xml:space="preserve">,</w:t>
      </w:r>
      <w:r>
        <w:t xml:space="preserve"> </w:t>
      </w:r>
      <w:r>
        <w:rPr>
          <w:i/>
          <w:iCs/>
        </w:rPr>
        <w:t xml:space="preserve">70</w:t>
      </w:r>
      <w:r>
        <w:t xml:space="preserve">, 90–99.</w:t>
      </w:r>
      <w:r>
        <w:t xml:space="preserve"> </w:t>
      </w:r>
      <w:hyperlink r:id="rId89">
        <w:r>
          <w:rPr>
            <w:rStyle w:val="Hyperlink"/>
          </w:rPr>
          <w:t xml:space="preserve">https://doi.org/10.1016/j.socnet.2021.11.002</w:t>
        </w:r>
      </w:hyperlink>
    </w:p>
    <w:bookmarkEnd w:id="90"/>
    <w:bookmarkStart w:id="92" w:name="ref-Krivitsky2023b"/>
    <w:p>
      <w:pPr>
        <w:pStyle w:val="Bibliography"/>
      </w:pPr>
      <w:r>
        <w:t xml:space="preserve">Krivitsky, P. N., Coletti, P., &amp; Hens, N. (2023). A tale of two datasets: Representativeness and generalisability of inference for samples of networks.</w:t>
      </w:r>
      <w:r>
        <w:t xml:space="preserve"> </w:t>
      </w:r>
      <w:r>
        <w:rPr>
          <w:i/>
          <w:iCs/>
        </w:rPr>
        <w:t xml:space="preserve">Journal of the American Statistical Association</w:t>
      </w:r>
      <w:r>
        <w:t xml:space="preserve">,</w:t>
      </w:r>
      <w:r>
        <w:t xml:space="preserve"> </w:t>
      </w:r>
      <w:r>
        <w:rPr>
          <w:i/>
          <w:iCs/>
        </w:rPr>
        <w:t xml:space="preserve">118</w:t>
      </w:r>
      <w:r>
        <w:t xml:space="preserve">(544), 2213–2224.</w:t>
      </w:r>
      <w:r>
        <w:t xml:space="preserve"> </w:t>
      </w:r>
      <w:hyperlink r:id="rId91">
        <w:r>
          <w:rPr>
            <w:rStyle w:val="Hyperlink"/>
          </w:rPr>
          <w:t xml:space="preserve">https://doi.org/10.1080/01621459.2023.2242627</w:t>
        </w:r>
      </w:hyperlink>
    </w:p>
    <w:bookmarkEnd w:id="92"/>
    <w:bookmarkStart w:id="94"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93">
        <w:r>
          <w:rPr>
            <w:rStyle w:val="Hyperlink"/>
          </w:rPr>
          <w:t xml:space="preserve">https://doi.org/10.1371/journal.pone.0213651</w:t>
        </w:r>
      </w:hyperlink>
    </w:p>
    <w:bookmarkEnd w:id="94"/>
    <w:bookmarkStart w:id="95" w:name="ref-Luke2015"/>
    <w:p>
      <w:pPr>
        <w:pStyle w:val="Bibliography"/>
      </w:pPr>
      <w:r>
        <w:t xml:space="preserve">Luke, D. (2015).</w:t>
      </w:r>
      <w:r>
        <w:t xml:space="preserve"> </w:t>
      </w:r>
      <w:r>
        <w:rPr>
          <w:i/>
          <w:iCs/>
        </w:rPr>
        <w:t xml:space="preserve">A User’s Guide to Network Analysis in R</w:t>
      </w:r>
      <w:r>
        <w:t xml:space="preserve">. Springer.</w:t>
      </w:r>
    </w:p>
    <w:bookmarkEnd w:id="95"/>
    <w:bookmarkStart w:id="96" w:name="ref-Lusher2013"/>
    <w:p>
      <w:pPr>
        <w:pStyle w:val="Bibliography"/>
      </w:pPr>
      <w:r>
        <w:t xml:space="preserve">Lusher, D., Koskinen, J., &amp; Robins, G. (2013).</w:t>
      </w:r>
      <w:r>
        <w:t xml:space="preserve"> </w:t>
      </w:r>
      <w:r>
        <w:rPr>
          <w:i/>
          <w:iCs/>
        </w:rPr>
        <w:t xml:space="preserve">Exponential Random Graph Models for Social Network: Theory, Methods, and Applications</w:t>
      </w:r>
      <w:r>
        <w:t xml:space="preserve">. Cambridge University Press.</w:t>
      </w:r>
    </w:p>
    <w:bookmarkEnd w:id="96"/>
    <w:bookmarkStart w:id="98"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97">
        <w:r>
          <w:rPr>
            <w:rStyle w:val="Hyperlink"/>
          </w:rPr>
          <w:t xml:space="preserve">https://doi.org/10.1080/0969594X.2018.1454401</w:t>
        </w:r>
      </w:hyperlink>
    </w:p>
    <w:bookmarkEnd w:id="98"/>
    <w:bookmarkStart w:id="100"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99">
        <w:r>
          <w:rPr>
            <w:rStyle w:val="Hyperlink"/>
          </w:rPr>
          <w:t xml:space="preserve">https://doi.org/10.1080/03075079.2013.823934</w:t>
        </w:r>
      </w:hyperlink>
    </w:p>
    <w:bookmarkEnd w:id="100"/>
    <w:bookmarkStart w:id="102"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101">
        <w:r>
          <w:rPr>
            <w:rStyle w:val="Hyperlink"/>
          </w:rPr>
          <w:t xml:space="preserve">https://doi.org/10.17718/tojde.640561</w:t>
        </w:r>
      </w:hyperlink>
    </w:p>
    <w:bookmarkEnd w:id="102"/>
    <w:bookmarkStart w:id="104"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103">
        <w:r>
          <w:rPr>
            <w:rStyle w:val="Hyperlink"/>
          </w:rPr>
          <w:t xml:space="preserve">https://doi.org/10.1007/s10734-020-00511-8</w:t>
        </w:r>
      </w:hyperlink>
    </w:p>
    <w:bookmarkEnd w:id="104"/>
    <w:bookmarkStart w:id="106"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105">
        <w:r>
          <w:rPr>
            <w:rStyle w:val="Hyperlink"/>
          </w:rPr>
          <w:t xml:space="preserve">https://doi.org/10.1007/s10734-017-0193-2</w:t>
        </w:r>
      </w:hyperlink>
    </w:p>
    <w:bookmarkEnd w:id="106"/>
    <w:bookmarkStart w:id="108"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107">
        <w:r>
          <w:rPr>
            <w:rStyle w:val="Hyperlink"/>
          </w:rPr>
          <w:t xml:space="preserve">https://www.onetcenter.org/dataCollection.html</w:t>
        </w:r>
      </w:hyperlink>
    </w:p>
    <w:bookmarkEnd w:id="108"/>
    <w:bookmarkStart w:id="110" w:name="ref-Opsahl2013"/>
    <w:p>
      <w:pPr>
        <w:pStyle w:val="Bibliography"/>
      </w:pPr>
      <w:r>
        <w:t xml:space="preserve">Opsahl, T. (2013). Triadic closure in two-mode networks: Redefining the global and local clustering coefficients.</w:t>
      </w:r>
      <w:r>
        <w:t xml:space="preserve"> </w:t>
      </w:r>
      <w:r>
        <w:rPr>
          <w:i/>
          <w:iCs/>
        </w:rPr>
        <w:t xml:space="preserve">Social Networks</w:t>
      </w:r>
      <w:r>
        <w:t xml:space="preserve">,</w:t>
      </w:r>
      <w:r>
        <w:t xml:space="preserve"> </w:t>
      </w:r>
      <w:r>
        <w:rPr>
          <w:i/>
          <w:iCs/>
        </w:rPr>
        <w:t xml:space="preserve">35</w:t>
      </w:r>
      <w:r>
        <w:t xml:space="preserve">(2), 159–167.</w:t>
      </w:r>
      <w:r>
        <w:t xml:space="preserve"> </w:t>
      </w:r>
      <w:hyperlink r:id="rId109">
        <w:r>
          <w:rPr>
            <w:rStyle w:val="Hyperlink"/>
          </w:rPr>
          <w:t xml:space="preserve">https://doi.org/10.1016/j.socnet.2011.07.001</w:t>
        </w:r>
      </w:hyperlink>
    </w:p>
    <w:bookmarkEnd w:id="110"/>
    <w:bookmarkStart w:id="111"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111"/>
    <w:bookmarkStart w:id="112" w:name="ref-Peterson2001"/>
    <w:p>
      <w:pPr>
        <w:pStyle w:val="Bibliography"/>
      </w:pPr>
      <w:r>
        <w:t xml:space="preserve">Peterson, N. G., Mumford, M. D., Borman, W. C., Jeanneret, P. R., Fleishman, E. A., Levin, K. Y., Campion, M. A., Mayfield, M. S., Morgeson, F. P., Pearlman, K., et al. (2001).</w:t>
      </w:r>
      <w:r>
        <w:t xml:space="preserve"> </w:t>
      </w:r>
      <w:r>
        <w:t xml:space="preserve">Understanding work using the Occupational Information Network (O* NET): Implications for practice and research</w:t>
      </w:r>
      <w:r>
        <w:t xml:space="preserve">.</w:t>
      </w:r>
      <w:r>
        <w:t xml:space="preserve"> </w:t>
      </w:r>
      <w:r>
        <w:rPr>
          <w:i/>
          <w:iCs/>
        </w:rPr>
        <w:t xml:space="preserve">Personnel Psychology</w:t>
      </w:r>
      <w:r>
        <w:t xml:space="preserve">,</w:t>
      </w:r>
      <w:r>
        <w:t xml:space="preserve"> </w:t>
      </w:r>
      <w:r>
        <w:rPr>
          <w:i/>
          <w:iCs/>
        </w:rPr>
        <w:t xml:space="preserve">54</w:t>
      </w:r>
      <w:r>
        <w:t xml:space="preserve">(2), 451–492.</w:t>
      </w:r>
    </w:p>
    <w:bookmarkEnd w:id="112"/>
    <w:bookmarkStart w:id="114"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113">
        <w:r>
          <w:rPr>
            <w:rStyle w:val="Hyperlink"/>
          </w:rPr>
          <w:t xml:space="preserve">https://doi.org/10.1111/hequ.12108</w:t>
        </w:r>
      </w:hyperlink>
    </w:p>
    <w:bookmarkEnd w:id="114"/>
    <w:bookmarkStart w:id="115"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115"/>
    <w:bookmarkStart w:id="116"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116"/>
    <w:bookmarkStart w:id="117"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117"/>
    <w:bookmarkStart w:id="119"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118">
        <w:r>
          <w:rPr>
            <w:rStyle w:val="Hyperlink"/>
          </w:rPr>
          <w:t xml:space="preserve">https://doi.org/10.1023/A:1015292413037</w:t>
        </w:r>
      </w:hyperlink>
    </w:p>
    <w:bookmarkEnd w:id="119"/>
    <w:bookmarkStart w:id="121" w:name="ref-Udartseva2024106"/>
    <w:p>
      <w:pPr>
        <w:pStyle w:val="Bibliography"/>
      </w:pPr>
      <w:r>
        <w:t xml:space="preserve">Udartseva, O. M. (2024). Webometric assessment of foreign information systems of current research.</w:t>
      </w:r>
      <w:r>
        <w:t xml:space="preserve"> </w:t>
      </w:r>
      <w:r>
        <w:rPr>
          <w:i/>
          <w:iCs/>
        </w:rPr>
        <w:t xml:space="preserve">Scientific and Technical Information Processing</w:t>
      </w:r>
      <w:r>
        <w:t xml:space="preserve">,</w:t>
      </w:r>
      <w:r>
        <w:t xml:space="preserve"> </w:t>
      </w:r>
      <w:r>
        <w:rPr>
          <w:i/>
          <w:iCs/>
        </w:rPr>
        <w:t xml:space="preserve">51</w:t>
      </w:r>
      <w:r>
        <w:t xml:space="preserve">(2), 106–114.</w:t>
      </w:r>
      <w:r>
        <w:t xml:space="preserve"> </w:t>
      </w:r>
      <w:hyperlink r:id="rId120">
        <w:r>
          <w:rPr>
            <w:rStyle w:val="Hyperlink"/>
          </w:rPr>
          <w:t xml:space="preserve">https://doi.org/10.3103/S0147688224700023</w:t>
        </w:r>
      </w:hyperlink>
    </w:p>
    <w:bookmarkEnd w:id="121"/>
    <w:bookmarkStart w:id="123"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122">
        <w:r>
          <w:rPr>
            <w:rStyle w:val="Hyperlink"/>
          </w:rPr>
          <w:t xml:space="preserve">https://doi.org/10.1177/2158244020915904</w:t>
        </w:r>
      </w:hyperlink>
    </w:p>
    <w:bookmarkEnd w:id="123"/>
    <w:bookmarkStart w:id="125"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124">
        <w:r>
          <w:rPr>
            <w:rStyle w:val="Hyperlink"/>
          </w:rPr>
          <w:t xml:space="preserve">https://doi.org/10.1016/j.socnet.2011.12.004</w:t>
        </w:r>
      </w:hyperlink>
    </w:p>
    <w:bookmarkEnd w:id="125"/>
    <w:bookmarkStart w:id="127"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126">
        <w:r>
          <w:rPr>
            <w:rStyle w:val="Hyperlink"/>
          </w:rPr>
          <w:t xml:space="preserve">https://doi.org/10.1016/j.socnet.2008.08.002</w:t>
        </w:r>
      </w:hyperlink>
    </w:p>
    <w:bookmarkEnd w:id="127"/>
    <w:bookmarkStart w:id="128"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128"/>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2" Target="https://doi.org/10.1007/978-94-015-9946-7_14" TargetMode="External" /><Relationship Type="http://schemas.openxmlformats.org/officeDocument/2006/relationships/hyperlink" Id="rId105" Target="https://doi.org/10.1007/s10734-017-0193-2" TargetMode="External" /><Relationship Type="http://schemas.openxmlformats.org/officeDocument/2006/relationships/hyperlink" Id="rId103" Target="https://doi.org/10.1007/s10734-020-00511-8" TargetMode="External" /><Relationship Type="http://schemas.openxmlformats.org/officeDocument/2006/relationships/hyperlink" Id="rId58" Target="https://doi.org/10.1007/s41109-025-00696-w" TargetMode="External" /><Relationship Type="http://schemas.openxmlformats.org/officeDocument/2006/relationships/hyperlink" Id="rId126" Target="https://doi.org/10.1016/j.socnet.2008.08.002" TargetMode="External" /><Relationship Type="http://schemas.openxmlformats.org/officeDocument/2006/relationships/hyperlink" Id="rId109" Target="https://doi.org/10.1016/j.socnet.2011.07.001" TargetMode="External" /><Relationship Type="http://schemas.openxmlformats.org/officeDocument/2006/relationships/hyperlink" Id="rId124" Target="https://doi.org/10.1016/j.socnet.2011.12.004" TargetMode="External" /><Relationship Type="http://schemas.openxmlformats.org/officeDocument/2006/relationships/hyperlink" Id="rId89" Target="https://doi.org/10.1016/j.socnet.2021.11.002" TargetMode="External" /><Relationship Type="http://schemas.openxmlformats.org/officeDocument/2006/relationships/hyperlink" Id="rId60" Target="https://doi.org/10.1016/j.stueduc.2021.101031" TargetMode="External" /><Relationship Type="http://schemas.openxmlformats.org/officeDocument/2006/relationships/hyperlink" Id="rId118" Target="https://doi.org/10.1023/A:1015292413037" TargetMode="External" /><Relationship Type="http://schemas.openxmlformats.org/officeDocument/2006/relationships/hyperlink" Id="rId66" Target="https://doi.org/10.1038/d41586-023-03507-3" TargetMode="External" /><Relationship Type="http://schemas.openxmlformats.org/officeDocument/2006/relationships/hyperlink" Id="rId86" Target="https://doi.org/10.1038/s41597-024-03931-8" TargetMode="External" /><Relationship Type="http://schemas.openxmlformats.org/officeDocument/2006/relationships/hyperlink" Id="rId44" Target="https://doi.org/10.1038/s41598-024-61448-x" TargetMode="External" /><Relationship Type="http://schemas.openxmlformats.org/officeDocument/2006/relationships/hyperlink" Id="rId83" Target="https://doi.org/10.1073/pnas.0900943106" TargetMode="External" /><Relationship Type="http://schemas.openxmlformats.org/officeDocument/2006/relationships/hyperlink" Id="rId49" Target="https://doi.org/10.1073/pnas.1804247115" TargetMode="External" /><Relationship Type="http://schemas.openxmlformats.org/officeDocument/2006/relationships/hyperlink" Id="rId91" Target="https://doi.org/10.1080/01621459.2023.2242627" TargetMode="External" /><Relationship Type="http://schemas.openxmlformats.org/officeDocument/2006/relationships/hyperlink" Id="rId99" Target="https://doi.org/10.1080/03075079.2013.823934" TargetMode="External" /><Relationship Type="http://schemas.openxmlformats.org/officeDocument/2006/relationships/hyperlink" Id="rId73" Target="https://doi.org/10.1080/03075079.2023.2254799" TargetMode="External" /><Relationship Type="http://schemas.openxmlformats.org/officeDocument/2006/relationships/hyperlink" Id="rId64" Target="https://doi.org/10.1080/03075079.2024.2316881" TargetMode="External" /><Relationship Type="http://schemas.openxmlformats.org/officeDocument/2006/relationships/hyperlink" Id="rId68" Target="https://doi.org/10.1080/03075079.2025.2515512" TargetMode="External" /><Relationship Type="http://schemas.openxmlformats.org/officeDocument/2006/relationships/hyperlink" Id="rId38" Target="https://doi.org/10.1080/03797720802254031" TargetMode="External" /><Relationship Type="http://schemas.openxmlformats.org/officeDocument/2006/relationships/hyperlink" Id="rId97" Target="https://doi.org/10.1080/0969594X.2018.1454401" TargetMode="External" /><Relationship Type="http://schemas.openxmlformats.org/officeDocument/2006/relationships/hyperlink" Id="rId51" Target="https://doi.org/10.1111/dsji.70003" TargetMode="External" /><Relationship Type="http://schemas.openxmlformats.org/officeDocument/2006/relationships/hyperlink" Id="rId113" Target="https://doi.org/10.1111/hequ.12108" TargetMode="External" /><Relationship Type="http://schemas.openxmlformats.org/officeDocument/2006/relationships/hyperlink" Id="rId40" Target="https://doi.org/10.1126/sciadv.aao6030" TargetMode="External" /><Relationship Type="http://schemas.openxmlformats.org/officeDocument/2006/relationships/hyperlink" Id="rId122" Target="https://doi.org/10.1177/2158244020915904" TargetMode="External" /><Relationship Type="http://schemas.openxmlformats.org/officeDocument/2006/relationships/hyperlink" Id="rId71" Target="https://doi.org/10.1371/journal.pone.0192427" TargetMode="External" /><Relationship Type="http://schemas.openxmlformats.org/officeDocument/2006/relationships/hyperlink" Id="rId93" Target="https://doi.org/10.1371/journal.pone.0213651" TargetMode="External" /><Relationship Type="http://schemas.openxmlformats.org/officeDocument/2006/relationships/hyperlink" Id="rId81" Target="https://doi.org/10.14426/cristal.v11iSI.624" TargetMode="External" /><Relationship Type="http://schemas.openxmlformats.org/officeDocument/2006/relationships/hyperlink" Id="rId101" Target="https://doi.org/10.17718/tojde.640561" TargetMode="External" /><Relationship Type="http://schemas.openxmlformats.org/officeDocument/2006/relationships/hyperlink" Id="rId53" Target="https://doi.org/10.18637/jss.v024.i02" TargetMode="External" /><Relationship Type="http://schemas.openxmlformats.org/officeDocument/2006/relationships/hyperlink" Id="rId46" Target="https://doi.org/10.21105/joss.00774" TargetMode="External" /><Relationship Type="http://schemas.openxmlformats.org/officeDocument/2006/relationships/hyperlink" Id="rId120" Target="https://doi.org/10.3103/S0147688224700023" TargetMode="External" /><Relationship Type="http://schemas.openxmlformats.org/officeDocument/2006/relationships/hyperlink" Id="rId62" Target="https://doi.org/10.3389/frma.2022.893593" TargetMode="External" /><Relationship Type="http://schemas.openxmlformats.org/officeDocument/2006/relationships/hyperlink" Id="rId76" Target="https://doi.org/10.3991/ijep.v15i2.51561" TargetMode="External" /><Relationship Type="http://schemas.openxmlformats.org/officeDocument/2006/relationships/hyperlink" Id="rId79" Target="https://doi.org/10.7238/rusc.v10i2.1744" TargetMode="External" /><Relationship Type="http://schemas.openxmlformats.org/officeDocument/2006/relationships/hyperlink" Id="rId107"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07/978-94-015-9946-7_14" TargetMode="External" /><Relationship Type="http://schemas.openxmlformats.org/officeDocument/2006/relationships/hyperlink" Id="rId105" Target="https://doi.org/10.1007/s10734-017-0193-2" TargetMode="External" /><Relationship Type="http://schemas.openxmlformats.org/officeDocument/2006/relationships/hyperlink" Id="rId103" Target="https://doi.org/10.1007/s10734-020-00511-8" TargetMode="External" /><Relationship Type="http://schemas.openxmlformats.org/officeDocument/2006/relationships/hyperlink" Id="rId58" Target="https://doi.org/10.1007/s41109-025-00696-w" TargetMode="External" /><Relationship Type="http://schemas.openxmlformats.org/officeDocument/2006/relationships/hyperlink" Id="rId126" Target="https://doi.org/10.1016/j.socnet.2008.08.002" TargetMode="External" /><Relationship Type="http://schemas.openxmlformats.org/officeDocument/2006/relationships/hyperlink" Id="rId109" Target="https://doi.org/10.1016/j.socnet.2011.07.001" TargetMode="External" /><Relationship Type="http://schemas.openxmlformats.org/officeDocument/2006/relationships/hyperlink" Id="rId124" Target="https://doi.org/10.1016/j.socnet.2011.12.004" TargetMode="External" /><Relationship Type="http://schemas.openxmlformats.org/officeDocument/2006/relationships/hyperlink" Id="rId89" Target="https://doi.org/10.1016/j.socnet.2021.11.002" TargetMode="External" /><Relationship Type="http://schemas.openxmlformats.org/officeDocument/2006/relationships/hyperlink" Id="rId60" Target="https://doi.org/10.1016/j.stueduc.2021.101031" TargetMode="External" /><Relationship Type="http://schemas.openxmlformats.org/officeDocument/2006/relationships/hyperlink" Id="rId118" Target="https://doi.org/10.1023/A:1015292413037" TargetMode="External" /><Relationship Type="http://schemas.openxmlformats.org/officeDocument/2006/relationships/hyperlink" Id="rId66" Target="https://doi.org/10.1038/d41586-023-03507-3" TargetMode="External" /><Relationship Type="http://schemas.openxmlformats.org/officeDocument/2006/relationships/hyperlink" Id="rId86" Target="https://doi.org/10.1038/s41597-024-03931-8" TargetMode="External" /><Relationship Type="http://schemas.openxmlformats.org/officeDocument/2006/relationships/hyperlink" Id="rId44" Target="https://doi.org/10.1038/s41598-024-61448-x" TargetMode="External" /><Relationship Type="http://schemas.openxmlformats.org/officeDocument/2006/relationships/hyperlink" Id="rId83" Target="https://doi.org/10.1073/pnas.0900943106" TargetMode="External" /><Relationship Type="http://schemas.openxmlformats.org/officeDocument/2006/relationships/hyperlink" Id="rId49" Target="https://doi.org/10.1073/pnas.1804247115" TargetMode="External" /><Relationship Type="http://schemas.openxmlformats.org/officeDocument/2006/relationships/hyperlink" Id="rId91" Target="https://doi.org/10.1080/01621459.2023.2242627" TargetMode="External" /><Relationship Type="http://schemas.openxmlformats.org/officeDocument/2006/relationships/hyperlink" Id="rId99" Target="https://doi.org/10.1080/03075079.2013.823934" TargetMode="External" /><Relationship Type="http://schemas.openxmlformats.org/officeDocument/2006/relationships/hyperlink" Id="rId73" Target="https://doi.org/10.1080/03075079.2023.2254799" TargetMode="External" /><Relationship Type="http://schemas.openxmlformats.org/officeDocument/2006/relationships/hyperlink" Id="rId64" Target="https://doi.org/10.1080/03075079.2024.2316881" TargetMode="External" /><Relationship Type="http://schemas.openxmlformats.org/officeDocument/2006/relationships/hyperlink" Id="rId68" Target="https://doi.org/10.1080/03075079.2025.2515512" TargetMode="External" /><Relationship Type="http://schemas.openxmlformats.org/officeDocument/2006/relationships/hyperlink" Id="rId38" Target="https://doi.org/10.1080/03797720802254031" TargetMode="External" /><Relationship Type="http://schemas.openxmlformats.org/officeDocument/2006/relationships/hyperlink" Id="rId97" Target="https://doi.org/10.1080/0969594X.2018.1454401" TargetMode="External" /><Relationship Type="http://schemas.openxmlformats.org/officeDocument/2006/relationships/hyperlink" Id="rId51" Target="https://doi.org/10.1111/dsji.70003" TargetMode="External" /><Relationship Type="http://schemas.openxmlformats.org/officeDocument/2006/relationships/hyperlink" Id="rId113" Target="https://doi.org/10.1111/hequ.12108" TargetMode="External" /><Relationship Type="http://schemas.openxmlformats.org/officeDocument/2006/relationships/hyperlink" Id="rId40" Target="https://doi.org/10.1126/sciadv.aao6030" TargetMode="External" /><Relationship Type="http://schemas.openxmlformats.org/officeDocument/2006/relationships/hyperlink" Id="rId122" Target="https://doi.org/10.1177/2158244020915904" TargetMode="External" /><Relationship Type="http://schemas.openxmlformats.org/officeDocument/2006/relationships/hyperlink" Id="rId71" Target="https://doi.org/10.1371/journal.pone.0192427" TargetMode="External" /><Relationship Type="http://schemas.openxmlformats.org/officeDocument/2006/relationships/hyperlink" Id="rId93" Target="https://doi.org/10.1371/journal.pone.0213651" TargetMode="External" /><Relationship Type="http://schemas.openxmlformats.org/officeDocument/2006/relationships/hyperlink" Id="rId81" Target="https://doi.org/10.14426/cristal.v11iSI.624" TargetMode="External" /><Relationship Type="http://schemas.openxmlformats.org/officeDocument/2006/relationships/hyperlink" Id="rId101" Target="https://doi.org/10.17718/tojde.640561" TargetMode="External" /><Relationship Type="http://schemas.openxmlformats.org/officeDocument/2006/relationships/hyperlink" Id="rId53" Target="https://doi.org/10.18637/jss.v024.i02" TargetMode="External" /><Relationship Type="http://schemas.openxmlformats.org/officeDocument/2006/relationships/hyperlink" Id="rId46" Target="https://doi.org/10.21105/joss.00774" TargetMode="External" /><Relationship Type="http://schemas.openxmlformats.org/officeDocument/2006/relationships/hyperlink" Id="rId120" Target="https://doi.org/10.3103/S0147688224700023" TargetMode="External" /><Relationship Type="http://schemas.openxmlformats.org/officeDocument/2006/relationships/hyperlink" Id="rId62" Target="https://doi.org/10.3389/frma.2022.893593" TargetMode="External" /><Relationship Type="http://schemas.openxmlformats.org/officeDocument/2006/relationships/hyperlink" Id="rId76" Target="https://doi.org/10.3991/ijep.v15i2.51561" TargetMode="External" /><Relationship Type="http://schemas.openxmlformats.org/officeDocument/2006/relationships/hyperlink" Id="rId79" Target="https://doi.org/10.7238/rusc.v10i2.1744" TargetMode="External" /><Relationship Type="http://schemas.openxmlformats.org/officeDocument/2006/relationships/hyperlink" Id="rId107"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2025-12-14T01:00:39Z</dcterms:created>
  <dcterms:modified xsi:type="dcterms:W3CDTF">2025-12-14T01:00:39Z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