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Basic Skills in Higher Education: A Cross-National Comparison Case Study</w:t>
      </w:r>
    </w:p>
    <w:p>
      <w:pPr>
        <w:pStyle w:val="AbstractTitle"/>
      </w:pPr>
      <w:r>
        <w:t xml:space="preserve">Abstract</w:t>
      </w:r>
    </w:p>
    <w:p>
      <w:pPr>
        <w:pStyle w:val="Abstract"/>
      </w:pPr>
      <w:r>
        <w:t xml:space="preserve">This case study compares the emphasis on ten basic skills as advertised in 3,155 university programs from 481 universities in nine Latin American countries. We model the emphasis on these basic skills as an undirected bipartite network where basic skills are regarded as means that facilitate learning and a rapid acquisition of knowledge. While descriptive analyses reveal that the academic offering is weakly connected to basic skills, inferential analyses based on exponential random graph estimates confirm that scientific reasoning is consistently the most central skill in Latin American graduate programs, while mathematics and writing are less important skills.</w:t>
      </w:r>
    </w:p>
    <w:bookmarkStart w:id="20" w:name="introduction"/>
    <w:p>
      <w:pPr>
        <w:pStyle w:val="Heading1"/>
      </w:pPr>
      <w:r>
        <w:t xml:space="preserve">Introduction</w:t>
      </w:r>
    </w:p>
    <w:p>
      <w:pPr>
        <w:pStyle w:val="FirstParagraph"/>
      </w:pPr>
      <w:r>
        <w:t xml:space="preserve">Basic skills such as reading comprehension, writing, speaking, and critical thinking are essential for both university students and faculty. With the widespread adoption of the so-called</w:t>
      </w:r>
      <w:r>
        <w:t xml:space="preserve"> </w:t>
      </w:r>
      <w:r>
        <w:t xml:space="preserve">“Large Language Models”</w:t>
      </w:r>
      <w:r>
        <w:t xml:space="preserve"> </w:t>
      </w:r>
      <w:r>
        <w:t xml:space="preserve">(LLMs), such as ChatGPT and Microsoft Copilot, there is growing consensus that these technologies have the potential to transform higher education and the way we teach and learn these and other skills</w:t>
      </w:r>
      <w:r>
        <w:t xml:space="preserve"> </w:t>
      </w:r>
      <w:r>
        <w:t xml:space="preserve">(Extance, 2023)</w:t>
      </w:r>
      <w:r>
        <w:t xml:space="preserve">. Although these technologies have only recently been introduced into classrooms, educational researchers have employed various methodological approaches to evaluate their effects on students’ skills, such as creativity</w:t>
      </w:r>
      <w:r>
        <w:t xml:space="preserve"> </w:t>
      </w:r>
      <w:r>
        <w:t xml:space="preserve">(Fisher et al., 2025)</w:t>
      </w:r>
      <w:r>
        <w:t xml:space="preserve"> </w:t>
      </w:r>
      <w:r>
        <w:t xml:space="preserve">and critical thinking</w:t>
      </w:r>
      <w:r>
        <w:t xml:space="preserve"> </w:t>
      </w:r>
      <w:r>
        <w:t xml:space="preserve">(Essien et al., 2024)</w:t>
      </w:r>
      <w:r>
        <w:t xml:space="preserve">. Here, we introduce a cross-national comparative case study that focuses on basic skills in higher education as an additional approach that enriches the methodological toolbox of empirical educational researchers. Our approach leverages principles of network science in education</w:t>
      </w:r>
      <w:r>
        <w:t xml:space="preserve"> </w:t>
      </w:r>
      <w:r>
        <w:t xml:space="preserve">(Cramer et al., 2018)</w:t>
      </w:r>
      <w:r>
        <w:t xml:space="preserve">. Network science has been employed to enhance the teaching of mathematics in both undergraduate</w:t>
      </w:r>
      <w:r>
        <w:t xml:space="preserve"> </w:t>
      </w:r>
      <w:r>
        <w:t xml:space="preserve">(Porter, 2018)</w:t>
      </w:r>
      <w:r>
        <w:t xml:space="preserve"> </w:t>
      </w:r>
      <w:r>
        <w:t xml:space="preserve">and postgraduate courses</w:t>
      </w:r>
      <w:r>
        <w:t xml:space="preserve"> </w:t>
      </w:r>
      <w:r>
        <w:t xml:space="preserve">(Gera, 2018)</w:t>
      </w:r>
      <w:r>
        <w:t xml:space="preserve">. In curriculum development, network science has served to evaluate doctoral programs in the United States of America</w:t>
      </w:r>
      <w:r>
        <w:t xml:space="preserve"> </w:t>
      </w:r>
      <w:r>
        <w:t xml:space="preserve">(Panagakou et al., 2018)</w:t>
      </w:r>
      <w:r>
        <w:t xml:space="preserve"> </w:t>
      </w:r>
      <w:r>
        <w:t xml:space="preserve">and to inspire similar efforts in Europe</w:t>
      </w:r>
      <w:r>
        <w:t xml:space="preserve"> </w:t>
      </w:r>
      <w:r>
        <w:t xml:space="preserve">(Kertész &amp; Vedres, 2018)</w:t>
      </w:r>
      <w:r>
        <w:t xml:space="preserve">. It has also provided several insights into the complex interplay between job requirements and workers’ skills</w:t>
      </w:r>
      <w:r>
        <w:t xml:space="preserve"> </w:t>
      </w:r>
      <w:r>
        <w:t xml:space="preserve">(Alabdulkareem et al., 2018)</w:t>
      </w:r>
      <w:r>
        <w:t xml:space="preserve">. More recently, it served as the framework for a case study estimating the importance of professional skills in accredited graduate marketing programs across three continental regions</w:t>
      </w:r>
      <w:r>
        <w:t xml:space="preserve"> </w:t>
      </w:r>
      <w:r>
        <w:t xml:space="preserve">(Dakduk et al., 2025)</w:t>
      </w:r>
      <w:r>
        <w:t xml:space="preserve">. Building upon network science, our cross-national comparative case study evaluates the relative importance of basic skills in Latin American universities. This case study is motivated by two goals: first, to provide university leaders with data-driven insights on how to conduct empirical analyses of current academic offerings; and second, to offer empirical researchers a statistical approach that enables the estimation of skills importance without relying on survey or self-report questionnaires. From this perspective, the present work integrates the framework of network science</w:t>
      </w:r>
      <w:r>
        <w:t xml:space="preserve"> </w:t>
      </w:r>
      <w:r>
        <w:t xml:space="preserve">(Sayama, 2018)</w:t>
      </w:r>
      <w:r>
        <w:t xml:space="preserve"> </w:t>
      </w:r>
      <w:r>
        <w:t xml:space="preserve">with the logic of case study research methods</w:t>
      </w:r>
      <w:r>
        <w:t xml:space="preserve"> </w:t>
      </w:r>
      <w:r>
        <w:t xml:space="preserve">(Yin, 2018)</w:t>
      </w:r>
      <w:r>
        <w:t xml:space="preserve">.</w:t>
      </w:r>
    </w:p>
    <w:bookmarkEnd w:id="20"/>
    <w:bookmarkStart w:id="21" w:name="X5b0f56f4b1bb1cec4ab3b8f66e60ace621d050a"/>
    <w:p>
      <w:pPr>
        <w:pStyle w:val="Heading1"/>
      </w:pPr>
      <w:r>
        <w:t xml:space="preserve">Network science modeling in higher education</w:t>
      </w:r>
    </w:p>
    <w:p>
      <w:pPr>
        <w:pStyle w:val="FirstParagraph"/>
      </w:pPr>
      <w:r>
        <w:t xml:space="preserve">A central objective of higher education institutions is to provide instruction in technical disciplines that equip students with competencies relevant to the contemporary job market. Understanding how these competencies align with labor market demands is increasingly important for curriculum design and policy-making. In this context, network science offers a powerful framework for modeling the relationships between jobs and skills. Two primary types of network models are commonly used by researchers: unipartite networks, which represent connections among entities of the same type (e.g., skills co-occurrence within job descriptions), and bipartite networks, which link entities of different types (e.g., professions and the skills they require). These models enable researchers to analyze structural patterns, identify skill clusters, and assess the relevance of educational offerings to workforce needs. With a unipartite model,</w:t>
      </w:r>
      <w:r>
        <w:t xml:space="preserve"> </w:t>
      </w:r>
      <w:r>
        <w:t xml:space="preserve">Börner et al. (2018)</w:t>
      </w:r>
      <w:r>
        <w:t xml:space="preserve"> </w:t>
      </w:r>
      <w:r>
        <w:t xml:space="preserve">visualized the dynamic skill (mis)alignment between academic push, industry pull, and educational offerings, focusing on the emerging areas of data science and data engineering in the United States of America by collecting 132,011,926 job advertisements; 3,062,277 course syllabi; and 15,691,162 abstractcs from scientific papers between January 2010 to December 2016.</w:t>
      </w:r>
      <w:r>
        <w:t xml:space="preserve"> </w:t>
      </w:r>
      <w:r>
        <w:t xml:space="preserve">Börner et al. (2018)</w:t>
      </w:r>
      <w:r>
        <w:t xml:space="preserve"> </w:t>
      </w:r>
      <w:r>
        <w:t xml:space="preserve">distinguished the skills that emerged first in job postings before appearing in publications (e.g., Facebook, Industrial Engineering, Android, Business-to-Business) from those that appeared first in publications before job postings (e.g., R programming language, design of experiments, NoSQL, MapReduce, and statistical analysis). They also identified a set of skills that had an important influence in both job postings and publications (e.g., communication, writing, problem solving, teamwork and collaboration, data analysis, project management, and presentation skills). In summary, they concluded that given the notable divergence in skill sets between academic courses and job market needs, universities may need to adapt curricula to better align with industry demands of data science and technology-related skills, which are increasingly in demand across various sectors.</w:t>
      </w:r>
    </w:p>
    <w:p>
      <w:pPr>
        <w:pStyle w:val="BodyText"/>
      </w:pPr>
      <w:r>
        <w:t xml:space="preserve">Vista (2020)</w:t>
      </w:r>
      <w:r>
        <w:t xml:space="preserve"> </w:t>
      </w:r>
      <w:r>
        <w:t xml:space="preserve">analyzed skills’ valuation for architecture and engineering, social sciences, and production occupations, covering 182 occupational profiles described by the occupational information network (O*NET), which is an online database with hundreds of job definitions to help students, job seekers, and business managers to understand the world of work in the United States of America (Peterson et al., 2001; National Research Council, 2010). The results reported by Vista (2020) pinpoint that skills such as critical thinking, judgment and decision making, or complex problem solving remain highly valued regardless the centrality metric used to estimate their importance. Nonetheless, the valuation of other skills can change if they are contextually linked to particular occupations. For example, the skill of social perceptiveness had the highest</w:t>
      </w:r>
      <w:r>
        <w:t xml:space="preserve"> </w:t>
      </w:r>
      <w:r>
        <w:t xml:space="preserve">“transferability value”</w:t>
      </w:r>
      <w:r>
        <w:t xml:space="preserve"> </w:t>
      </w:r>
      <w:r>
        <w:t xml:space="preserve">among social scientists, whereas manual dexterity ranked high for production-related occupations. Here, transferability value refers to the importance of skills in facilitating transitions between different occupations, capturing how easily a skill can be applied or adapted from one job to another, particularly in a landscape where workers may need to shift roles frequently due to changing job markets or economic conditions.</w:t>
      </w:r>
    </w:p>
    <w:p>
      <w:pPr>
        <w:pStyle w:val="BodyText"/>
      </w:pPr>
      <w:r>
        <w:t xml:space="preserve">Gadár &amp; Abonyi (2018)</w:t>
      </w:r>
      <w:r>
        <w:t xml:space="preserve"> </w:t>
      </w:r>
      <w:r>
        <w:t xml:space="preserve">proposed a bipartite network to analyze the educational-occupation match of 15,253 subjects who worked in 402 occupations and graduated from 398 education programs delivered by 52 institutions in Hungary. Their results showed that computer science, nursing, and engineering programs connected to occupations with a scarce source of workers. They also found five components or modules in their network, but the programs-occupation connectivity was stronger in three of these modules. The first module grouped teaching, humanity, and art programs (Germanistic studies), and half of their occupations did not require a higher education diploma, although a quarter of graduates from Germanistic studies worked in the manufacturing and IT sector due in part to their advanced knowledge of the German language. The second module showed connections between business, economics, finance, human resources, social work, nursing, and medical programs with health care, teaching, child care workers, medical technicians, and personal care jobs. The third module revealed the links between engineering, IT, physics, ecology, and earth sciences with production, manufacturing, information managers, life science, and engineering professionals.</w:t>
      </w:r>
    </w:p>
    <w:p>
      <w:pPr>
        <w:pStyle w:val="BodyText"/>
      </w:pPr>
      <w:r>
        <w:t xml:space="preserve">Leveraging bipartite network modeling,</w:t>
      </w:r>
      <w:r>
        <w:t xml:space="preserve"> </w:t>
      </w:r>
      <w:r>
        <w:t xml:space="preserve">Aufiero et al. (2024)</w:t>
      </w:r>
      <w:r>
        <w:t xml:space="preserve"> </w:t>
      </w:r>
      <w:r>
        <w:t xml:space="preserve">characterized the occupational information network (O*NET) through the lenses of the economic complexity framework</w:t>
      </w:r>
      <w:r>
        <w:t xml:space="preserve"> </w:t>
      </w:r>
      <w:r>
        <w:t xml:space="preserve">(Hidalgo &amp; Hausmann, 2009)</w:t>
      </w:r>
      <w:r>
        <w:t xml:space="preserve">. This characterization relied on the following three steps. First, they built a job-skill progression network, where nodes represented jobs and a link between two jobs indicates statistically significant co-occurrence of skills required to carry out those two jobs. Second, they used the fitness and complexity algorithm to define a skill-based complexity measure of jobs that positively maps into wages and in the bottom–up and broad abstract/manual and routine/non-routine job characterisations, however providing a continuous and endogenous metric to assess the complexity of each set of occupational skills. Finally, elaborating upon the relatedness and corporate coherence metrics, they introduced a measure of each job’s skill coherence that negatively maps into wages. Among their findings, they noted two distinct communities. The first community revealed a notable concentration of technical skills mainly associated with industrial production processes, and the second community had a connection with more abstract skills including business, management, and art-related competencies. They noted that cross-functional skills were those related to business and management as they serve as a crucial link between these two communities.</w:t>
      </w:r>
      <w:r>
        <w:t xml:space="preserve"> </w:t>
      </w:r>
      <w:r>
        <w:t xml:space="preserve">Aufiero et al. (2024)</w:t>
      </w:r>
      <w:r>
        <w:t xml:space="preserve"> </w:t>
      </w:r>
      <w:r>
        <w:t xml:space="preserve">reported that</w:t>
      </w:r>
      <w:r>
        <w:t xml:space="preserve"> </w:t>
      </w:r>
      <w:r>
        <w:t xml:space="preserve">“Management and Top Executives,”</w:t>
      </w:r>
      <w:r>
        <w:t xml:space="preserve"> </w:t>
      </w:r>
      <w:r>
        <w:t xml:space="preserve">“Supervisors of Repair and Protective Service Occupations,”</w:t>
      </w:r>
      <w:r>
        <w:t xml:space="preserve"> </w:t>
      </w:r>
      <w:r>
        <w:t xml:space="preserve">“Architects”</w:t>
      </w:r>
      <w:r>
        <w:t xml:space="preserve"> </w:t>
      </w:r>
      <w:r>
        <w:t xml:space="preserve">and</w:t>
      </w:r>
      <w:r>
        <w:t xml:space="preserve"> </w:t>
      </w:r>
      <w:r>
        <w:t xml:space="preserve">“Life Scientists”</w:t>
      </w:r>
      <w:r>
        <w:t xml:space="preserve"> </w:t>
      </w:r>
      <w:r>
        <w:t xml:space="preserve">proved to be among the top fitness jobs. In contrast, low-fitness jobs included</w:t>
      </w:r>
      <w:r>
        <w:t xml:space="preserve"> </w:t>
      </w:r>
      <w:r>
        <w:t xml:space="preserve">“Food Preparation and Serving Related Workers,”</w:t>
      </w:r>
      <w:r>
        <w:t xml:space="preserve"> </w:t>
      </w:r>
      <w:r>
        <w:t xml:space="preserve">“Entertainment Attendants,”</w:t>
      </w:r>
      <w:r>
        <w:t xml:space="preserve"> </w:t>
      </w:r>
      <w:r>
        <w:t xml:space="preserve">“Financial Clerks,”</w:t>
      </w:r>
      <w:r>
        <w:t xml:space="preserve"> </w:t>
      </w:r>
      <w:r>
        <w:t xml:space="preserve">“Personal Appearance, and Administrative Support workers.”</w:t>
      </w:r>
    </w:p>
    <w:p>
      <w:pPr>
        <w:pStyle w:val="BodyText"/>
      </w:pPr>
      <w:r>
        <w:t xml:space="preserve">Leveraging keywords-in-context functions to extract soft skills explicitly mentioned in commercial brochures of university programs,</w:t>
      </w:r>
      <w:r>
        <w:t xml:space="preserve"> </w:t>
      </w:r>
      <w:r>
        <w:t xml:space="preserve">García-Chitiva &amp; Correa (2024)</w:t>
      </w:r>
      <w:r>
        <w:t xml:space="preserve"> </w:t>
      </w:r>
      <w:r>
        <w:t xml:space="preserve">proposed a bipartite network structure to estimate the centrality of 31 soft skills by sampling 230 university programs for three types of graduate studies (i.e., Specialization, Master, and Doctorate) with two quality accreditation standards offered by 49 higher education institutions in Colombia. Here, soft skills refer to abilities related to socio-emotional behavioral control in programs’ intended learning outcomes</w:t>
      </w:r>
      <w:r>
        <w:t xml:space="preserve"> </w:t>
      </w:r>
      <w:r>
        <w:t xml:space="preserve">(Scheerens et al., 2020)</w:t>
      </w:r>
      <w:r>
        <w:t xml:space="preserve">. From this perspective,</w:t>
      </w:r>
      <w:r>
        <w:t xml:space="preserve"> </w:t>
      </w:r>
      <w:r>
        <w:t xml:space="preserve">García-Chitiva &amp; Correa (2024)</w:t>
      </w:r>
      <w:r>
        <w:t xml:space="preserve"> </w:t>
      </w:r>
      <w:r>
        <w:t xml:space="preserve">characterized the skills-programs connectivity as a non-directed bipartite network with binary entries. Among their results, they showed that skills’ centrality varied as a function of the graduate program without revealing statistically significant differences. In addition, while the most central skills tend to be those related to creativity, leadership, and analytical thinking, less central skills were those related to empathy, ethical thinking, and critical thinking. Based on these results, the authors claimed to what extent emphasizing the most visible skills might imply an imbalance in the opportunities to enhance other soft skills, such as ethical thinking in students interested in becoming entrepreneurs.</w:t>
      </w:r>
    </w:p>
    <w:p>
      <w:pPr>
        <w:pStyle w:val="BodyText"/>
      </w:pPr>
      <w:r>
        <w:t xml:space="preserve">More recently,</w:t>
      </w:r>
      <w:r>
        <w:t xml:space="preserve"> </w:t>
      </w:r>
      <w:r>
        <w:t xml:space="preserve">Javadian Sabet et al. (2024)</w:t>
      </w:r>
      <w:r>
        <w:t xml:space="preserve"> </w:t>
      </w:r>
      <w:r>
        <w:t xml:space="preserve">developed the</w:t>
      </w:r>
      <w:r>
        <w:t xml:space="preserve"> </w:t>
      </w:r>
      <w:r>
        <w:t xml:space="preserve">“Course-Skill Atlas”</w:t>
      </w:r>
      <w:r>
        <w:t xml:space="preserve"> </w:t>
      </w:r>
      <w:r>
        <w:t xml:space="preserve">as a longitudinal dataset from over three million course syllabi taught at nearly three thousand higher education institutions in the United States of America. By employing a natural language processing framework called</w:t>
      </w:r>
      <w:r>
        <w:t xml:space="preserve"> </w:t>
      </w:r>
      <w:r>
        <w:t xml:space="preserve">“Syllabus2O*NET,”</w:t>
      </w:r>
      <w:r>
        <w:t xml:space="preserve"> </w:t>
      </w:r>
      <w:r>
        <w:t xml:space="preserve">they processed raw syllabus texts with sentence segmentation, sentence tagging, and sentence embedding to create a vector representation of the syllabi in the ability taxonomy provided by the U.S. Department of Labor’s O*NET taxonomy. They estimated the semantic similarity between identified learning content and detailed work activities from the O*NET taxonomy using SBERT, and generated skill vectors for each analyzed syllabus. The resulting skill profiles were aggregated by institution, year, and academic major. Among their findings, they reported a general trend of increasing alignment between skills taught in higher education and labor market demands over time. However, some specific fields, like computer science, showed stagnant syllabi diverging from rapidly evolving labor force requirements. In their analyses, they also identified distinctive skills for each field of study, revealing that similar academic fields cluster together based on shared workplace activities, forming groups such as STEM and humanities-based majors, without providing further evidence of non-technical skills or soft skills.</w:t>
      </w:r>
    </w:p>
    <w:p>
      <w:pPr>
        <w:pStyle w:val="BodyText"/>
      </w:pPr>
      <w:r>
        <w:t xml:space="preserve">Finally,</w:t>
      </w:r>
      <w:r>
        <w:t xml:space="preserve"> </w:t>
      </w:r>
      <w:r>
        <w:t xml:space="preserve">Dakduk et al. (2025)</w:t>
      </w:r>
      <w:r>
        <w:t xml:space="preserve"> </w:t>
      </w:r>
      <w:r>
        <w:t xml:space="preserve">presented a case study that employed bipartite network modeling to analyze the relationship between 28 professional skills associated with the role of marketing professionals and 258 graduate programs with quality accreditation standards conferred by the Association to Advance Collegiate Schools of Business (AACSB) and offered by 222 public and private universities across three continental regions (i.e., the Americas, the Europe-Africa- Middle East region, and the Asian region). By retrieving information from brochures of Master’s in Marketing offered by AACSB-accredited universities and the profile of marketing managers defined by the O*NET database, they analyzed a sample representing 85.58% of the worldwide academic offering in Master’s in marketing, revealing that most of the global academic offerings for Master’s in Marketing programs is in the American continent (69.77%), followed by the Europe-Africa-Middle East region (19.29%) and the Asian region (10.93%). Among their findings, they reported that while descriptive analysis for skills suggests a qualitative lack of alignment between the job demands captured by O*NET, inferential analyses based on exponential random graph model estimates showed that skill popularity and homophily coexist with a systematic yet weak alignment to job demands for marketing managers. In particular, they found that</w:t>
      </w:r>
      <w:r>
        <w:t xml:space="preserve"> </w:t>
      </w:r>
      <w:r>
        <w:t xml:space="preserve">“management of personnel resources,”</w:t>
      </w:r>
      <w:r>
        <w:t xml:space="preserve"> </w:t>
      </w:r>
      <w:r>
        <w:t xml:space="preserve">“judgment and decision making,”</w:t>
      </w:r>
      <w:r>
        <w:t xml:space="preserve"> </w:t>
      </w:r>
      <w:r>
        <w:t xml:space="preserve">“coordination,”</w:t>
      </w:r>
      <w:r>
        <w:t xml:space="preserve"> </w:t>
      </w:r>
      <w:r>
        <w:t xml:space="preserve">“active listening,”</w:t>
      </w:r>
      <w:r>
        <w:t xml:space="preserve"> </w:t>
      </w:r>
      <w:r>
        <w:t xml:space="preserve">and</w:t>
      </w:r>
      <w:r>
        <w:t xml:space="preserve"> </w:t>
      </w:r>
      <w:r>
        <w:t xml:space="preserve">“management of financial resources”</w:t>
      </w:r>
      <w:r>
        <w:t xml:space="preserve"> </w:t>
      </w:r>
      <w:r>
        <w:t xml:space="preserve">emerged as the most popular skills offered by the programs.</w:t>
      </w:r>
    </w:p>
    <w:p>
      <w:pPr>
        <w:pStyle w:val="BodyText"/>
      </w:pPr>
      <w:r>
        <w:t xml:space="preserve">The empirical evidence summarized here highlights two key principles. First, network science offers a powerful framework for analyzing the importance of skills in higher education. Second, existing applications of this framework have predominantly focused on single-country contexts, while cross-national comparisons are largely absent in the literature. Based on these principles, we focus on Latin America as a relevant context for developing the first cross-national comparison.</w:t>
      </w:r>
    </w:p>
    <w:bookmarkEnd w:id="21"/>
    <w:bookmarkStart w:id="22" w:name="X6b2a934deac4b0b29dfb0dc5c978d35fdd16448"/>
    <w:p>
      <w:pPr>
        <w:pStyle w:val="Heading1"/>
      </w:pPr>
      <w:r>
        <w:t xml:space="preserve">Basic Skills in Latin American Higher Education</w:t>
      </w:r>
    </w:p>
    <w:p>
      <w:pPr>
        <w:pStyle w:val="FirstParagraph"/>
      </w:pPr>
      <w:r>
        <w:t xml:space="preserve">The study of basic skills in Latin American higher education presents a wide variety of methodological approaches, including systematic literature reviews on critical thinking</w:t>
      </w:r>
      <w:r>
        <w:t xml:space="preserve"> </w:t>
      </w:r>
      <w:r>
        <w:t xml:space="preserve">(Guzmán-Valenzuela et al., 2023)</w:t>
      </w:r>
      <w:r>
        <w:t xml:space="preserve">, the estimation of causal effects of an extra year of schooling on mathematics performance</w:t>
      </w:r>
      <w:r>
        <w:t xml:space="preserve"> </w:t>
      </w:r>
      <w:r>
        <w:t xml:space="preserve">(Marchionni &amp; Vazquez, 2019)</w:t>
      </w:r>
      <w:r>
        <w:t xml:space="preserve">, the structural equation modeling of learning strategies</w:t>
      </w:r>
      <w:r>
        <w:t xml:space="preserve"> </w:t>
      </w:r>
      <w:r>
        <w:t xml:space="preserve">(Martínez-Fernández &amp; Vermunt, 2015)</w:t>
      </w:r>
      <w:r>
        <w:t xml:space="preserve">, the evaluation of Twitter’s contribution to improving strategic communication</w:t>
      </w:r>
      <w:r>
        <w:t xml:space="preserve"> </w:t>
      </w:r>
      <w:r>
        <w:t xml:space="preserve">(Guzmán Duque &amp; Moral Pérez, 2013)</w:t>
      </w:r>
      <w:r>
        <w:t xml:space="preserve">, the network-based measurement of critical thinking and communication</w:t>
      </w:r>
      <w:r>
        <w:t xml:space="preserve"> </w:t>
      </w:r>
      <w:r>
        <w:t xml:space="preserve">(García-Chitiva &amp; Correa, 2024)</w:t>
      </w:r>
      <w:r>
        <w:t xml:space="preserve">, or the validation of collaborative online international learning activities to shape communication skills</w:t>
      </w:r>
      <w:r>
        <w:t xml:space="preserve"> </w:t>
      </w:r>
      <w:r>
        <w:t xml:space="preserve">(García-Chitiva et al., 2025)</w:t>
      </w:r>
      <w:r>
        <w:t xml:space="preserve">.</w:t>
      </w:r>
    </w:p>
    <w:p>
      <w:pPr>
        <w:pStyle w:val="BodyText"/>
      </w:pPr>
      <w:r>
        <w:t xml:space="preserve">The analysis of these skills is helpful to understand why their deficiencies and mismatches with labor markets are also attributed to poor quality and responsible for low labor productivity in the region</w:t>
      </w:r>
      <w:r>
        <w:t xml:space="preserve"> </w:t>
      </w:r>
      <w:r>
        <w:t xml:space="preserve">(Mendoza, 2020)</w:t>
      </w:r>
      <w:r>
        <w:t xml:space="preserve">. In this context, it is worth mentioning that despite the economic limitations of Latin American universities, their output provides a continuous flow of scientists and professionals for developed countries and a corresponding loss for emerging economies in Latin America</w:t>
      </w:r>
      <w:r>
        <w:t xml:space="preserve"> </w:t>
      </w:r>
      <w:r>
        <w:t xml:space="preserve">(Echeverría-King et al., 2022)</w:t>
      </w:r>
      <w:r>
        <w:t xml:space="preserve">. Even though this setting has stimulated cross- national comparisons in terms of governance</w:t>
      </w:r>
      <w:r>
        <w:t xml:space="preserve"> </w:t>
      </w:r>
      <w:r>
        <w:t xml:space="preserve">(Amaral et al., 2002)</w:t>
      </w:r>
      <w:r>
        <w:t xml:space="preserve">, political economy</w:t>
      </w:r>
      <w:r>
        <w:t xml:space="preserve"> </w:t>
      </w:r>
      <w:r>
        <w:t xml:space="preserve">(Torres, 2002)</w:t>
      </w:r>
      <w:r>
        <w:t xml:space="preserve">, or predictive power of schooling on economic growth</w:t>
      </w:r>
      <w:r>
        <w:t xml:space="preserve"> </w:t>
      </w:r>
      <w:r>
        <w:t xml:space="preserve">(Laverde-Rojas et al., 2019)</w:t>
      </w:r>
      <w:r>
        <w:t xml:space="preserve">, a cross-national analysis of basic skills as part of the academic offering in the region remains neglected. This argument coincides with reports of the Organization for Economic Cooperation and Development (OECD) that highlight how the economic outcomes in Latin America lag behind in organized adult training and learning activities (OECD, 2023). From this perspective, a focused examination of these basic skills is not only crucial but timely for regional scrutiny.</w:t>
      </w:r>
    </w:p>
    <w:p>
      <w:pPr>
        <w:pStyle w:val="BodyText"/>
      </w:pPr>
      <w:r>
        <w:t xml:space="preserve">The increasing emphasis on skills-based hiring in the modern economy has prompted discussions about the relative importance of demonstrated skills and traditional university degrees</w:t>
      </w:r>
      <w:r>
        <w:t xml:space="preserve"> </w:t>
      </w:r>
      <w:r>
        <w:t xml:space="preserve">(Fuller et al., 2022)</w:t>
      </w:r>
      <w:r>
        <w:t xml:space="preserve">. Amid this shift, several innovations in teaching deliveries are gaining traction. For example, professional certifications by Coursera, EdX, or Udemy through their</w:t>
      </w:r>
      <w:r>
        <w:t xml:space="preserve"> </w:t>
      </w:r>
      <w:r>
        <w:t xml:space="preserve">“massive online open courses”</w:t>
      </w:r>
      <w:r>
        <w:t xml:space="preserve"> </w:t>
      </w:r>
      <w:r>
        <w:t xml:space="preserve">(MOOCs) represent one of these innovations in higher education</w:t>
      </w:r>
      <w:r>
        <w:t xml:space="preserve"> </w:t>
      </w:r>
      <w:r>
        <w:t xml:space="preserve">(Medina Labrador et al., 2019)</w:t>
      </w:r>
      <w:r>
        <w:t xml:space="preserve">. As a consequence, universities are being forced to change their curricula and corresponding academic offering in order to adapt to this skills- oriented education</w:t>
      </w:r>
      <w:r>
        <w:t xml:space="preserve"> </w:t>
      </w:r>
      <w:r>
        <w:t xml:space="preserve">(Javadian Sabet et al., 2024)</w:t>
      </w:r>
      <w:r>
        <w:t xml:space="preserve">.</w:t>
      </w:r>
    </w:p>
    <w:p>
      <w:pPr>
        <w:pStyle w:val="BodyText"/>
      </w:pPr>
      <w:r>
        <w:t xml:space="preserve">As univesity professors, we have witnessed how universities in the region tend to create and use program brochures as a means to advertise and recruit prospective students in their programs. The use of program brochures as raw data for quantitative studies appear in previous research projects for relevant reasons. First, brochures’ content provides a concise representation of the university’s intended learning outcomes and value proposition to prospective students. As a primary source of information for young professionals, brochures are a key medium through which universities communicate the skills and knowledge they aim to develop</w:t>
      </w:r>
      <w:r>
        <w:t xml:space="preserve"> </w:t>
      </w:r>
      <w:r>
        <w:t xml:space="preserve">(Hite &amp; Yearwood, 2001)</w:t>
      </w:r>
      <w:r>
        <w:t xml:space="preserve">. As these materials are often available on university websites, these online platforms have received increased attention as both empirical phenomena and data on organizational behavior in higher education</w:t>
      </w:r>
      <w:r>
        <w:t xml:space="preserve"> </w:t>
      </w:r>
      <w:r>
        <w:t xml:space="preserve">(Pizarro Milian, 2017)</w:t>
      </w:r>
      <w:r>
        <w:t xml:space="preserve">. Furthermore, the systematic analysis of brochures is applicable across the entire postsecondary education ecosystem, including community colleges, for-profit colleges, public universities, and specific academic sub- units such as business schools, law schools, technology institutions, or sociology departments</w:t>
      </w:r>
      <w:r>
        <w:t xml:space="preserve"> </w:t>
      </w:r>
      <w:r>
        <w:t xml:space="preserve">(Milian &amp; Rizk, 2018)</w:t>
      </w:r>
      <w:r>
        <w:t xml:space="preserve">. With the systematic analysis of brochure content, educational researchers can identify possible strategic priorities, perceptions of market demands, and even infer institutional values. For example, brochures might highlight specific industry partnerships to signal a focus on career readiness, or emphasize interdisciplinary programs to reflect a strategic shift towards integrated learning. In terms of institutional values, for instance, brochures can promote that applied research is highly regarded. However, such a claim would be in doubt if the university does not provide access to scientific laboratories, or subscription-based services for scientific and technological information retrieval systems.</w:t>
      </w:r>
    </w:p>
    <w:p>
      <w:pPr>
        <w:pStyle w:val="BodyText"/>
      </w:pPr>
      <w:r>
        <w:t xml:space="preserve">Based on these considerations, we compare the emphasis placed on the basic skills that are regarded as developed capacities that facilitate learning and rapid acquisition of knowledge</w:t>
      </w:r>
      <w:r>
        <w:t xml:space="preserve"> </w:t>
      </w:r>
      <w:r>
        <w:t xml:space="preserve">(National Center for O*NET Development, 2022)</w:t>
      </w:r>
      <w:r>
        <w:t xml:space="preserve">. These basic skills under scrutiny are self-evident and include:</w:t>
      </w:r>
      <w:r>
        <w:t xml:space="preserve"> </w:t>
      </w:r>
      <w:r>
        <w:t xml:space="preserve">“active listening,”</w:t>
      </w:r>
      <w:r>
        <w:t xml:space="preserve"> </w:t>
      </w:r>
      <w:r>
        <w:t xml:space="preserve">“mathematics,”</w:t>
      </w:r>
      <w:r>
        <w:t xml:space="preserve"> </w:t>
      </w:r>
      <w:r>
        <w:t xml:space="preserve">“reading comprehension,”</w:t>
      </w:r>
      <w:r>
        <w:t xml:space="preserve"> </w:t>
      </w:r>
      <w:r>
        <w:t xml:space="preserve">“science,”</w:t>
      </w:r>
      <w:r>
        <w:t xml:space="preserve"> </w:t>
      </w:r>
      <w:r>
        <w:t xml:space="preserve">“speaking,”</w:t>
      </w:r>
      <w:r>
        <w:t xml:space="preserve"> </w:t>
      </w:r>
      <w:r>
        <w:t xml:space="preserve">“writing,”</w:t>
      </w:r>
      <w:r>
        <w:t xml:space="preserve"> </w:t>
      </w:r>
      <w:r>
        <w:t xml:space="preserve">“active learning,”</w:t>
      </w:r>
      <w:r>
        <w:t xml:space="preserve"> </w:t>
      </w:r>
      <w:r>
        <w:t xml:space="preserve">“critical thinking,”</w:t>
      </w:r>
      <w:r>
        <w:t xml:space="preserve"> </w:t>
      </w:r>
      <w:r>
        <w:t xml:space="preserve">“learning strategies,”</w:t>
      </w:r>
      <w:r>
        <w:t xml:space="preserve"> </w:t>
      </w:r>
      <w:r>
        <w:t xml:space="preserve">and</w:t>
      </w:r>
      <w:r>
        <w:t xml:space="preserve"> </w:t>
      </w:r>
      <w:r>
        <w:t xml:space="preserve">“monitoring.”</w:t>
      </w:r>
      <w:r>
        <w:t xml:space="preserve"> </w:t>
      </w:r>
      <w:r>
        <w:t xml:space="preserve">The importance of these basic skills is that they relate to both content and processes providing the basis for other cross-functional skills. While basic skills that fall under the category of</w:t>
      </w:r>
      <w:r>
        <w:t xml:space="preserve"> </w:t>
      </w:r>
      <w:r>
        <w:t xml:space="preserve">“content”</w:t>
      </w:r>
      <w:r>
        <w:t xml:space="preserve"> </w:t>
      </w:r>
      <w:r>
        <w:t xml:space="preserve">(i.e.,</w:t>
      </w:r>
      <w:r>
        <w:t xml:space="preserve"> </w:t>
      </w:r>
      <w:r>
        <w:t xml:space="preserve">“active listening,”</w:t>
      </w:r>
      <w:r>
        <w:t xml:space="preserve"> </w:t>
      </w:r>
      <w:r>
        <w:t xml:space="preserve">“mathematics,”</w:t>
      </w:r>
      <w:r>
        <w:t xml:space="preserve"> </w:t>
      </w:r>
      <w:r>
        <w:t xml:space="preserve">“reading comprehension,”</w:t>
      </w:r>
      <w:r>
        <w:t xml:space="preserve"> </w:t>
      </w:r>
      <w:r>
        <w:t xml:space="preserve">“science,”</w:t>
      </w:r>
      <w:r>
        <w:t xml:space="preserve"> </w:t>
      </w:r>
      <w:r>
        <w:t xml:space="preserve">“speaking,”</w:t>
      </w:r>
      <w:r>
        <w:t xml:space="preserve"> </w:t>
      </w:r>
      <w:r>
        <w:t xml:space="preserve">“writing”</w:t>
      </w:r>
      <w:r>
        <w:t xml:space="preserve">) are regarded as structures needed to work with and acquire more specific skills in a variety of different domains, basic skills that fall under the category of</w:t>
      </w:r>
      <w:r>
        <w:t xml:space="preserve"> </w:t>
      </w:r>
      <w:r>
        <w:t xml:space="preserve">“processes”</w:t>
      </w:r>
      <w:r>
        <w:t xml:space="preserve"> </w:t>
      </w:r>
      <w:r>
        <w:t xml:space="preserve">(i.e.,</w:t>
      </w:r>
      <w:r>
        <w:t xml:space="preserve"> </w:t>
      </w:r>
      <w:r>
        <w:t xml:space="preserve">“active learning,”</w:t>
      </w:r>
      <w:r>
        <w:t xml:space="preserve"> </w:t>
      </w:r>
      <w:r>
        <w:t xml:space="preserve">“critical thinking,”</w:t>
      </w:r>
      <w:r>
        <w:t xml:space="preserve"> </w:t>
      </w:r>
      <w:r>
        <w:t xml:space="preserve">“learning strategies,”</w:t>
      </w:r>
      <w:r>
        <w:t xml:space="preserve"> </w:t>
      </w:r>
      <w:r>
        <w:t xml:space="preserve">and</w:t>
      </w:r>
      <w:r>
        <w:t xml:space="preserve"> </w:t>
      </w:r>
      <w:r>
        <w:t xml:space="preserve">“monitoring”</w:t>
      </w:r>
      <w:r>
        <w:t xml:space="preserve">) are procedures that contribute to the more rapid acquisition of knowledge and skill across a variety of domains.</w:t>
      </w:r>
    </w:p>
    <w:bookmarkEnd w:id="22"/>
    <w:bookmarkStart w:id="37" w:name="methods-and-data"/>
    <w:p>
      <w:pPr>
        <w:pStyle w:val="Heading1"/>
      </w:pPr>
      <w:r>
        <w:t xml:space="preserve">Methods and Data</w:t>
      </w:r>
    </w:p>
    <w:p>
      <w:pPr>
        <w:pStyle w:val="FirstParagraph"/>
      </w:pPr>
      <w:r>
        <w:t xml:space="preserve">This study follows the logic of a case study research</w:t>
      </w:r>
      <w:r>
        <w:t xml:space="preserve"> </w:t>
      </w:r>
      <w:r>
        <w:t xml:space="preserve">(Yin, 2018)</w:t>
      </w:r>
      <w:r>
        <w:t xml:space="preserve"> </w:t>
      </w:r>
      <w:r>
        <w:t xml:space="preserve">leveraging bipartite network modeling</w:t>
      </w:r>
      <w:r>
        <w:t xml:space="preserve"> </w:t>
      </w:r>
      <w:r>
        <w:t xml:space="preserve">(Wang et al., 2009, 2013)</w:t>
      </w:r>
      <w:r>
        <w:t xml:space="preserve">. Bipartite network modeling is a useful approach for analyzing the relationship between basic skills and the academic offering of higher education institutions across the globe</w:t>
      </w:r>
      <w:r>
        <w:t xml:space="preserve"> </w:t>
      </w:r>
      <w:r>
        <w:t xml:space="preserve">(Dakduk et al., 2025)</w:t>
      </w:r>
      <w:r>
        <w:t xml:space="preserve">. Our case study extends the scope of previous works as it incorporates inferential statistical tests that rely on exponential random graph modeling estimates</w:t>
      </w:r>
      <w:r>
        <w:t xml:space="preserve"> </w:t>
      </w:r>
      <w:r>
        <w:t xml:space="preserve">(Cranmer et al., 2021)</w:t>
      </w:r>
      <w:r>
        <w:t xml:space="preserve">. A visual representation of our research workflow is available in Figure 1.</w:t>
      </w:r>
    </w:p>
    <w:p>
      <w:pPr>
        <w:pStyle w:val="CaptionedFigure"/>
      </w:pPr>
      <w:r>
        <w:drawing>
          <wp:inline>
            <wp:extent cx="5334000" cy="3403504"/>
            <wp:effectExtent b="0" l="0" r="0" t="0"/>
            <wp:docPr descr="Figure 1: Workflow of data collection, text pre-processing, and network analysis." title="" id="24" name="Picture"/>
            <a:graphic>
              <a:graphicData uri="http://schemas.openxmlformats.org/drawingml/2006/picture">
                <pic:pic>
                  <pic:nvPicPr>
                    <pic:cNvPr descr="Workflow.png" id="25" name="Picture"/>
                    <pic:cNvPicPr>
                      <a:picLocks noChangeArrowheads="1" noChangeAspect="1"/>
                    </pic:cNvPicPr>
                  </pic:nvPicPr>
                  <pic:blipFill>
                    <a:blip r:embed="rId23"/>
                    <a:stretch>
                      <a:fillRect/>
                    </a:stretch>
                  </pic:blipFill>
                  <pic:spPr bwMode="auto">
                    <a:xfrm>
                      <a:off x="0" y="0"/>
                      <a:ext cx="5334000" cy="3403504"/>
                    </a:xfrm>
                    <a:prstGeom prst="rect">
                      <a:avLst/>
                    </a:prstGeom>
                    <a:noFill/>
                    <a:ln w="9525">
                      <a:noFill/>
                      <a:headEnd/>
                      <a:tailEnd/>
                    </a:ln>
                  </pic:spPr>
                </pic:pic>
              </a:graphicData>
            </a:graphic>
          </wp:inline>
        </w:drawing>
      </w:r>
    </w:p>
    <w:p>
      <w:pPr>
        <w:pStyle w:val="ImageCaption"/>
      </w:pPr>
      <w:r>
        <w:t xml:space="preserve">Figure 1: Workflow of data collection, text pre-processing, and network analysis.</w:t>
      </w:r>
    </w:p>
    <w:p>
      <w:pPr>
        <w:pStyle w:val="BodyText"/>
      </w:pPr>
      <w:r>
        <w:t xml:space="preserve">This workflow shows a series of methodological steps that facilitates the understanding of data collection, text pre-processing, and inferential network analyses. The workflow underscores the methodological transparency, reproducibility and analytical scalability of the approach, demonstrating how this case study can be extended to large-scale and cross- regional comparisons in higher education research beyond the Latin American region.</w:t>
      </w:r>
    </w:p>
    <w:bookmarkStart w:id="28" w:name="data-sources"/>
    <w:p>
      <w:pPr>
        <w:pStyle w:val="Heading2"/>
      </w:pPr>
      <w:r>
        <w:t xml:space="preserve">Data sources</w:t>
      </w:r>
    </w:p>
    <w:p>
      <w:pPr>
        <w:pStyle w:val="FirstParagraph"/>
      </w:pPr>
      <w:r>
        <w:t xml:space="preserve">We used two open-access data sources: Webometrics Ranking of World Universities and the Occupational Information Network. The Webometrics Ranking of World Universities</w:t>
      </w:r>
      <w:r>
        <w:t xml:space="preserve"> </w:t>
      </w:r>
      <w:r>
        <w:t xml:space="preserve">(Aguillo et al., 2008)</w:t>
      </w:r>
      <w:r>
        <w:t xml:space="preserve"> </w:t>
      </w:r>
      <w:r>
        <w:t xml:space="preserve">was selected because it provides comprehensive and regularly updated coverage of over 31,000 Higher Education Institutions (HEIs) from 223 countries and territories in seven regions (i.e., North America, Latin America, Europe, Asia, Africa, the Arab World, and Oceania). Compared with other ranking systems such as times higher education (THE), Quacquarelli Symonds (QS), or Academic Ranking of World Universities (ARWU), Webometrics primarily focuses on the volume and visibility of a university’s web presence and online activity. Its goal is to promote the Open Access initiative and the electronic publication of academic materials. Webometrics is the largest ranking system, covering tens of thousands of higher education institutions, including many not represented in the selective QS or THE lists. This ranking ensures that sampled universities maintain verifiable online visibility, which is crucial for accessing official program brochures and institutional data required for text-based analyses</w:t>
      </w:r>
      <w:r>
        <w:t xml:space="preserve"> </w:t>
      </w:r>
      <w:r>
        <w:t xml:space="preserve">(Udartseva, 2024)</w:t>
      </w:r>
      <w:r>
        <w:t xml:space="preserve">. Webometrics has served as a fundamental basis for evaluating the global improvement in universities as a result of educational innovation governance</w:t>
      </w:r>
      <w:r>
        <w:t xml:space="preserve"> </w:t>
      </w:r>
      <w:r>
        <w:t xml:space="preserve">(De los Ríos-Carmenado et al., 2021)</w:t>
      </w:r>
      <w:r>
        <w:t xml:space="preserve">.</w:t>
      </w:r>
    </w:p>
    <w:p>
      <w:pPr>
        <w:pStyle w:val="BodyText"/>
      </w:pPr>
      <w:r>
        <w:t xml:space="preserve">The Occupational Information Network (O*NET), maintained by the U.S. Department of Labor’s Employment and Training Administration, provides detailed descriptions of the world of work for use by job seekers, talent recruiters, students, developers, researchers, and other professionals. O*NET has been useful for designing graduate curricula by using market-driven skills</w:t>
      </w:r>
      <w:r>
        <w:t xml:space="preserve"> </w:t>
      </w:r>
      <w:r>
        <w:t xml:space="preserve">(Boshkoska et al., 2025)</w:t>
      </w:r>
      <w:r>
        <w:t xml:space="preserve">. We visited the O*NET website to conduct a series of queries about the set of basic skills available for a significant sample of job descriptions^[</w:t>
      </w:r>
      <w:hyperlink r:id="rId26">
        <w:r>
          <w:rPr>
            <w:rStyle w:val="Hyperlink"/>
          </w:rPr>
          <w:t xml:space="preserve">https://www.onetcenter.org/dictionary/30.0/excel/skills.html</w:t>
        </w:r>
      </w:hyperlink>
      <w:r>
        <w:t xml:space="preserve">] . We relied on the list of the 10 basic skills defined by O*NET as developed capacities that facilitate learning or the more rapid acquisition of knowledge^[</w:t>
      </w:r>
      <w:hyperlink r:id="rId27">
        <w:r>
          <w:rPr>
            <w:rStyle w:val="Hyperlink"/>
          </w:rPr>
          <w:t xml:space="preserve">https://www.onetonline.org/find/descriptor/browse/2.A</w:t>
        </w:r>
      </w:hyperlink>
      <w:r>
        <w:t xml:space="preserve">]. With this skill set, we focused our sampling procedure on the academic offerings of a selected group of nine Latin American countries. Among these, four nations are members of the Organization for Economic Co-operation and Development (i.e., Mexico, Costa Rica, Colombia, and Chile), while the remaining five are not (i.e., Argentina, Brazil, Ecuador, Uruguay, and Venezuela). Selecting these countries enables a more effective analysis for future studies focused on comparative educational policies.</w:t>
      </w:r>
    </w:p>
    <w:bookmarkEnd w:id="28"/>
    <w:bookmarkStart w:id="29" w:name="statistical-sample"/>
    <w:p>
      <w:pPr>
        <w:pStyle w:val="Heading2"/>
      </w:pPr>
      <w:r>
        <w:t xml:space="preserve">Statistical sample</w:t>
      </w:r>
    </w:p>
    <w:p>
      <w:pPr>
        <w:pStyle w:val="FirstParagraph"/>
      </w:pPr>
      <w:r>
        <w:t xml:space="preserve">Our sample covers 481 higher education institutions with 3,155 postgraduate programs across nine Latin American countries: Argentina (n = 514), Brazil (n = 922), Chile (n = 208), Colombia (n = 230), Costa Rica (n = 120), Ecuador (n = 731), Mexico (n = 553), Uruguay (n = 147), and Venezuela (n = 210). The sample covers the main UNESCO fields and subdisciplines of science, technology, and innovation, offering a broad regional overview of curriculum design patterns in Latin American postgraduate education. Given the number of countries, universities, and programs sampled, our sample is fairly distant from representing the whole academic offering in the region. Nonetheless, our sample is largely enough to conduct inferential network analyses</w:t>
      </w:r>
      <w:r>
        <w:t xml:space="preserve"> </w:t>
      </w:r>
      <w:r>
        <w:t xml:space="preserve">(Cranmer et al., 2021)</w:t>
      </w:r>
      <w:r>
        <w:t xml:space="preserve">.</w:t>
      </w:r>
    </w:p>
    <w:p>
      <w:pPr>
        <w:pStyle w:val="BodyText"/>
      </w:pPr>
      <w:r>
        <w:t xml:space="preserve">We downloaded program’s brochure in a portable document format (PDF) or MS Word file format to a GitHub repository from the official university websites. Each brochure corresponds to a postgraduate program:</w:t>
      </w:r>
      <w:r>
        <w:t xml:space="preserve"> </w:t>
      </w:r>
      <w:r>
        <w:t xml:space="preserve">“specialization,”</w:t>
      </w:r>
      <w:r>
        <w:t xml:space="preserve"> </w:t>
      </w:r>
      <w:r>
        <w:t xml:space="preserve">“master’s,”</w:t>
      </w:r>
      <w:r>
        <w:t xml:space="preserve"> </w:t>
      </w:r>
      <w:r>
        <w:t xml:space="preserve">and</w:t>
      </w:r>
      <w:r>
        <w:t xml:space="preserve"> </w:t>
      </w:r>
      <w:r>
        <w:t xml:space="preserve">“doctorate.”</w:t>
      </w:r>
      <w:r>
        <w:t xml:space="preserve"> </w:t>
      </w:r>
      <w:r>
        <w:t xml:space="preserve">These categories differentiate their target audience and distinguish the duration of the study plan students should follow before getting their diplomas. While the standard duration for specializations is one year or two academic semesters (except for health-related occupations that can last two or three years), masters require two years or four academic semesters, and doctorates can last at least three years or six academic semesters.</w:t>
      </w:r>
    </w:p>
    <w:bookmarkEnd w:id="29"/>
    <w:bookmarkStart w:id="36" w:name="research-design"/>
    <w:p>
      <w:pPr>
        <w:pStyle w:val="Heading2"/>
      </w:pPr>
      <w:r>
        <w:t xml:space="preserve">Research design</w:t>
      </w:r>
    </w:p>
    <w:p>
      <w:pPr>
        <w:pStyle w:val="FirstParagraph"/>
      </w:pPr>
      <w:r>
        <w:t xml:space="preserve">Our case study has a cross-case synthesis design</w:t>
      </w:r>
      <w:r>
        <w:t xml:space="preserve"> </w:t>
      </w:r>
      <w:r>
        <w:t xml:space="preserve">(Yin, 2018)</w:t>
      </w:r>
      <w:r>
        <w:t xml:space="preserve">, which enables analytical comparison across national contexts through structured synthesis supported by network- based data modeling. This design is particularly appropriate for investigating</w:t>
      </w:r>
      <w:r>
        <w:t xml:space="preserve"> </w:t>
      </w:r>
      <w:r>
        <w:t xml:space="preserve">“how”</w:t>
      </w:r>
      <w:r>
        <w:t xml:space="preserve"> </w:t>
      </w:r>
      <w:r>
        <w:t xml:space="preserve">and</w:t>
      </w:r>
      <w:r>
        <w:t xml:space="preserve"> </w:t>
      </w:r>
      <w:r>
        <w:t xml:space="preserve">“why”</w:t>
      </w:r>
      <w:r>
        <w:t xml:space="preserve"> </w:t>
      </w:r>
      <w:r>
        <w:t xml:space="preserve">questions about contemporary phenomena without requiring experimental control over behavioral events such as university staff advertising or posting new postgraduate programs. Our case study involves an in-depth exploration of a phenomenon within its real-life context, particularly when the boundaries between the phenomenon and its context are not clearly defined. Case studies rely on multiple sources of evidence, and benefit from prior empirical or theoretical propositions that guide data collection and analysis. In this case, institutional data from Webometrics and the O*NET skills taxonomy provided the conceptual and empirical foundations for data collection and analysis.</w:t>
      </w:r>
    </w:p>
    <w:bookmarkStart w:id="30" w:name="research-questions"/>
    <w:p>
      <w:pPr>
        <w:pStyle w:val="Heading3"/>
      </w:pPr>
      <w:r>
        <w:t xml:space="preserve">Research questions</w:t>
      </w:r>
    </w:p>
    <w:p>
      <w:pPr>
        <w:pStyle w:val="FirstParagraph"/>
      </w:pPr>
      <w:r>
        <w:t xml:space="preserve">To guide the analytical design of this study, we formulated a set of research questions that align the conceptual framework with the empirical modeling strategy:</w:t>
      </w:r>
    </w:p>
    <w:p>
      <w:pPr>
        <w:numPr>
          <w:ilvl w:val="0"/>
          <w:numId w:val="1001"/>
        </w:numPr>
      </w:pPr>
      <w:r>
        <w:t xml:space="preserve">RQ1:</w:t>
      </w:r>
      <w:r>
        <w:t xml:space="preserve"> </w:t>
      </w:r>
      <w:r>
        <w:rPr>
          <w:i/>
          <w:iCs/>
        </w:rPr>
        <w:t xml:space="preserve">How does the importance of basic skills vary across Latin American nations?</w:t>
      </w:r>
    </w:p>
    <w:p>
      <w:pPr>
        <w:numPr>
          <w:ilvl w:val="0"/>
          <w:numId w:val="1000"/>
        </w:numPr>
      </w:pPr>
      <w:r>
        <w:t xml:space="preserve">This question addresses an empirical gap in the comparative study of job-related skills across national contexts. While previous research has primarily examined the relevance of such skills within individual countries</w:t>
      </w:r>
      <w:r>
        <w:t xml:space="preserve"> </w:t>
      </w:r>
      <w:r>
        <w:t xml:space="preserve">(Gadár &amp; Abonyi, 2018; García-Chitiva &amp; Correa, 2024; Vista, 2020)</w:t>
      </w:r>
      <w:r>
        <w:t xml:space="preserve">, cross-country comparisons remain limited due to methodological and cultural constraints. To address these challenges, we develop a bipartite network approach that facilitates cross-national comparison of skills and programs as interconnected partitions within Latin American postgraduate offerings where Spanish is the primary language of instruction. To the best of our knowledge, this constitutes the first study of its kind in the existing literature and can be characterized as a cross-case synthesis according to</w:t>
      </w:r>
      <w:r>
        <w:t xml:space="preserve"> </w:t>
      </w:r>
      <w:r>
        <w:t xml:space="preserve">Yin (2018)</w:t>
      </w:r>
      <w:r>
        <w:t xml:space="preserve">.</w:t>
      </w:r>
    </w:p>
    <w:p>
      <w:pPr>
        <w:numPr>
          <w:ilvl w:val="0"/>
          <w:numId w:val="1001"/>
        </w:numPr>
      </w:pPr>
      <w:r>
        <w:t xml:space="preserve">RQ2.</w:t>
      </w:r>
      <w:r>
        <w:t xml:space="preserve"> </w:t>
      </w:r>
      <w:r>
        <w:rPr>
          <w:i/>
          <w:iCs/>
        </w:rPr>
        <w:t xml:space="preserve">What are the top five most central basic skills across the Latin American academic offering?</w:t>
      </w:r>
    </w:p>
    <w:p>
      <w:pPr>
        <w:numPr>
          <w:ilvl w:val="0"/>
          <w:numId w:val="1000"/>
        </w:numPr>
      </w:pPr>
      <w:r>
        <w:t xml:space="preserve">This question explores which basic skills hold the greatest structural prominence across Latin American postgraduate programs. To the best of our knowledge, available evidence suggest that critical thinking, or communication are basic skills with limited important for countries like Colombia</w:t>
      </w:r>
      <w:r>
        <w:t xml:space="preserve"> </w:t>
      </w:r>
      <w:r>
        <w:t xml:space="preserve">(García-Chitiva &amp; Correa, 2024)</w:t>
      </w:r>
      <w:r>
        <w:t xml:space="preserve">. Yet, the evidence about the importance of basic skills in Latin American universities remains neglected in the literature.</w:t>
      </w:r>
    </w:p>
    <w:p>
      <w:pPr>
        <w:numPr>
          <w:ilvl w:val="0"/>
          <w:numId w:val="1001"/>
        </w:numPr>
      </w:pPr>
      <w:r>
        <w:t xml:space="preserve">RQ3.</w:t>
      </w:r>
      <w:r>
        <w:t xml:space="preserve"> </w:t>
      </w:r>
      <w:r>
        <w:rPr>
          <w:i/>
          <w:iCs/>
        </w:rPr>
        <w:t xml:space="preserve">Are there significant differences in the ranking of basic skills across Latin American countries?</w:t>
      </w:r>
    </w:p>
    <w:p>
      <w:pPr>
        <w:numPr>
          <w:ilvl w:val="0"/>
          <w:numId w:val="1000"/>
        </w:numPr>
      </w:pPr>
      <w:r>
        <w:t xml:space="preserve">This question examines whether statistically significant differences exist in the ranking of basic skills among Latin American countries. We test for cross-national variation using inferential network models, based on the idea that educational systems change the skills they focus on depending on their missions and policies.</w:t>
      </w:r>
    </w:p>
    <w:p>
      <w:pPr>
        <w:pStyle w:val="FirstParagraph"/>
      </w:pPr>
      <w:r>
        <w:t xml:space="preserve">In summary, these research questions provide a coherent framework to explore how foundational skills are represented, prioritized, and differentiated across Latin American postgraduate education, linking empirical network analysis with broader discussions on curriculum design and policy alignment.</w:t>
      </w:r>
    </w:p>
    <w:bookmarkEnd w:id="30"/>
    <w:bookmarkStart w:id="31" w:name="research-propositions"/>
    <w:p>
      <w:pPr>
        <w:pStyle w:val="Heading3"/>
      </w:pPr>
      <w:r>
        <w:t xml:space="preserve">Research propositions</w:t>
      </w:r>
    </w:p>
    <w:p>
      <w:pPr>
        <w:pStyle w:val="FirstParagraph"/>
      </w:pPr>
      <w:r>
        <w:t xml:space="preserve">To address the research propositions, we model the relationship between basic skills and programs as an undirected bipartite network. In this structure, nodes from one partition represent skills, while nodes from the other represent postgraduate programs. An edge denotes the explicit presence of a given skill within a specific program description. Since these links are non-directed, there is no need to distinguish in-degree from out-degree connectivity (i.e., we do not differentiate connectivity from node A to B versus node B to A).</w:t>
      </w:r>
    </w:p>
    <w:p>
      <w:pPr>
        <w:pStyle w:val="BodyText"/>
      </w:pPr>
      <w:r>
        <w:t xml:space="preserve">With this model we can analyze the relative importance of basic skills for graduate university programs across sampled countries. To the best of our knowledge, the literature has neglected this characterization of the academic offering. Our central research proposition is that the relative importance of basic skills can be inferred by their network centrality within the structure of a bipartite network that captures the aspects of the academic offefring described previously. The exploratory nature of this research along with the recognition of its lack of statistical representativeness provide the basis for framing our work as a cross-case synthesis</w:t>
      </w:r>
      <w:r>
        <w:t xml:space="preserve"> </w:t>
      </w:r>
      <w:r>
        <w:t xml:space="preserve">(Yin, 2018)</w:t>
      </w:r>
      <w:r>
        <w:t xml:space="preserve">. We should not confuse the absence of statistical representativeness in this context with a lack of rigor. Instead, framing this research as a case study recognizes its intrinsic limitations for any attempt of statistical generalization.</w:t>
      </w:r>
    </w:p>
    <w:bookmarkEnd w:id="31"/>
    <w:bookmarkStart w:id="32" w:name="data-analytic-plan"/>
    <w:p>
      <w:pPr>
        <w:pStyle w:val="Heading3"/>
      </w:pPr>
      <w:r>
        <w:t xml:space="preserve">Data analytic plan</w:t>
      </w:r>
    </w:p>
    <w:p>
      <w:pPr>
        <w:pStyle w:val="FirstParagraph"/>
      </w:pPr>
      <w:r>
        <w:t xml:space="preserve">We combine descriptive and inferential network analyses as complementary parts of the analytic plan. The descriptive analyses aimed to quantify the structural characteristics of the bipartite network of skills and programs by national sub-networks. These procedures were implemented in the R programming language</w:t>
      </w:r>
      <w:r>
        <w:t xml:space="preserve"> </w:t>
      </w:r>
      <w:r>
        <w:t xml:space="preserve">(Luke, 2015)</w:t>
      </w:r>
      <w:r>
        <w:t xml:space="preserve"> </w:t>
      </w:r>
      <w:r>
        <w:t xml:space="preserve">using igraph</w:t>
      </w:r>
      <w:r>
        <w:t xml:space="preserve"> </w:t>
      </w:r>
      <w:r>
        <w:t xml:space="preserve">(Csardi &amp; Nepusz, 2006)</w:t>
      </w:r>
      <w:r>
        <w:t xml:space="preserve">, and network</w:t>
      </w:r>
      <w:r>
        <w:t xml:space="preserve"> </w:t>
      </w:r>
      <w:r>
        <w:t xml:space="preserve">(Butts, 2008)</w:t>
      </w:r>
      <w:r>
        <w:t xml:space="preserve">. The inferential network analyses were also conducted in R, relying on state-of-the-art algorithms of exponential random graph modeling</w:t>
      </w:r>
      <w:r>
        <w:t xml:space="preserve"> </w:t>
      </w:r>
      <w:r>
        <w:t xml:space="preserve">(Lusher et al., 2013)</w:t>
      </w:r>
      <w:r>
        <w:t xml:space="preserve"> </w:t>
      </w:r>
      <w:r>
        <w:t xml:space="preserve">through the library ergm</w:t>
      </w:r>
      <w:r>
        <w:t xml:space="preserve"> </w:t>
      </w:r>
      <w:r>
        <w:t xml:space="preserve">(Krivitsky et al., 2023)</w:t>
      </w:r>
      <w:r>
        <w:t xml:space="preserve">.</w:t>
      </w:r>
    </w:p>
    <w:p>
      <w:pPr>
        <w:pStyle w:val="BodyText"/>
      </w:pPr>
      <w:r>
        <w:t xml:space="preserve">Our approach provides a robust statistical framework to understand the network structure of the academic offering of basic skills in the region. In this context, exponential random graph models (ERGM) provide a good choice for cases where the outcome of interest is the presence or absence of edges</w:t>
      </w:r>
      <w:r>
        <w:t xml:space="preserve"> </w:t>
      </w:r>
      <w:r>
        <w:t xml:space="preserve">(Cranmer et al., 2021)</w:t>
      </w:r>
      <w:r>
        <w:t xml:space="preserve">. The major advantage of these models is that they can scrutinize how edges depend on each other by distinguishing between exogenous and endogenous effects. According to</w:t>
      </w:r>
      <w:r>
        <w:t xml:space="preserve"> </w:t>
      </w:r>
      <w:r>
        <w:t xml:space="preserve">Cranmer et al. (2021)</w:t>
      </w:r>
      <w:r>
        <w:t xml:space="preserve">, exogeneous factors are those occurring outside the outcome network. In our case study, exogenous factors include the length of program brochure, the target audience of prorams (e.g., specialization, master’s, PhD), or whether the sampled country is an OECD member. In contrast, endogeneous factors are those dependencies among the ties. For example, in our case study, an endogeneous factor is the popularity of a given skill based on the number of connections it has with university programs.</w:t>
      </w:r>
    </w:p>
    <w:p>
      <w:pPr>
        <w:pStyle w:val="BodyText"/>
      </w:pPr>
      <w:r>
        <w:t xml:space="preserve">We formalized the relationship between skills and programs as a rectangular skills-programs matrix</w:t>
      </w:r>
      <w:r>
        <w:t xml:space="preserve"> </w:t>
      </w:r>
      <m:oMath>
        <m:r>
          <m:t>Y</m:t>
        </m:r>
        <m:r>
          <m:rPr>
            <m:sty m:val="p"/>
          </m:rPr>
          <m:t>=</m:t>
        </m:r>
        <m:d>
          <m:dPr>
            <m:begChr m:val="("/>
            <m:sepChr m:val=""/>
            <m:endChr m:val=")"/>
            <m:grow/>
          </m:dPr>
          <m:e>
            <m:r>
              <m:t>R</m:t>
            </m:r>
            <m:r>
              <m:rPr>
                <m:sty m:val="p"/>
              </m:rPr>
              <m:t>,</m:t>
            </m:r>
            <m:r>
              <m:t>C</m:t>
            </m:r>
            <m:r>
              <m:rPr>
                <m:sty m:val="p"/>
              </m:rPr>
              <m:t>,</m:t>
            </m:r>
            <m:r>
              <m:t>E</m:t>
            </m:r>
          </m:e>
        </m:d>
      </m:oMath>
      <w:r>
        <w:t xml:space="preserve">, where skills</w:t>
      </w:r>
      <w:r>
        <w:t xml:space="preserve"> </w:t>
      </w:r>
      <m:oMath>
        <m:d>
          <m:dPr>
            <m:begChr m:val="("/>
            <m:sepChr m:val=""/>
            <m:endChr m:val=")"/>
            <m:grow/>
          </m:dPr>
          <m:e>
            <m:r>
              <m:t>R</m:t>
            </m:r>
          </m:e>
        </m:d>
      </m:oMath>
      <w:r>
        <w:t xml:space="preserve"> </w:t>
      </w:r>
      <w:r>
        <w:t xml:space="preserve">and programs</w:t>
      </w:r>
      <w:r>
        <w:t xml:space="preserve"> </w:t>
      </w:r>
      <m:oMath>
        <m:d>
          <m:dPr>
            <m:begChr m:val="("/>
            <m:sepChr m:val=""/>
            <m:endChr m:val=")"/>
            <m:grow/>
          </m:dPr>
          <m:e>
            <m:r>
              <m:t>C</m:t>
            </m:r>
          </m:e>
        </m:d>
      </m:oMath>
      <w:r>
        <w:t xml:space="preserve"> </w:t>
      </w:r>
      <w:r>
        <w:t xml:space="preserve">form two distinct node sets connected through the edge set</w:t>
      </w:r>
      <w:r>
        <w:t xml:space="preserve"> </w:t>
      </w:r>
      <m:oMath>
        <m:r>
          <m:t>E</m:t>
        </m:r>
      </m:oMath>
      <w:r>
        <w:t xml:space="preserve">, and</w:t>
      </w:r>
      <w:r>
        <w:t xml:space="preserve"> </w:t>
      </w:r>
      <m:oMath>
        <m:r>
          <m:t>E</m:t>
        </m:r>
        <m:r>
          <m:rPr>
            <m:sty m:val="p"/>
          </m:rPr>
          <m:t>⊆</m:t>
        </m:r>
        <m:r>
          <m:t>R</m:t>
        </m:r>
        <m:r>
          <m:rPr>
            <m:sty m:val="p"/>
          </m:rPr>
          <m:t>×</m:t>
        </m:r>
        <m:r>
          <m:t>C</m:t>
        </m:r>
      </m:oMath>
      <w:r>
        <w:t xml:space="preserve">. Each cell</w:t>
      </w:r>
      <w:r>
        <w:t xml:space="preserve"> </w:t>
      </w:r>
      <m:oMath>
        <m:sSub>
          <m:e>
            <m:r>
              <m:t>E</m:t>
            </m:r>
          </m:e>
          <m:sub>
            <m:r>
              <m:t>i</m:t>
            </m:r>
            <m:r>
              <m:rPr>
                <m:sty m:val="p"/>
              </m:rPr>
              <m:t>,</m:t>
            </m:r>
            <m:r>
              <m:t>j</m:t>
            </m:r>
          </m:sub>
        </m:sSub>
      </m:oMath>
      <w:r>
        <w:t xml:space="preserve"> </w:t>
      </w:r>
      <w:r>
        <w:t xml:space="preserve">indicates whether skill</w:t>
      </w:r>
      <w:r>
        <w:t xml:space="preserve"> </w:t>
      </w:r>
      <m:oMath>
        <m:r>
          <m:t>i</m:t>
        </m:r>
      </m:oMath>
      <w:r>
        <w:t xml:space="preserve"> </w:t>
      </w:r>
      <w:r>
        <w:t xml:space="preserve">appears in program</w:t>
      </w:r>
      <w:r>
        <w:t xml:space="preserve"> </w:t>
      </w:r>
      <m:oMath>
        <m:r>
          <m:t>j</m:t>
        </m:r>
      </m:oMath>
      <w:r>
        <w:t xml:space="preserve">. In simpler terms,</w:t>
      </w:r>
      <w:r>
        <w:t xml:space="preserve"> </w:t>
      </w:r>
      <m:oMath>
        <m:r>
          <m:t>E</m:t>
        </m:r>
      </m:oMath>
      <w:r>
        <w:t xml:space="preserve"> </w:t>
      </w:r>
      <w:r>
        <w:t xml:space="preserve">represents that a given skill is tied or connected with a given program because its name is explicitly described or mentioned in the program (e.g., ``</w:t>
      </w:r>
      <w:r>
        <w:t xml:space="preserve">’’). In</w:t>
      </w:r>
      <w:r>
        <w:t xml:space="preserve"> </w:t>
      </w:r>
      <m:oMath>
        <m:r>
          <m:t>Y</m:t>
        </m:r>
      </m:oMath>
      <w:r>
        <w:t xml:space="preserve">, cell entries can take several values. A value of 1 indicates the presence of a skill in a program, while a value of 0 indicates its absence. Values of 2 or higher represent the frequency with which the skill is mentioned. The analyst can decide to feed</w:t>
      </w:r>
      <w:r>
        <w:t xml:space="preserve"> </w:t>
      </w:r>
      <m:oMath>
        <m:r>
          <m:t>Y</m:t>
        </m:r>
      </m:oMath>
      <w:r>
        <w:t xml:space="preserve"> </w:t>
      </w:r>
      <w:r>
        <w:t xml:space="preserve">with binary entries (i.e., only 0/1) or frequencies. In the first case,</w:t>
      </w:r>
      <w:r>
        <w:t xml:space="preserve"> </w:t>
      </w:r>
      <m:oMath>
        <m:r>
          <m:t>Y</m:t>
        </m:r>
      </m:oMath>
      <w:r>
        <w:t xml:space="preserve"> </w:t>
      </w:r>
      <w:r>
        <w:t xml:space="preserve">is known as binary bipartite network, and in the latter is known as a weighted bipartite network.</w:t>
      </w:r>
    </w:p>
    <w:p>
      <w:pPr>
        <w:pStyle w:val="BodyText"/>
      </w:pPr>
      <w:r>
        <w:t xml:space="preserve">Following</w:t>
      </w:r>
      <w:r>
        <w:t xml:space="preserve"> </w:t>
      </w:r>
      <w:r>
        <w:t xml:space="preserve">Kevork &amp; Kauermann (2022)</w:t>
      </w:r>
      <w:r>
        <w:t xml:space="preserve">, we model the probability of observing a given skills-programs network</w:t>
      </w:r>
      <w:r>
        <w:t xml:space="preserve"> </w:t>
      </w:r>
      <m:oMath>
        <m:r>
          <m:t>Y</m:t>
        </m:r>
      </m:oMath>
      <w:r>
        <w:t xml:space="preserve"> </w:t>
      </w:r>
      <w:r>
        <w:t xml:space="preserve">using an exponential random graph model, defined as:</w:t>
      </w:r>
    </w:p>
    <w:p>
      <w:pPr>
        <w:pStyle w:val="BodyText"/>
      </w:pPr>
      <m:oMathPara>
        <m:oMathParaPr>
          <m:jc m:val="center"/>
        </m:oMathParaPr>
        <m:oMath>
          <m:r>
            <m:t>P</m:t>
          </m:r>
          <m:d>
            <m:dPr>
              <m:begChr m:val="("/>
              <m:sepChr m:val=""/>
              <m:endChr m:val=")"/>
              <m:grow/>
            </m:dPr>
            <m:e>
              <m:r>
                <m:t>Y</m:t>
              </m:r>
              <m:r>
                <m:rPr>
                  <m:sty m:val="p"/>
                </m:rPr>
                <m:t>=</m:t>
              </m:r>
              <m:r>
                <m:t>y</m:t>
              </m:r>
              <m:r>
                <m:rPr>
                  <m:sty m:val="p"/>
                </m:rPr>
                <m:t>|</m:t>
              </m:r>
              <m:r>
                <m:t>θ</m:t>
              </m:r>
              <m:r>
                <m:rPr>
                  <m:sty m:val="p"/>
                </m:rPr>
                <m:t>,</m:t>
              </m:r>
              <m:r>
                <m:t>u</m:t>
              </m:r>
              <m:r>
                <m:rPr>
                  <m:sty m:val="p"/>
                </m:rPr>
                <m:t>,</m:t>
              </m:r>
              <m:r>
                <m:t>v</m:t>
              </m:r>
            </m:e>
          </m:d>
          <m:r>
            <m:rPr>
              <m:sty m:val="p"/>
            </m:rPr>
            <m:t>=</m:t>
          </m:r>
          <m:f>
            <m:fPr>
              <m:type m:val="bar"/>
            </m:fPr>
            <m:num>
              <m:r>
                <m:t>e</m:t>
              </m:r>
              <m:r>
                <m:t>x</m:t>
              </m:r>
              <m:r>
                <m:t>p</m:t>
              </m:r>
              <m:d>
                <m:dPr>
                  <m:begChr m:val="{"/>
                  <m:sepChr m:val=""/>
                  <m:endChr m:val="}"/>
                  <m:grow/>
                </m:dPr>
                <m:e>
                  <m:sSup>
                    <m:e>
                      <m:r>
                        <m:t>θ</m:t>
                      </m:r>
                    </m:e>
                    <m:sup>
                      <m:r>
                        <m:t>T</m:t>
                      </m:r>
                    </m:sup>
                  </m:sSup>
                  <m:r>
                    <m:t>s</m:t>
                  </m:r>
                  <m:d>
                    <m:dPr>
                      <m:begChr m:val="("/>
                      <m:sepChr m:val=""/>
                      <m:endChr m:val=")"/>
                      <m:grow/>
                    </m:dPr>
                    <m:e>
                      <m:r>
                        <m:t>y</m:t>
                      </m:r>
                    </m:e>
                  </m:d>
                  <m:r>
                    <m:rPr>
                      <m:sty m:val="p"/>
                    </m:rPr>
                    <m:t>+</m:t>
                  </m:r>
                  <m:sSup>
                    <m:e>
                      <m:r>
                        <m:t>u</m:t>
                      </m:r>
                    </m:e>
                    <m:sup>
                      <m:r>
                        <m:t>T</m:t>
                      </m:r>
                    </m:sup>
                  </m:sSup>
                  <m:r>
                    <m:t>r</m:t>
                  </m:r>
                  <m:d>
                    <m:dPr>
                      <m:begChr m:val="("/>
                      <m:sepChr m:val=""/>
                      <m:endChr m:val=")"/>
                      <m:grow/>
                    </m:dPr>
                    <m:e>
                      <m:r>
                        <m:t>y</m:t>
                      </m:r>
                    </m:e>
                  </m:d>
                  <m:r>
                    <m:rPr>
                      <m:sty m:val="p"/>
                    </m:rPr>
                    <m:t>+</m:t>
                  </m:r>
                  <m:sSup>
                    <m:e>
                      <m:r>
                        <m:t>v</m:t>
                      </m:r>
                    </m:e>
                    <m:sup>
                      <m:r>
                        <m:t>T</m:t>
                      </m:r>
                    </m:sup>
                  </m:sSup>
                  <m:r>
                    <m:t>c</m:t>
                  </m:r>
                  <m:d>
                    <m:dPr>
                      <m:begChr m:val="("/>
                      <m:sepChr m:val=""/>
                      <m:endChr m:val=")"/>
                      <m:grow/>
                    </m:dPr>
                    <m:e>
                      <m:r>
                        <m:t>y</m:t>
                      </m:r>
                    </m:e>
                  </m:d>
                </m:e>
              </m:d>
            </m:num>
            <m:den>
              <m:r>
                <m:t>κ</m:t>
              </m:r>
              <m:d>
                <m:dPr>
                  <m:begChr m:val="("/>
                  <m:sepChr m:val=""/>
                  <m:endChr m:val=")"/>
                  <m:grow/>
                </m:dPr>
                <m:e>
                  <m:r>
                    <m:t>θ</m:t>
                  </m:r>
                  <m:r>
                    <m:rPr>
                      <m:sty m:val="p"/>
                    </m:rPr>
                    <m:t>,</m:t>
                  </m:r>
                  <m:r>
                    <m:t>u</m:t>
                  </m:r>
                  <m:r>
                    <m:rPr>
                      <m:sty m:val="p"/>
                    </m:rPr>
                    <m:t>,</m:t>
                  </m:r>
                  <m:r>
                    <m:t>v</m:t>
                  </m:r>
                </m:e>
              </m:d>
            </m:den>
          </m:f>
        </m:oMath>
      </m:oMathPara>
    </w:p>
    <w:p>
      <w:pPr>
        <w:pStyle w:val="FirstParagraph"/>
      </w:pPr>
      <w:r>
        <w:t xml:space="preserve">where</w:t>
      </w:r>
      <w:r>
        <w:t xml:space="preserve"> </w:t>
      </w:r>
      <m:oMath>
        <m:r>
          <m:t>θ</m:t>
        </m:r>
        <m:r>
          <m:rPr>
            <m:sty m:val="p"/>
          </m:rPr>
          <m:t>∈</m:t>
        </m:r>
        <m:sSup>
          <m:e>
            <m:r>
              <m:rPr>
                <m:sty m:val="p"/>
                <m:scr m:val="double-struck"/>
              </m:rPr>
              <m:t>R</m:t>
            </m:r>
          </m:e>
          <m:sup>
            <m:r>
              <m:t>q</m:t>
            </m:r>
          </m:sup>
        </m:sSup>
      </m:oMath>
      <w:r>
        <w:t xml:space="preserve"> </w:t>
      </w:r>
      <w:r>
        <w:t xml:space="preserve">is a</w:t>
      </w:r>
      <w:r>
        <w:t xml:space="preserve"> </w:t>
      </w:r>
      <m:oMath>
        <m:r>
          <m:t>q</m:t>
        </m:r>
      </m:oMath>
      <w:r>
        <w:t xml:space="preserve"> </w:t>
      </w:r>
      <w:r>
        <w:t xml:space="preserve">dimensional parameter vector,</w:t>
      </w:r>
      <w:r>
        <w:t xml:space="preserve"> </w:t>
      </w:r>
      <m:oMath>
        <m:r>
          <m:t>s</m:t>
        </m:r>
        <m:d>
          <m:dPr>
            <m:begChr m:val="("/>
            <m:sepChr m:val=""/>
            <m:endChr m:val=")"/>
            <m:grow/>
          </m:dPr>
          <m:e>
            <m:r>
              <m:t>y</m:t>
            </m:r>
          </m:e>
        </m:d>
        <m:r>
          <m:rPr>
            <m:sty m:val="p"/>
          </m:rPr>
          <m:t>=</m:t>
        </m:r>
        <m:d>
          <m:dPr>
            <m:begChr m:val="("/>
            <m:sepChr m:val=""/>
            <m:endChr m:val=")"/>
            <m:grow/>
          </m:dPr>
          <m:e>
            <m:sSub>
              <m:e>
                <m:r>
                  <m:t>s</m:t>
                </m:r>
              </m:e>
              <m:sub>
                <m:r>
                  <m:t>0</m:t>
                </m:r>
              </m:sub>
            </m:sSub>
            <m:d>
              <m:dPr>
                <m:begChr m:val="("/>
                <m:sepChr m:val=""/>
                <m:endChr m:val=")"/>
                <m:grow/>
              </m:dPr>
              <m:e>
                <m:r>
                  <m:t>y</m:t>
                </m:r>
              </m:e>
            </m:d>
            <m:r>
              <m:rPr>
                <m:sty m:val="p"/>
              </m:rPr>
              <m:t>,</m:t>
            </m:r>
            <m:sSub>
              <m:e>
                <m:r>
                  <m:t>s</m:t>
                </m:r>
              </m:e>
              <m:sub>
                <m:r>
                  <m:t>1</m:t>
                </m:r>
              </m:sub>
            </m:sSub>
            <m:d>
              <m:dPr>
                <m:begChr m:val="("/>
                <m:sepChr m:val=""/>
                <m:endChr m:val=")"/>
                <m:grow/>
              </m:dPr>
              <m:e>
                <m:r>
                  <m:t>y</m:t>
                </m:r>
              </m:e>
            </m:d>
            <m:r>
              <m:rPr>
                <m:sty m:val="p"/>
              </m:rPr>
              <m:t>,</m:t>
            </m:r>
            <m:r>
              <m:rPr>
                <m:sty m:val="p"/>
              </m:rPr>
              <m:t>.</m:t>
            </m:r>
            <m:r>
              <m:rPr>
                <m:sty m:val="p"/>
              </m:rPr>
              <m:t>.</m:t>
            </m:r>
            <m:r>
              <m:rPr>
                <m:sty m:val="p"/>
              </m:rPr>
              <m:t>.</m:t>
            </m:r>
          </m:e>
        </m:d>
      </m:oMath>
      <w:r>
        <w:t xml:space="preserve"> </w:t>
      </w:r>
      <w:r>
        <w:t xml:space="preserve">is a</w:t>
      </w:r>
      <w:r>
        <w:t xml:space="preserve"> </w:t>
      </w:r>
      <m:oMath>
        <m:r>
          <m:t>q</m:t>
        </m:r>
      </m:oMath>
      <w:r>
        <w:t xml:space="preserve"> </w:t>
      </w:r>
      <w:r>
        <w:t xml:space="preserve">dimensional vector of network statistics with</w:t>
      </w:r>
      <w:r>
        <w:t xml:space="preserve"> </w:t>
      </w:r>
      <m:oMath>
        <m:sSub>
          <m:e>
            <m:r>
              <m:t>s</m:t>
            </m:r>
          </m:e>
          <m:sub>
            <m:r>
              <m:t>0</m:t>
            </m:r>
          </m:sub>
        </m:sSub>
        <m:d>
          <m:dPr>
            <m:begChr m:val="("/>
            <m:sepChr m:val=""/>
            <m:endChr m:val=")"/>
            <m:grow/>
          </m:dPr>
          <m:e>
            <m:r>
              <m:t>y</m:t>
            </m:r>
          </m:e>
        </m:d>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y</m:t>
                    </m:r>
                  </m:e>
                  <m:sub>
                    <m:r>
                      <m:t>i</m:t>
                    </m:r>
                    <m:r>
                      <m:rPr>
                        <m:sty m:val="p"/>
                      </m:rPr>
                      <m:t>,</m:t>
                    </m:r>
                    <m:r>
                      <m:t>j</m:t>
                    </m:r>
                  </m:sub>
                </m:sSub>
              </m:e>
            </m:nary>
          </m:e>
        </m:nary>
      </m:oMath>
      <w:r>
        <w:t xml:space="preserve"> </w:t>
      </w:r>
      <w:r>
        <w:t xml:space="preserve">and</w:t>
      </w:r>
      <w:r>
        <w:t xml:space="preserve"> </w:t>
      </w:r>
      <m:oMath>
        <m:r>
          <m:t>r</m:t>
        </m:r>
        <m:d>
          <m:dPr>
            <m:begChr m:val="("/>
            <m:sepChr m:val=""/>
            <m:endChr m:val=")"/>
            <m:grow/>
          </m:dPr>
          <m:e>
            <m:r>
              <m:t>y</m:t>
            </m:r>
          </m:e>
        </m:d>
        <m:r>
          <m:rPr>
            <m:sty m:val="p"/>
          </m:rPr>
          <m:t>=</m:t>
        </m:r>
        <m:d>
          <m:dPr>
            <m:begChr m:val="("/>
            <m:sepChr m:val=""/>
            <m:endChr m:val=")"/>
            <m:grow/>
          </m:dPr>
          <m:e>
            <m:nary>
              <m:naryPr>
                <m:chr m:val="∑"/>
                <m:limLoc m:val="undOvr"/>
                <m:subHide m:val="off"/>
                <m:supHide m:val="off"/>
              </m:naryPr>
              <m:sub>
                <m:r>
                  <m:t>j</m:t>
                </m:r>
                <m:r>
                  <m:rPr>
                    <m:sty m:val="p"/>
                  </m:rPr>
                  <m:t>=</m:t>
                </m:r>
                <m:r>
                  <m:t>1</m:t>
                </m:r>
              </m:sub>
              <m:sup>
                <m:r>
                  <m:t>m</m:t>
                </m:r>
              </m:sup>
              <m:e>
                <m:sSub>
                  <m:e>
                    <m:r>
                      <m:t>y</m:t>
                    </m:r>
                  </m:e>
                  <m:sub>
                    <m:r>
                      <m:t>1</m:t>
                    </m:r>
                    <m:r>
                      <m:t>j</m:t>
                    </m:r>
                  </m:sub>
                </m:sSub>
              </m:e>
            </m:nary>
            <m:r>
              <m:rPr>
                <m:sty m:val="p"/>
              </m:rPr>
              <m:t>,</m:t>
            </m:r>
            <m:nary>
              <m:naryPr>
                <m:chr m:val="∑"/>
                <m:limLoc m:val="undOvr"/>
                <m:subHide m:val="off"/>
                <m:supHide m:val="off"/>
              </m:naryPr>
              <m:sub>
                <m:r>
                  <m:t>j</m:t>
                </m:r>
                <m:r>
                  <m:rPr>
                    <m:sty m:val="p"/>
                  </m:rPr>
                  <m:t>=</m:t>
                </m:r>
                <m:r>
                  <m:t>1</m:t>
                </m:r>
              </m:sub>
              <m:sup>
                <m:r>
                  <m:t>m</m:t>
                </m:r>
              </m:sup>
              <m:e>
                <m:sSub>
                  <m:e>
                    <m:r>
                      <m:t>y</m:t>
                    </m:r>
                  </m:e>
                  <m:sub>
                    <m:r>
                      <m:t>2</m:t>
                    </m:r>
                    <m:r>
                      <m:t>j</m:t>
                    </m:r>
                  </m:sub>
                </m:sSub>
              </m:e>
            </m:nary>
            <m:r>
              <m:rPr>
                <m:sty m:val="p"/>
              </m:rPr>
              <m:t>.</m:t>
            </m:r>
            <m:r>
              <m:rPr>
                <m:sty m:val="p"/>
              </m:rPr>
              <m:t>.</m:t>
            </m:r>
            <m:r>
              <m:rPr>
                <m:sty m:val="p"/>
              </m:rPr>
              <m:t>.</m:t>
            </m:r>
          </m:e>
        </m:d>
      </m:oMath>
      <w:r>
        <w:t xml:space="preserve"> </w:t>
      </w:r>
      <w:r>
        <w:t xml:space="preserve">is the</w:t>
      </w:r>
      <w:r>
        <w:t xml:space="preserve"> </w:t>
      </w:r>
      <m:oMath>
        <m:r>
          <m:t>n</m:t>
        </m:r>
      </m:oMath>
      <w:r>
        <w:t xml:space="preserve"> </w:t>
      </w:r>
      <w:r>
        <w:t xml:space="preserve">dimensional vector of node degrees in</w:t>
      </w:r>
      <w:r>
        <w:t xml:space="preserve"> </w:t>
      </w:r>
      <m:oMath>
        <m:r>
          <m:t>R</m:t>
        </m:r>
      </m:oMath>
      <w:r>
        <w:t xml:space="preserve"> </w:t>
      </w:r>
      <w:r>
        <w:t xml:space="preserve">and</w:t>
      </w:r>
      <w:r>
        <w:t xml:space="preserve"> </w:t>
      </w:r>
      <m:oMath>
        <m:r>
          <m:t>c</m:t>
        </m:r>
        <m:d>
          <m:dPr>
            <m:begChr m:val="("/>
            <m:sepChr m:val=""/>
            <m:endChr m:val=")"/>
            <m:grow/>
          </m:dPr>
          <m:e>
            <m:r>
              <m:t>y</m:t>
            </m:r>
          </m:e>
        </m:d>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y</m:t>
                    </m:r>
                  </m:e>
                  <m:sub>
                    <m:r>
                      <m:t>i</m:t>
                    </m:r>
                    <m:r>
                      <m:t>1</m:t>
                    </m:r>
                  </m:sub>
                </m:sSub>
              </m:e>
            </m:nary>
            <m:r>
              <m:rPr>
                <m:sty m:val="p"/>
              </m:rPr>
              <m:t>,</m:t>
            </m:r>
            <m:nary>
              <m:naryPr>
                <m:chr m:val="∑"/>
                <m:limLoc m:val="undOvr"/>
                <m:subHide m:val="off"/>
                <m:supHide m:val="off"/>
              </m:naryPr>
              <m:sub>
                <m:r>
                  <m:t>i</m:t>
                </m:r>
                <m:r>
                  <m:rPr>
                    <m:sty m:val="p"/>
                  </m:rPr>
                  <m:t>=</m:t>
                </m:r>
                <m:r>
                  <m:t>1</m:t>
                </m:r>
              </m:sub>
              <m:sup>
                <m:r>
                  <m:t>n</m:t>
                </m:r>
              </m:sup>
              <m:e>
                <m:sSub>
                  <m:e>
                    <m:r>
                      <m:t>y</m:t>
                    </m:r>
                  </m:e>
                  <m:sub>
                    <m:r>
                      <m:t>i</m:t>
                    </m:r>
                    <m:r>
                      <m:t>2</m:t>
                    </m:r>
                  </m:sub>
                </m:sSub>
              </m:e>
            </m:nary>
            <m:r>
              <m:rPr>
                <m:sty m:val="p"/>
              </m:rPr>
              <m:t>,</m:t>
            </m:r>
            <m:r>
              <m:rPr>
                <m:sty m:val="p"/>
              </m:rPr>
              <m:t>.</m:t>
            </m:r>
            <m:r>
              <m:rPr>
                <m:sty m:val="p"/>
              </m:rPr>
              <m:t>.</m:t>
            </m:r>
            <m:r>
              <m:rPr>
                <m:sty m:val="p"/>
              </m:rPr>
              <m:t>.</m:t>
            </m:r>
          </m:e>
        </m:d>
      </m:oMath>
      <w:r>
        <w:t xml:space="preserve"> </w:t>
      </w:r>
      <w:r>
        <w:t xml:space="preserve">is the</w:t>
      </w:r>
      <w:r>
        <w:t xml:space="preserve"> </w:t>
      </w:r>
      <m:oMath>
        <m:r>
          <m:t>m</m:t>
        </m:r>
      </m:oMath>
      <w:r>
        <w:t xml:space="preserve"> </w:t>
      </w:r>
      <w:r>
        <w:t xml:space="preserve">dimensional vector of node degrees in</w:t>
      </w:r>
      <w:r>
        <w:t xml:space="preserve"> </w:t>
      </w:r>
      <m:oMath>
        <m:r>
          <m:t>C</m:t>
        </m:r>
      </m:oMath>
      <w:r>
        <w:t xml:space="preserve">. The</w:t>
      </w:r>
      <w:r>
        <w:t xml:space="preserve"> </w:t>
      </w:r>
      <m:oMath>
        <m:r>
          <m:t>κ</m:t>
        </m:r>
        <m:d>
          <m:dPr>
            <m:begChr m:val="("/>
            <m:sepChr m:val=""/>
            <m:endChr m:val=")"/>
            <m:grow/>
          </m:dPr>
          <m:e>
            <m:r>
              <m:t>θ</m:t>
            </m:r>
            <m:r>
              <m:rPr>
                <m:sty m:val="p"/>
              </m:rPr>
              <m:t>,</m:t>
            </m:r>
            <m:r>
              <m:t>u</m:t>
            </m:r>
            <m:r>
              <m:rPr>
                <m:sty m:val="p"/>
              </m:rPr>
              <m:t>,</m:t>
            </m:r>
            <m:r>
              <m:t>v</m:t>
            </m:r>
          </m:e>
        </m:d>
      </m:oMath>
      <w:r>
        <w:t xml:space="preserve"> </w:t>
      </w:r>
      <w:r>
        <w:t xml:space="preserve">is a normalizing factor that ensures that</w:t>
      </w:r>
      <w:r>
        <w:t xml:space="preserve"> </w:t>
      </w:r>
      <m:oMath>
        <m:r>
          <m:t>P</m:t>
        </m:r>
        <m:d>
          <m:dPr>
            <m:begChr m:val="("/>
            <m:sepChr m:val=""/>
            <m:endChr m:val=")"/>
            <m:grow/>
          </m:dPr>
          <m:e>
            <m:r>
              <m:t>Y</m:t>
            </m:r>
            <m:r>
              <m:rPr>
                <m:sty m:val="p"/>
              </m:rPr>
              <m:t>=</m:t>
            </m:r>
            <m:r>
              <m:t>y</m:t>
            </m:r>
            <m:r>
              <m:rPr>
                <m:sty m:val="p"/>
              </m:rPr>
              <m:t>|</m:t>
            </m:r>
            <m:r>
              <m:t>θ</m:t>
            </m:r>
            <m:r>
              <m:rPr>
                <m:sty m:val="p"/>
              </m:rPr>
              <m:t>,</m:t>
            </m:r>
            <m:r>
              <m:t>u</m:t>
            </m:r>
            <m:r>
              <m:rPr>
                <m:sty m:val="p"/>
              </m:rPr>
              <m:t>,</m:t>
            </m:r>
            <m:r>
              <m:t>v</m:t>
            </m:r>
          </m:e>
        </m:d>
      </m:oMath>
      <w:r>
        <w:t xml:space="preserve"> </w:t>
      </w:r>
      <w:r>
        <w:t xml:space="preserve">is a legitimate probability mass function.</w:t>
      </w:r>
    </w:p>
    <w:p>
      <w:pPr>
        <w:pStyle w:val="BodyText"/>
      </w:pPr>
      <w:r>
        <w:t xml:space="preserve">In this framework, the vector</w:t>
      </w:r>
      <w:r>
        <w:t xml:space="preserve"> </w:t>
      </w:r>
      <m:oMath>
        <m:r>
          <m:t>s</m:t>
        </m:r>
        <m:d>
          <m:dPr>
            <m:begChr m:val="("/>
            <m:sepChr m:val=""/>
            <m:endChr m:val=")"/>
            <m:grow/>
          </m:dPr>
          <m:e>
            <m:r>
              <m:t>y</m:t>
            </m:r>
          </m:e>
        </m:d>
      </m:oMath>
      <w:r>
        <w:t xml:space="preserve"> </w:t>
      </w:r>
      <w:r>
        <w:t xml:space="preserve">includes structural configurations of the bipartite network (i.e., endogenous factors), and can be extended to</w:t>
      </w:r>
      <w:r>
        <w:t xml:space="preserve"> </w:t>
      </w:r>
      <m:oMath>
        <m:r>
          <m:t>s</m:t>
        </m:r>
        <m:d>
          <m:dPr>
            <m:begChr m:val="("/>
            <m:sepChr m:val=""/>
            <m:endChr m:val=")"/>
            <m:grow/>
          </m:dPr>
          <m:e>
            <m:r>
              <m:t>y</m:t>
            </m:r>
            <m:r>
              <m:rPr>
                <m:sty m:val="p"/>
              </m:rPr>
              <m:t>,</m:t>
            </m:r>
            <m:r>
              <m:t>X</m:t>
            </m:r>
          </m:e>
        </m:d>
      </m:oMath>
      <w:r>
        <w:t xml:space="preserve"> </w:t>
      </w:r>
      <w:r>
        <w:t xml:space="preserve">should covariates</w:t>
      </w:r>
      <w:r>
        <w:t xml:space="preserve"> </w:t>
      </w:r>
      <m:oMath>
        <m:r>
          <m:t>X</m:t>
        </m:r>
      </m:oMath>
      <w:r>
        <w:t xml:space="preserve"> </w:t>
      </w:r>
      <w:r>
        <w:t xml:space="preserve">are included in the model as exogenous factors that may affect the connection between our two network partitions</w:t>
      </w:r>
      <w:r>
        <w:t xml:space="preserve"> </w:t>
      </w:r>
      <w:r>
        <w:t xml:space="preserve">. These parameters collectively define the structural tendencies that shape how skills are embedded in postgraduate curricula across Latin American universities.</w:t>
      </w:r>
    </w:p>
    <w:p>
      <w:pPr>
        <w:pStyle w:val="BodyText"/>
      </w:pPr>
      <w:r>
        <w:t xml:space="preserve">The descriptive and inferential procedures proposed allow us to identify both structural regularities and statistically significant determinants underlying the configuration of skill-program networks, providing the foundation for the results presented in section</w:t>
      </w:r>
      <w:r>
        <w:t xml:space="preserve"> </w:t>
      </w:r>
      <w:r>
        <w:t xml:space="preserve">.</w:t>
      </w:r>
    </w:p>
    <w:bookmarkEnd w:id="32"/>
    <w:bookmarkStart w:id="33" w:name="criteria-for-interpreting-the-findings"/>
    <w:p>
      <w:pPr>
        <w:pStyle w:val="Heading3"/>
      </w:pPr>
      <w:r>
        <w:t xml:space="preserve">Criteria for interpreting the findings</w:t>
      </w:r>
    </w:p>
    <w:p>
      <w:pPr>
        <w:pStyle w:val="FirstParagraph"/>
      </w:pPr>
      <w:r>
        <w:t xml:space="preserve">To ensure analytical rigor in the interpretation of model estimates, we followed the standard criteria commonly applied in ERGM-based research</w:t>
      </w:r>
      <w:r>
        <w:t xml:space="preserve"> </w:t>
      </w:r>
      <w:r>
        <w:t xml:space="preserve">(Cranmer et al., 2021; Lusher et al., 2013)</w:t>
      </w:r>
      <w:r>
        <w:t xml:space="preserve">. Our analysis focuses on the sign, magnitude, and statistical significance (e.g., p-values) of estimated parameters, as well as the overall goodness-of-fit of the model specification.</w:t>
      </w:r>
    </w:p>
    <w:p>
      <w:pPr>
        <w:pStyle w:val="BodyText"/>
      </w:pPr>
      <w:r>
        <w:t xml:space="preserve">A positive coefficient indicates that the corresponding structural or covariate term increases the likelihood of a skill–program tie, whereas a negative coefficient suggests a suppressive effect relative to random tie formation. The analysis also examines how these coefficients vary across alternative model specifications to assess parameter stability.</w:t>
      </w:r>
    </w:p>
    <w:p>
      <w:pPr>
        <w:pStyle w:val="BodyText"/>
      </w:pPr>
      <w:r>
        <w:t xml:space="preserve">Because parameter estimates can depend on model terms and estimation settings, we evaluate robustness through convergence diagnostics, model fit statistics, and checks for potential degeneracy</w:t>
      </w:r>
      <w:r>
        <w:t xml:space="preserve"> </w:t>
      </w:r>
      <w:r>
        <w:t xml:space="preserve">(Lusher et al., 2013)</w:t>
      </w:r>
      <w:r>
        <w:t xml:space="preserve">. When parameter estimates are consistent across models, this stability enhances the interpretive validity of the results. However, such consistency is interpreted cautiously, emphasizing analytical rather than statistical generalization.</w:t>
      </w:r>
    </w:p>
    <w:p>
      <w:pPr>
        <w:pStyle w:val="BodyText"/>
      </w:pPr>
      <w:r>
        <w:t xml:space="preserve">These interpretive criteria guide the evaluation of results presented in following section and support the reproducibility of our analyses, which are documented in the supplementary material and GitHub repository.</w:t>
      </w:r>
    </w:p>
    <w:bookmarkEnd w:id="33"/>
    <w:bookmarkStart w:id="34" w:name="data-pre-processing"/>
    <w:p>
      <w:pPr>
        <w:pStyle w:val="Heading3"/>
      </w:pPr>
      <w:r>
        <w:t xml:space="preserve">Data pre-processing</w:t>
      </w:r>
    </w:p>
    <w:p>
      <w:pPr>
        <w:pStyle w:val="FirstParagraph"/>
      </w:pPr>
      <w:r>
        <w:t xml:space="preserve">The data pre-processing phase was conducted in R using quanteda (Benoit et al., 2018). We parsed 3,155 program brochures to build a digital corpus representing each nation’s academic offering. We tokenized each corpus to build a standard document-feature matrix (DFM). In the tokenization process, we removed symbol punctuations, special characters (e.g.,</w:t>
      </w:r>
      <w:r>
        <w:t xml:space="preserve"> </w:t>
      </w:r>
      <w:r>
        <w:t xml:space="preserve">“@”</w:t>
      </w:r>
      <w:r>
        <w:t xml:space="preserve"> </w:t>
      </w:r>
      <w:r>
        <w:t xml:space="preserve">“http://”</w:t>
      </w:r>
      <w:r>
        <w:t xml:space="preserve"> </w:t>
      </w:r>
      <w:r>
        <w:t xml:space="preserve">“.html”</w:t>
      </w:r>
      <w:r>
        <w:t xml:space="preserve">), numbers, and Spanish stopwords (for all sampled countries) and Portuguese stopwords for the academic offering of Brazil. This cleaning step standardized the corpus and minimized noise from common lexical patterns. After tokenization, we applied a</w:t>
      </w:r>
      <w:r>
        <w:t xml:space="preserve"> </w:t>
      </w:r>
      <w:r>
        <w:rPr>
          <w:i/>
          <w:iCs/>
        </w:rPr>
        <w:t xml:space="preserve">keyword-in-context</w:t>
      </w:r>
      <w:r>
        <w:t xml:space="preserve"> </w:t>
      </w:r>
      <w:r>
        <w:t xml:space="preserve">(KWIC) filter</w:t>
      </w:r>
      <w:r>
        <w:t xml:space="preserve"> </w:t>
      </w:r>
      <w:r>
        <w:t xml:space="preserve">(Benoit et al., 2018)</w:t>
      </w:r>
      <w:r>
        <w:t xml:space="preserve"> </w:t>
      </w:r>
      <w:r>
        <w:t xml:space="preserve">to identify mentions of the ten basic skills defined by O*NET</w:t>
      </w:r>
      <w:r>
        <w:t xml:space="preserve">(National Center for O*NET Development, 2022; Peterson et al., 2001)</w:t>
      </w:r>
      <w:r>
        <w:t xml:space="preserve">. For each skill, a customized dictionary was created including synonyms, bigrams, and related terms. For instance, the skill</w:t>
      </w:r>
      <w:r>
        <w:t xml:space="preserve"> </w:t>
      </w:r>
      <w:r>
        <w:t xml:space="preserve">“science”</w:t>
      </w:r>
      <w:r>
        <w:t xml:space="preserve"> </w:t>
      </w:r>
      <w:r>
        <w:t xml:space="preserve">was associated with expressions such as</w:t>
      </w:r>
      <w:r>
        <w:t xml:space="preserve"> </w:t>
      </w:r>
      <w:r>
        <w:t xml:space="preserve">“scientific method,”</w:t>
      </w:r>
      <w:r>
        <w:t xml:space="preserve"> </w:t>
      </w:r>
      <w:r>
        <w:t xml:space="preserve">“solve problems,”</w:t>
      </w:r>
      <w:r>
        <w:t xml:space="preserve"> </w:t>
      </w:r>
      <w:r>
        <w:t xml:space="preserve">and</w:t>
      </w:r>
      <w:r>
        <w:t xml:space="preserve"> </w:t>
      </w:r>
      <w:r>
        <w:t xml:space="preserve">“scientific knowledge.”</w:t>
      </w:r>
      <w:r>
        <w:t xml:space="preserve"> </w:t>
      </w:r>
      <w:r>
        <w:t xml:space="preserve">This guided search allowed us to locate and quantify every occurrence of each skill in the brochures.</w:t>
      </w:r>
    </w:p>
    <w:p>
      <w:pPr>
        <w:pStyle w:val="BodyText"/>
      </w:pPr>
      <w:r>
        <w:t xml:space="preserve">Here, it is worth to remember that for bipartite networks, nodes in the first partition usually take an action to form the links with nodes subject to that action in the second partition</w:t>
      </w:r>
      <w:r>
        <w:t xml:space="preserve"> </w:t>
      </w:r>
      <w:r>
        <w:t xml:space="preserve">(Borgatti &amp; Everett, 1997)</w:t>
      </w:r>
      <w:r>
        <w:t xml:space="preserve">. Thus, brochures aim to inform prospective students to be aware of the skills and knowledge they can learn when enrolling in a given program. The resulting DFM is a rectangular matrix that coincides with the formal relationship between skills and programs that we introduced in section 3. We used this DFM as input for representing its relational data following the standards of the library network</w:t>
      </w:r>
      <w:r>
        <w:t xml:space="preserve"> </w:t>
      </w:r>
      <w:r>
        <w:t xml:space="preserve">(Butts, 2008)</w:t>
      </w:r>
      <w:r>
        <w:t xml:space="preserve">. A note of warning is relevant in this point. Although the DFM provides skill frequencies in its entries, the network library manages its representation with binary entries. Given our theoretical interest in the association between programs and skills, we proceed to use this relational data representation for network description. We estimate the two-mode clustering coefficient (see supplementary material) or network description purposes, as this approach has proven more accurate estimates for bipartite networks than unipartite projections</w:t>
      </w:r>
      <w:r>
        <w:t xml:space="preserve"> </w:t>
      </w:r>
      <w:r>
        <w:t xml:space="preserve">(Opsahl, 2013)</w:t>
      </w:r>
      <w:r>
        <w:t xml:space="preserve">. In addition, we use the normalized centrality degree to rank skills on a common standardized scale controlling by nation network size. Following the canonic consideration of</w:t>
      </w:r>
      <w:r>
        <w:t xml:space="preserve"> </w:t>
      </w:r>
      <w:r>
        <w:t xml:space="preserve">“actors”</w:t>
      </w:r>
      <w:r>
        <w:t xml:space="preserve"> </w:t>
      </w:r>
      <w:r>
        <w:t xml:space="preserve">and</w:t>
      </w:r>
      <w:r>
        <w:t xml:space="preserve"> </w:t>
      </w:r>
      <w:r>
        <w:t xml:space="preserve">“events”</w:t>
      </w:r>
      <w:r>
        <w:t xml:space="preserve"> </w:t>
      </w:r>
      <w:r>
        <w:t xml:space="preserve">in bipartite networks</w:t>
      </w:r>
      <w:r>
        <w:t xml:space="preserve"> </w:t>
      </w:r>
      <w:r>
        <w:t xml:space="preserve">(Borgatti &amp; Everett, 1997)</w:t>
      </w:r>
      <w:r>
        <w:t xml:space="preserve">, program brochures were set as nodes of the first partition, and basic skills as nodes of the second partition. The pre-processing steps ensured the consistency, comparability, and analytical validity of the textual data across all sampled countries. The resulting standardized matrices provided a reliable foundation for constructing the bipartite networks and for conducting the descriptive and inferential analyses discussed in the following section.</w:t>
      </w:r>
    </w:p>
    <w:bookmarkEnd w:id="34"/>
    <w:bookmarkStart w:id="35" w:name="network-models-specification"/>
    <w:p>
      <w:pPr>
        <w:pStyle w:val="Heading3"/>
      </w:pPr>
      <w:r>
        <w:t xml:space="preserve">Network models specification</w:t>
      </w:r>
    </w:p>
    <w:p>
      <w:pPr>
        <w:pStyle w:val="FirstParagraph"/>
      </w:pPr>
      <w:r>
        <w:t xml:space="preserve">Our network model specification accounts for the structural imbalance between the number of basic skills and the number of postgraduate programs per country. While the number of skills is constant across nations, programs outnumber skills by at least one order of magnitude, which posits fundamental considerations from the statistical and conceptual perspectives. From a conceptual perspective, the fact that programs outnumber skills is a key characteristic of the academic offering that we model as an undirected bipartite network. Basic skills, at least from the perspective of O*NET</w:t>
      </w:r>
      <w:r>
        <w:t xml:space="preserve">(National Center for O*NET Development, 2022)</w:t>
      </w:r>
      <w:r>
        <w:t xml:space="preserve">, are regarded as developed capacities that facilitate learning or the more rapid acquisition of learning. These basic skills are of ultimate importance from the viewpoint of professional transitions that take place when a professional decides to work in another area from which he or she did not receive formal education</w:t>
      </w:r>
      <w:r>
        <w:t xml:space="preserve"> </w:t>
      </w:r>
      <w:r>
        <w:t xml:space="preserve">(Vista, 2020)</w:t>
      </w:r>
      <w:r>
        <w:t xml:space="preserve">. From this conceptual viewpoint, although two or more universities may offer programs with identical names (e.g., Master in Artificial Intelligence) one of their differences can rely on the way basic skills are considered in the program brochure intended to recruit prospective students. Our model specification addresses this particular educational intended purpose.</w:t>
      </w:r>
    </w:p>
    <w:p>
      <w:pPr>
        <w:pStyle w:val="BodyText"/>
      </w:pPr>
      <w:r>
        <w:t xml:space="preserve">Postgraduate programs can differ in other factors unrelated to skills training, such as campus location, reputation or prestige, tuition costs, graduation rates, employability of graduates, or quality accreditation standards. Nonetheless, our model does not consider these other factors, as they fall outside our research goal. The decision to exclude these factors from our model specification is based on several criteria. First, the presence and extent of local socio-economic factors in each country introduce additional complexities that prevent us from conducting a more extended cross-national comparison. For example, as nations differ in economic inflation, governmental expenditure on education, and power purchase parity, the economic aspects of the academic offering should remain unexplored unless they are explicitly considered in more complex models. We do not deny the fundamental value of these more complex models. Nonetheless, our in-depth explorations for each visited graduate program revealed that the information about graduation rates or graduates’ employability in sampled nations remains systematically undisclosed, preventing us from including these factors as covariate terms in our models. We regard this circumstance as a call to action for further studies. In any case, we take the length of the program brochure as a covariate that might hide confounding factors like the ones just described that are not explicitly related to basic skills.</w:t>
      </w:r>
    </w:p>
    <w:p>
      <w:pPr>
        <w:pStyle w:val="BodyText"/>
      </w:pPr>
      <w:r>
        <w:t xml:space="preserve">A statistical consideration of our model specification relates to the number of sampled program brochures by nation. As illustrated in Table 1, the academic offering varies between a minimum of 120 program brochures from Costa Rica to the maximum of 922 program brochures from Brazil. To prevent biased estimates from the inferential perspective, the academic offering of each nation is modeled as an independent network sample that we then integrated into a large regional network. We used this large regional network as a computational input to conduct our inferential network estimates on the following model specifications:</w:t>
      </w:r>
    </w:p>
    <w:p>
      <w:pPr>
        <w:numPr>
          <w:ilvl w:val="0"/>
          <w:numId w:val="1002"/>
        </w:numPr>
      </w:pPr>
      <w:r>
        <w:rPr>
          <w:b/>
          <w:bCs/>
        </w:rPr>
        <w:t xml:space="preserve">Model 1</w:t>
      </w:r>
      <w:r>
        <w:t xml:space="preserve">: The baseline model examines the propensity of connections between programs and basic skills relative to the exogenous covariate of brochure length. Drawing on previous studies that explored program–skill relationships</w:t>
      </w:r>
      <w:r>
        <w:t xml:space="preserve"> </w:t>
      </w:r>
      <w:r>
        <w:t xml:space="preserve">(Dakduk et al., 2025; Garcia-Chitiva &amp; Correa, 2024)</w:t>
      </w:r>
      <w:r>
        <w:t xml:space="preserve">, we anticipate a negative and statistically significant effect for the network density term. A negative coefficient indicates that observed connections occur far less frequently than would be expected by random chance. This baseline specification serves as a reference point for comparing additional effects in related ERGM models. In this initial model, we also assess the influence of other latent factors potentially confounded with brochure length (as captured by the total number of written sentences in each document). We expect a positive and statistically significant association, suggesting that longer brochures tend to mention more skills.</w:t>
      </w:r>
    </w:p>
    <w:p>
      <w:pPr>
        <w:numPr>
          <w:ilvl w:val="0"/>
          <w:numId w:val="1002"/>
        </w:numPr>
      </w:pPr>
      <w:r>
        <w:rPr>
          <w:b/>
          <w:bCs/>
        </w:rPr>
        <w:t xml:space="preserve">Model 2</w:t>
      </w:r>
      <w:r>
        <w:t xml:space="preserve">: The second model extends the first model’s specification by incorporating five additional terms representing the most central basic skills as endogenous network parameters, following prior work</w:t>
      </w:r>
      <w:r>
        <w:t xml:space="preserve"> </w:t>
      </w:r>
      <w:r>
        <w:t xml:space="preserve">(Dakduk et al., 2025)</w:t>
      </w:r>
      <w:r>
        <w:t xml:space="preserve">. We expect these skills to exhibit positive and statistically significant effects. A positive coefficient indicates that their connections with program brochures occur well above what would be expected by chance. Furthermore, their estimates are expected to decrease hierarchically, consistent with inferential network modeling for bipartite networks</w:t>
      </w:r>
      <w:r>
        <w:t xml:space="preserve"> </w:t>
      </w:r>
      <w:r>
        <w:t xml:space="preserve">(Wang et al., 2009)</w:t>
      </w:r>
      <w:r>
        <w:t xml:space="preserve">. Finally, we anticipate that the estimate for each skill will exceed that for program brochures.</w:t>
      </w:r>
    </w:p>
    <w:p>
      <w:pPr>
        <w:numPr>
          <w:ilvl w:val="0"/>
          <w:numId w:val="1002"/>
        </w:numPr>
      </w:pPr>
      <w:r>
        <w:rPr>
          <w:b/>
          <w:bCs/>
        </w:rPr>
        <w:t xml:space="preserve">Model 3</w:t>
      </w:r>
      <w:r>
        <w:t xml:space="preserve">: The third model expands the specification of the second model by including exogenous covariates for master’s and doctoral programs. We expect the statistical estimates for basic skills to remain positive and statistically significant. Furthermore, these estimates are anticipated to decrease hierarchically, such that popular basic skills will have higher estimates than those for brochure length and program-level covariates.</w:t>
      </w:r>
    </w:p>
    <w:p>
      <w:pPr>
        <w:numPr>
          <w:ilvl w:val="0"/>
          <w:numId w:val="1002"/>
        </w:numPr>
      </w:pPr>
      <w:r>
        <w:rPr>
          <w:b/>
          <w:bCs/>
        </w:rPr>
        <w:t xml:space="preserve">Model 4</w:t>
      </w:r>
      <w:r>
        <w:t xml:space="preserve">: The final model incorporates the covariate for OECD membership alongside all other covariates and the endogenous effects of the top five basic skills. To our knowledge, OECD membership has been largely overlooked in prior studies. However, drawing on previous reports on educational outcomes in OECD member countries, we expect this effect to be positive and statistically significant.</w:t>
      </w:r>
    </w:p>
    <w:p>
      <w:pPr>
        <w:pStyle w:val="FirstParagraph"/>
      </w:pPr>
      <w:r>
        <w:t xml:space="preserve">Altogether, these four nested models integrate the textual, institutional, and contextual dimensions of the study into a unified analytical framework. This sequential approach clarifies how each factor contributes to the structure of skill–program networks and provides a basis for comparing model performance and interpretive validity. The subsequent section presents the empirical results derived from these specifications.</w:t>
      </w:r>
    </w:p>
    <w:bookmarkEnd w:id="35"/>
    <w:bookmarkEnd w:id="36"/>
    <w:bookmarkEnd w:id="37"/>
    <w:bookmarkStart w:id="131" w:name="results"/>
    <w:p>
      <w:pPr>
        <w:pStyle w:val="Heading1"/>
      </w:pPr>
      <w:r>
        <w:t xml:space="preserve">Results</w:t>
      </w:r>
    </w:p>
    <w:p>
      <w:pPr>
        <w:pStyle w:val="FirstParagraph"/>
      </w:pPr>
      <w:r>
        <w:t xml:space="preserve">We organize the results in the following sections. The first part presents a descriptive network analysis that shows the quantitative features of the academic offering in all sampled countries of our case study. Then, we examine the centrality of basic skills by nation and program level. Finally, we evaluate via exponential random graphs the role of these skills and other covariates in the formation of these networks.</w:t>
      </w:r>
    </w:p>
    <w:bookmarkStart w:id="130" w:name="descriptive-network-analysis"/>
    <w:p>
      <w:pPr>
        <w:pStyle w:val="Heading2"/>
      </w:pPr>
      <w:r>
        <w:t xml:space="preserve">Descriptive network analysis</w:t>
      </w:r>
    </w:p>
    <w:p>
      <w:pPr>
        <w:pStyle w:val="FirstParagraph"/>
      </w:pPr>
      <w:r>
        <w:t xml:space="preserve">The academic offering in sampled countries shows a weak connectivity with basic skills. The network density ranges from 0.005 in Brazil and Ecuador to 0.060 in Costa Rica. As Table 1 shows, the overall low network density, which is consistent across all countries, indicates that only a small fraction of the potential links between basic skills and programs are realized. This pattern suggests that program brochures make reference to basic skills selectively rather than comprehensively. The higher values in Costa Rica and Chile (both members of the OECD) point to a more consistent incorporation of basic skills into the academic offering. In contrast, countries with larger and more complex higher education systems, such as Brazil and Mexico, exhibit networks that are more extensively fragmented —a pattern consistent with their programmatic diversity and institutional heterogeneity. The academic offering of Ecuador is also similar to that of Mexico and Brazil in terms of sparsity. The clustering index for these networks also shows important variation across countries. Costa Rica stands for its highest clustering while Brazil has the lowest clustering in the region. Taken together, these findings suggest that basic skills are sparsely tied with univesity programs.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Country</w:t>
            </w:r>
          </w:p>
        </w:tc>
        <w:tc>
          <w:tcPr/>
          <w:p>
            <w:pPr>
              <w:pStyle w:val="Compact"/>
              <w:jc w:val="left"/>
            </w:pPr>
            <w:r>
              <w:t xml:space="preserve">OECD.Member</w:t>
            </w:r>
          </w:p>
        </w:tc>
        <w:tc>
          <w:tcPr/>
          <w:p>
            <w:pPr>
              <w:pStyle w:val="Compact"/>
              <w:jc w:val="right"/>
            </w:pPr>
            <w:r>
              <w:t xml:space="preserve">Edges</w:t>
            </w:r>
          </w:p>
        </w:tc>
        <w:tc>
          <w:tcPr/>
          <w:p>
            <w:pPr>
              <w:pStyle w:val="Compact"/>
              <w:jc w:val="right"/>
            </w:pPr>
            <w:r>
              <w:t xml:space="preserve">Size</w:t>
            </w:r>
          </w:p>
        </w:tc>
        <w:tc>
          <w:tcPr/>
          <w:p>
            <w:pPr>
              <w:pStyle w:val="Compact"/>
              <w:jc w:val="right"/>
            </w:pPr>
            <w:r>
              <w:t xml:space="preserve">Density</w:t>
            </w:r>
          </w:p>
        </w:tc>
        <w:tc>
          <w:tcPr/>
          <w:p>
            <w:pPr>
              <w:pStyle w:val="Compact"/>
              <w:jc w:val="right"/>
            </w:pPr>
            <w:r>
              <w:t xml:space="preserve">Clustering</w:t>
            </w:r>
          </w:p>
        </w:tc>
      </w:tr>
      <w:tr>
        <w:tc>
          <w:tcPr/>
          <w:p>
            <w:pPr>
              <w:pStyle w:val="Compact"/>
              <w:jc w:val="left"/>
            </w:pPr>
            <w:r>
              <w:t xml:space="preserve">Argentina</w:t>
            </w:r>
          </w:p>
        </w:tc>
        <w:tc>
          <w:tcPr/>
          <w:p>
            <w:pPr>
              <w:pStyle w:val="Compact"/>
              <w:jc w:val="left"/>
            </w:pPr>
            <w:r>
              <w:t xml:space="preserve">FALSE</w:t>
            </w:r>
          </w:p>
        </w:tc>
        <w:tc>
          <w:tcPr/>
          <w:p>
            <w:pPr>
              <w:pStyle w:val="Compact"/>
              <w:jc w:val="right"/>
            </w:pPr>
            <w:r>
              <w:t xml:space="preserve">1575</w:t>
            </w:r>
          </w:p>
        </w:tc>
        <w:tc>
          <w:tcPr/>
          <w:p>
            <w:pPr>
              <w:pStyle w:val="Compact"/>
              <w:jc w:val="right"/>
            </w:pPr>
            <w:r>
              <w:t xml:space="preserve">524</w:t>
            </w:r>
          </w:p>
        </w:tc>
        <w:tc>
          <w:tcPr/>
          <w:p>
            <w:pPr>
              <w:pStyle w:val="Compact"/>
              <w:jc w:val="right"/>
            </w:pPr>
            <w:r>
              <w:t xml:space="preserve">0.0114869</w:t>
            </w:r>
          </w:p>
        </w:tc>
        <w:tc>
          <w:tcPr/>
          <w:p>
            <w:pPr>
              <w:pStyle w:val="Compact"/>
              <w:jc w:val="right"/>
            </w:pPr>
            <w:r>
              <w:t xml:space="preserve">0.4151898</w:t>
            </w:r>
          </w:p>
        </w:tc>
      </w:tr>
      <w:tr>
        <w:tc>
          <w:tcPr/>
          <w:p>
            <w:pPr>
              <w:pStyle w:val="Compact"/>
              <w:jc w:val="left"/>
            </w:pPr>
            <w:r>
              <w:t xml:space="preserve">Brazil</w:t>
            </w:r>
          </w:p>
        </w:tc>
        <w:tc>
          <w:tcPr/>
          <w:p>
            <w:pPr>
              <w:pStyle w:val="Compact"/>
              <w:jc w:val="left"/>
            </w:pPr>
            <w:r>
              <w:t xml:space="preserve">FALSE</w:t>
            </w:r>
          </w:p>
        </w:tc>
        <w:tc>
          <w:tcPr/>
          <w:p>
            <w:pPr>
              <w:pStyle w:val="Compact"/>
              <w:jc w:val="right"/>
            </w:pPr>
            <w:r>
              <w:t xml:space="preserve">2243</w:t>
            </w:r>
          </w:p>
        </w:tc>
        <w:tc>
          <w:tcPr/>
          <w:p>
            <w:pPr>
              <w:pStyle w:val="Compact"/>
              <w:jc w:val="right"/>
            </w:pPr>
            <w:r>
              <w:t xml:space="preserve">932</w:t>
            </w:r>
          </w:p>
        </w:tc>
        <w:tc>
          <w:tcPr/>
          <w:p>
            <w:pPr>
              <w:pStyle w:val="Compact"/>
              <w:jc w:val="right"/>
            </w:pPr>
            <w:r>
              <w:t xml:space="preserve">0.0051677</w:t>
            </w:r>
          </w:p>
        </w:tc>
        <w:tc>
          <w:tcPr/>
          <w:p>
            <w:pPr>
              <w:pStyle w:val="Compact"/>
              <w:jc w:val="right"/>
            </w:pPr>
            <w:r>
              <w:t xml:space="preserve">0.3752704</w:t>
            </w:r>
          </w:p>
        </w:tc>
      </w:tr>
      <w:tr>
        <w:tc>
          <w:tcPr/>
          <w:p>
            <w:pPr>
              <w:pStyle w:val="Compact"/>
              <w:jc w:val="left"/>
            </w:pPr>
            <w:r>
              <w:t xml:space="preserve">Chile</w:t>
            </w:r>
          </w:p>
        </w:tc>
        <w:tc>
          <w:tcPr/>
          <w:p>
            <w:pPr>
              <w:pStyle w:val="Compact"/>
              <w:jc w:val="left"/>
            </w:pPr>
            <w:r>
              <w:t xml:space="preserve">TRUE</w:t>
            </w:r>
          </w:p>
        </w:tc>
        <w:tc>
          <w:tcPr/>
          <w:p>
            <w:pPr>
              <w:pStyle w:val="Compact"/>
              <w:jc w:val="right"/>
            </w:pPr>
            <w:r>
              <w:t xml:space="preserve">764</w:t>
            </w:r>
          </w:p>
        </w:tc>
        <w:tc>
          <w:tcPr/>
          <w:p>
            <w:pPr>
              <w:pStyle w:val="Compact"/>
              <w:jc w:val="right"/>
            </w:pPr>
            <w:r>
              <w:t xml:space="preserve">218</w:t>
            </w:r>
          </w:p>
        </w:tc>
        <w:tc>
          <w:tcPr/>
          <w:p>
            <w:pPr>
              <w:pStyle w:val="Compact"/>
              <w:jc w:val="right"/>
            </w:pPr>
            <w:r>
              <w:t xml:space="preserve">0.0322581</w:t>
            </w:r>
          </w:p>
        </w:tc>
        <w:tc>
          <w:tcPr/>
          <w:p>
            <w:pPr>
              <w:pStyle w:val="Compact"/>
              <w:jc w:val="right"/>
            </w:pPr>
            <w:r>
              <w:t xml:space="preserve">0.4952651</w:t>
            </w:r>
          </w:p>
        </w:tc>
      </w:tr>
      <w:tr>
        <w:tc>
          <w:tcPr/>
          <w:p>
            <w:pPr>
              <w:pStyle w:val="Compact"/>
              <w:jc w:val="left"/>
            </w:pPr>
            <w:r>
              <w:t xml:space="preserve">Colombia</w:t>
            </w:r>
          </w:p>
        </w:tc>
        <w:tc>
          <w:tcPr/>
          <w:p>
            <w:pPr>
              <w:pStyle w:val="Compact"/>
              <w:jc w:val="left"/>
            </w:pPr>
            <w:r>
              <w:t xml:space="preserve">TRUE</w:t>
            </w:r>
          </w:p>
        </w:tc>
        <w:tc>
          <w:tcPr/>
          <w:p>
            <w:pPr>
              <w:pStyle w:val="Compact"/>
              <w:jc w:val="right"/>
            </w:pPr>
            <w:r>
              <w:t xml:space="preserve">704</w:t>
            </w:r>
          </w:p>
        </w:tc>
        <w:tc>
          <w:tcPr/>
          <w:p>
            <w:pPr>
              <w:pStyle w:val="Compact"/>
              <w:jc w:val="right"/>
            </w:pPr>
            <w:r>
              <w:t xml:space="preserve">240</w:t>
            </w:r>
          </w:p>
        </w:tc>
        <w:tc>
          <w:tcPr/>
          <w:p>
            <w:pPr>
              <w:pStyle w:val="Compact"/>
              <w:jc w:val="right"/>
            </w:pPr>
            <w:r>
              <w:t xml:space="preserve">0.0245119</w:t>
            </w:r>
          </w:p>
        </w:tc>
        <w:tc>
          <w:tcPr/>
          <w:p>
            <w:pPr>
              <w:pStyle w:val="Compact"/>
              <w:jc w:val="right"/>
            </w:pPr>
            <w:r>
              <w:t xml:space="preserve">0.4350093</w:t>
            </w:r>
          </w:p>
        </w:tc>
      </w:tr>
      <w:tr>
        <w:tc>
          <w:tcPr/>
          <w:p>
            <w:pPr>
              <w:pStyle w:val="Compact"/>
              <w:jc w:val="left"/>
            </w:pPr>
            <w:r>
              <w:t xml:space="preserve">CostaRica</w:t>
            </w:r>
          </w:p>
        </w:tc>
        <w:tc>
          <w:tcPr/>
          <w:p>
            <w:pPr>
              <w:pStyle w:val="Compact"/>
              <w:jc w:val="left"/>
            </w:pPr>
            <w:r>
              <w:t xml:space="preserve">TRUE</w:t>
            </w:r>
          </w:p>
        </w:tc>
        <w:tc>
          <w:tcPr/>
          <w:p>
            <w:pPr>
              <w:pStyle w:val="Compact"/>
              <w:jc w:val="right"/>
            </w:pPr>
            <w:r>
              <w:t xml:space="preserve">511</w:t>
            </w:r>
          </w:p>
        </w:tc>
        <w:tc>
          <w:tcPr/>
          <w:p>
            <w:pPr>
              <w:pStyle w:val="Compact"/>
              <w:jc w:val="right"/>
            </w:pPr>
            <w:r>
              <w:t xml:space="preserve">130</w:t>
            </w:r>
          </w:p>
        </w:tc>
        <w:tc>
          <w:tcPr/>
          <w:p>
            <w:pPr>
              <w:pStyle w:val="Compact"/>
              <w:jc w:val="right"/>
            </w:pPr>
            <w:r>
              <w:t xml:space="preserve">0.0608229</w:t>
            </w:r>
          </w:p>
        </w:tc>
        <w:tc>
          <w:tcPr/>
          <w:p>
            <w:pPr>
              <w:pStyle w:val="Compact"/>
              <w:jc w:val="right"/>
            </w:pPr>
            <w:r>
              <w:t xml:space="preserve">0.6470876</w:t>
            </w:r>
          </w:p>
        </w:tc>
      </w:tr>
      <w:tr>
        <w:tc>
          <w:tcPr/>
          <w:p>
            <w:pPr>
              <w:pStyle w:val="Compact"/>
              <w:jc w:val="left"/>
            </w:pPr>
            <w:r>
              <w:t xml:space="preserve">Ecuador</w:t>
            </w:r>
          </w:p>
        </w:tc>
        <w:tc>
          <w:tcPr/>
          <w:p>
            <w:pPr>
              <w:pStyle w:val="Compact"/>
              <w:jc w:val="left"/>
            </w:pPr>
            <w:r>
              <w:t xml:space="preserve">FALSE</w:t>
            </w:r>
          </w:p>
        </w:tc>
        <w:tc>
          <w:tcPr/>
          <w:p>
            <w:pPr>
              <w:pStyle w:val="Compact"/>
              <w:jc w:val="right"/>
            </w:pPr>
            <w:r>
              <w:t xml:space="preserve">1405</w:t>
            </w:r>
          </w:p>
        </w:tc>
        <w:tc>
          <w:tcPr/>
          <w:p>
            <w:pPr>
              <w:pStyle w:val="Compact"/>
              <w:jc w:val="right"/>
            </w:pPr>
            <w:r>
              <w:t xml:space="preserve">741</w:t>
            </w:r>
          </w:p>
        </w:tc>
        <w:tc>
          <w:tcPr/>
          <w:p>
            <w:pPr>
              <w:pStyle w:val="Compact"/>
              <w:jc w:val="right"/>
            </w:pPr>
            <w:r>
              <w:t xml:space="preserve">0.0051209</w:t>
            </w:r>
          </w:p>
        </w:tc>
        <w:tc>
          <w:tcPr/>
          <w:p>
            <w:pPr>
              <w:pStyle w:val="Compact"/>
              <w:jc w:val="right"/>
            </w:pPr>
            <w:r>
              <w:t xml:space="preserve">0.4257895</w:t>
            </w:r>
          </w:p>
        </w:tc>
      </w:tr>
      <w:tr>
        <w:tc>
          <w:tcPr/>
          <w:p>
            <w:pPr>
              <w:pStyle w:val="Compact"/>
              <w:jc w:val="left"/>
            </w:pPr>
            <w:r>
              <w:t xml:space="preserve">Mexico</w:t>
            </w:r>
          </w:p>
        </w:tc>
        <w:tc>
          <w:tcPr/>
          <w:p>
            <w:pPr>
              <w:pStyle w:val="Compact"/>
              <w:jc w:val="left"/>
            </w:pPr>
            <w:r>
              <w:t xml:space="preserve">TRUE</w:t>
            </w:r>
          </w:p>
        </w:tc>
        <w:tc>
          <w:tcPr/>
          <w:p>
            <w:pPr>
              <w:pStyle w:val="Compact"/>
              <w:jc w:val="right"/>
            </w:pPr>
            <w:r>
              <w:t xml:space="preserve">2126</w:t>
            </w:r>
          </w:p>
        </w:tc>
        <w:tc>
          <w:tcPr/>
          <w:p>
            <w:pPr>
              <w:pStyle w:val="Compact"/>
              <w:jc w:val="right"/>
            </w:pPr>
            <w:r>
              <w:t xml:space="preserve">562</w:t>
            </w:r>
          </w:p>
        </w:tc>
        <w:tc>
          <w:tcPr/>
          <w:p>
            <w:pPr>
              <w:pStyle w:val="Compact"/>
              <w:jc w:val="right"/>
            </w:pPr>
            <w:r>
              <w:t xml:space="preserve">0.0134800</w:t>
            </w:r>
          </w:p>
        </w:tc>
        <w:tc>
          <w:tcPr/>
          <w:p>
            <w:pPr>
              <w:pStyle w:val="Compact"/>
              <w:jc w:val="right"/>
            </w:pPr>
            <w:r>
              <w:t xml:space="preserve">0.5720639</w:t>
            </w:r>
          </w:p>
        </w:tc>
      </w:tr>
      <w:tr>
        <w:tc>
          <w:tcPr/>
          <w:p>
            <w:pPr>
              <w:pStyle w:val="Compact"/>
              <w:jc w:val="left"/>
            </w:pPr>
            <w:r>
              <w:t xml:space="preserve">Uruguay</w:t>
            </w:r>
          </w:p>
        </w:tc>
        <w:tc>
          <w:tcPr/>
          <w:p>
            <w:pPr>
              <w:pStyle w:val="Compact"/>
              <w:jc w:val="left"/>
            </w:pPr>
            <w:r>
              <w:t xml:space="preserve">FALSE</w:t>
            </w:r>
          </w:p>
        </w:tc>
        <w:tc>
          <w:tcPr/>
          <w:p>
            <w:pPr>
              <w:pStyle w:val="Compact"/>
              <w:jc w:val="right"/>
            </w:pPr>
            <w:r>
              <w:t xml:space="preserve">383</w:t>
            </w:r>
          </w:p>
        </w:tc>
        <w:tc>
          <w:tcPr/>
          <w:p>
            <w:pPr>
              <w:pStyle w:val="Compact"/>
              <w:jc w:val="right"/>
            </w:pPr>
            <w:r>
              <w:t xml:space="preserve">157</w:t>
            </w:r>
          </w:p>
        </w:tc>
        <w:tc>
          <w:tcPr/>
          <w:p>
            <w:pPr>
              <w:pStyle w:val="Compact"/>
              <w:jc w:val="right"/>
            </w:pPr>
            <w:r>
              <w:t xml:space="preserve">0.0311939</w:t>
            </w:r>
          </w:p>
        </w:tc>
        <w:tc>
          <w:tcPr/>
          <w:p>
            <w:pPr>
              <w:pStyle w:val="Compact"/>
              <w:jc w:val="right"/>
            </w:pPr>
            <w:r>
              <w:t xml:space="preserve">0.4005043</w:t>
            </w:r>
          </w:p>
        </w:tc>
      </w:tr>
      <w:tr>
        <w:tc>
          <w:tcPr/>
          <w:p>
            <w:pPr>
              <w:pStyle w:val="Compact"/>
              <w:jc w:val="left"/>
            </w:pPr>
            <w:r>
              <w:t xml:space="preserve">Venezuela</w:t>
            </w:r>
          </w:p>
        </w:tc>
        <w:tc>
          <w:tcPr/>
          <w:p>
            <w:pPr>
              <w:pStyle w:val="Compact"/>
              <w:jc w:val="left"/>
            </w:pPr>
            <w:r>
              <w:t xml:space="preserve">FALSE</w:t>
            </w:r>
          </w:p>
        </w:tc>
        <w:tc>
          <w:tcPr/>
          <w:p>
            <w:pPr>
              <w:pStyle w:val="Compact"/>
              <w:jc w:val="right"/>
            </w:pPr>
            <w:r>
              <w:t xml:space="preserve">677</w:t>
            </w:r>
          </w:p>
        </w:tc>
        <w:tc>
          <w:tcPr/>
          <w:p>
            <w:pPr>
              <w:pStyle w:val="Compact"/>
              <w:jc w:val="right"/>
            </w:pPr>
            <w:r>
              <w:t xml:space="preserve">220</w:t>
            </w:r>
          </w:p>
        </w:tc>
        <w:tc>
          <w:tcPr/>
          <w:p>
            <w:pPr>
              <w:pStyle w:val="Compact"/>
              <w:jc w:val="right"/>
            </w:pPr>
            <w:r>
              <w:t xml:space="preserve">0.0280614</w:t>
            </w:r>
          </w:p>
        </w:tc>
        <w:tc>
          <w:tcPr/>
          <w:p>
            <w:pPr>
              <w:pStyle w:val="Compact"/>
              <w:jc w:val="right"/>
            </w:pPr>
            <w:r>
              <w:t xml:space="preserve">0.5425009</w:t>
            </w:r>
          </w:p>
        </w:tc>
      </w:tr>
    </w:tbl>
    <w:bookmarkStart w:id="129" w:name="refs"/>
    <w:bookmarkStart w:id="39" w:name="ref-Aguillo2008"/>
    <w:p>
      <w:pPr>
        <w:pStyle w:val="Bibliography"/>
      </w:pPr>
      <w:r>
        <w:t xml:space="preserve">Aguillo, I. F., Ortega, J. L., &amp; Fernández, M. (2008).</w:t>
      </w:r>
      <w:r>
        <w:t xml:space="preserve"> </w:t>
      </w:r>
      <w:r>
        <w:t xml:space="preserve">Webometric Ranking of World Universities: Introduction, Methodology, and Future Developments</w:t>
      </w:r>
      <w:r>
        <w:t xml:space="preserve">.</w:t>
      </w:r>
      <w:r>
        <w:t xml:space="preserve"> </w:t>
      </w:r>
      <w:r>
        <w:rPr>
          <w:i/>
          <w:iCs/>
        </w:rPr>
        <w:t xml:space="preserve">Higher Education in Europe</w:t>
      </w:r>
      <w:r>
        <w:t xml:space="preserve">,</w:t>
      </w:r>
      <w:r>
        <w:t xml:space="preserve"> </w:t>
      </w:r>
      <w:r>
        <w:rPr>
          <w:i/>
          <w:iCs/>
        </w:rPr>
        <w:t xml:space="preserve">33</w:t>
      </w:r>
      <w:r>
        <w:t xml:space="preserve">(2-3), 233–244.</w:t>
      </w:r>
      <w:r>
        <w:t xml:space="preserve"> </w:t>
      </w:r>
      <w:hyperlink r:id="rId38">
        <w:r>
          <w:rPr>
            <w:rStyle w:val="Hyperlink"/>
          </w:rPr>
          <w:t xml:space="preserve">https://doi.org/10.1080/03797720802254031</w:t>
        </w:r>
      </w:hyperlink>
    </w:p>
    <w:bookmarkEnd w:id="39"/>
    <w:bookmarkStart w:id="41" w:name="ref-alabdulkareem2018"/>
    <w:p>
      <w:pPr>
        <w:pStyle w:val="Bibliography"/>
      </w:pPr>
      <w:r>
        <w:t xml:space="preserve">Alabdulkareem, A., Frank, M. R., Sun, L., AlShebli, B., Hidalgo, C., &amp; Rahwan, I. (2018). Unpacking the polarization of workplace skills.</w:t>
      </w:r>
      <w:r>
        <w:t xml:space="preserve"> </w:t>
      </w:r>
      <w:r>
        <w:rPr>
          <w:i/>
          <w:iCs/>
        </w:rPr>
        <w:t xml:space="preserve">Science Advances</w:t>
      </w:r>
      <w:r>
        <w:t xml:space="preserve">,</w:t>
      </w:r>
      <w:r>
        <w:t xml:space="preserve"> </w:t>
      </w:r>
      <w:r>
        <w:rPr>
          <w:i/>
          <w:iCs/>
        </w:rPr>
        <w:t xml:space="preserve">4</w:t>
      </w:r>
      <w:r>
        <w:t xml:space="preserve">(7), eaao6030.</w:t>
      </w:r>
      <w:r>
        <w:t xml:space="preserve"> </w:t>
      </w:r>
      <w:hyperlink r:id="rId40">
        <w:r>
          <w:rPr>
            <w:rStyle w:val="Hyperlink"/>
          </w:rPr>
          <w:t xml:space="preserve">https://doi.org/10.1126/sciadv.aao6030</w:t>
        </w:r>
      </w:hyperlink>
    </w:p>
    <w:bookmarkEnd w:id="41"/>
    <w:bookmarkStart w:id="43" w:name="ref-Amaral2002"/>
    <w:p>
      <w:pPr>
        <w:pStyle w:val="Bibliography"/>
      </w:pPr>
      <w:r>
        <w:t xml:space="preserve">Amaral, A., Jones, G. A., &amp; Karseth, B. (2002). Governing higher education: Comparing national perspectives. In A. Amaral, G. A. Jones, &amp; B. Karseth (Eds.),</w:t>
      </w:r>
      <w:r>
        <w:t xml:space="preserve"> </w:t>
      </w:r>
      <w:r>
        <w:rPr>
          <w:i/>
          <w:iCs/>
        </w:rPr>
        <w:t xml:space="preserve">Governing higher education: National perspectives on institutional governance</w:t>
      </w:r>
      <w:r>
        <w:t xml:space="preserve"> </w:t>
      </w:r>
      <w:r>
        <w:t xml:space="preserve">(pp. 279–298). Springer Netherlands.</w:t>
      </w:r>
      <w:r>
        <w:t xml:space="preserve"> </w:t>
      </w:r>
      <w:hyperlink r:id="rId42">
        <w:r>
          <w:rPr>
            <w:rStyle w:val="Hyperlink"/>
          </w:rPr>
          <w:t xml:space="preserve">https://doi.org/10.1007/978-94-015-9946-7_14</w:t>
        </w:r>
      </w:hyperlink>
    </w:p>
    <w:bookmarkEnd w:id="43"/>
    <w:bookmarkStart w:id="45" w:name="ref-Aufiero2024"/>
    <w:p>
      <w:pPr>
        <w:pStyle w:val="Bibliography"/>
      </w:pPr>
      <w:r>
        <w:t xml:space="preserve">Aufiero, S., De Marzo, G., Sbardella, A., &amp; Zaccaria, A. (2024). Mapping job fitness and skill coherence into wages: An economic complexity analysis.</w:t>
      </w:r>
      <w:r>
        <w:t xml:space="preserve"> </w:t>
      </w:r>
      <w:r>
        <w:rPr>
          <w:i/>
          <w:iCs/>
        </w:rPr>
        <w:t xml:space="preserve">Scientific Reports</w:t>
      </w:r>
      <w:r>
        <w:t xml:space="preserve">,</w:t>
      </w:r>
      <w:r>
        <w:t xml:space="preserve"> </w:t>
      </w:r>
      <w:r>
        <w:rPr>
          <w:i/>
          <w:iCs/>
        </w:rPr>
        <w:t xml:space="preserve">14</w:t>
      </w:r>
      <w:r>
        <w:t xml:space="preserve">(1), 11752.</w:t>
      </w:r>
      <w:r>
        <w:t xml:space="preserve"> </w:t>
      </w:r>
      <w:hyperlink r:id="rId44">
        <w:r>
          <w:rPr>
            <w:rStyle w:val="Hyperlink"/>
          </w:rPr>
          <w:t xml:space="preserve">https://doi.org/10.1038/s41598-024-61448-x</w:t>
        </w:r>
      </w:hyperlink>
    </w:p>
    <w:bookmarkEnd w:id="45"/>
    <w:bookmarkStart w:id="47" w:name="ref-Benoit2018"/>
    <w:p>
      <w:pPr>
        <w:pStyle w:val="Bibliography"/>
      </w:pPr>
      <w:r>
        <w:t xml:space="preserve">Benoit, K., Watanabe, K., Wang, H., Nulty, P., Obeng, A., Müller, S., &amp; Matsuo, A. (2018).</w:t>
      </w:r>
      <w:r>
        <w:t xml:space="preserve"> </w:t>
      </w:r>
      <w:r>
        <w:t xml:space="preserve">quanteda: An R package for the quantitative analysis of textual data</w:t>
      </w:r>
      <w:r>
        <w:t xml:space="preserve">.</w:t>
      </w:r>
      <w:r>
        <w:t xml:space="preserve"> </w:t>
      </w:r>
      <w:r>
        <w:rPr>
          <w:i/>
          <w:iCs/>
        </w:rPr>
        <w:t xml:space="preserve">Journal of Open Source Software</w:t>
      </w:r>
      <w:r>
        <w:t xml:space="preserve">,</w:t>
      </w:r>
      <w:r>
        <w:t xml:space="preserve"> </w:t>
      </w:r>
      <w:r>
        <w:rPr>
          <w:i/>
          <w:iCs/>
        </w:rPr>
        <w:t xml:space="preserve">3</w:t>
      </w:r>
      <w:r>
        <w:t xml:space="preserve">(30), 774.</w:t>
      </w:r>
      <w:r>
        <w:t xml:space="preserve"> </w:t>
      </w:r>
      <w:hyperlink r:id="rId46">
        <w:r>
          <w:rPr>
            <w:rStyle w:val="Hyperlink"/>
          </w:rPr>
          <w:t xml:space="preserve">https://doi.org/10.21105/joss.00774</w:t>
        </w:r>
      </w:hyperlink>
    </w:p>
    <w:bookmarkEnd w:id="47"/>
    <w:bookmarkStart w:id="48" w:name="ref-Borgatti1997"/>
    <w:p>
      <w:pPr>
        <w:pStyle w:val="Bibliography"/>
      </w:pPr>
      <w:r>
        <w:t xml:space="preserve">Borgatti, S., &amp; Everett, M. (1997). Network analysis of 2-mode data.</w:t>
      </w:r>
      <w:r>
        <w:t xml:space="preserve"> </w:t>
      </w:r>
      <w:r>
        <w:rPr>
          <w:i/>
          <w:iCs/>
        </w:rPr>
        <w:t xml:space="preserve">Social Networks</w:t>
      </w:r>
      <w:r>
        <w:t xml:space="preserve">,</w:t>
      </w:r>
      <w:r>
        <w:t xml:space="preserve"> </w:t>
      </w:r>
      <w:r>
        <w:rPr>
          <w:i/>
          <w:iCs/>
        </w:rPr>
        <w:t xml:space="preserve">19</w:t>
      </w:r>
      <w:r>
        <w:t xml:space="preserve">, 243–269.</w:t>
      </w:r>
    </w:p>
    <w:bookmarkEnd w:id="48"/>
    <w:bookmarkStart w:id="50" w:name="ref-Borner2018"/>
    <w:p>
      <w:pPr>
        <w:pStyle w:val="Bibliography"/>
      </w:pPr>
      <w:r>
        <w:t xml:space="preserve">Börner, K., Scrivner, O., Gallant, M., Ma, S., Liu, X., Chewning, K., Wu, L., &amp; Evans, J. A. (2018). Skill discrepancies between research, education, and jobs reveal the critical need to supply soft skills for the data economy.</w:t>
      </w:r>
      <w:r>
        <w:t xml:space="preserve"> </w:t>
      </w:r>
      <w:r>
        <w:rPr>
          <w:i/>
          <w:iCs/>
        </w:rPr>
        <w:t xml:space="preserve">Proceedings of the National Academy of Sciences of the United States of America</w:t>
      </w:r>
      <w:r>
        <w:t xml:space="preserve">,</w:t>
      </w:r>
      <w:r>
        <w:t xml:space="preserve"> </w:t>
      </w:r>
      <w:r>
        <w:rPr>
          <w:i/>
          <w:iCs/>
        </w:rPr>
        <w:t xml:space="preserve">115</w:t>
      </w:r>
      <w:r>
        <w:t xml:space="preserve">(50), 12630–12637.</w:t>
      </w:r>
      <w:r>
        <w:t xml:space="preserve"> </w:t>
      </w:r>
      <w:hyperlink r:id="rId49">
        <w:r>
          <w:rPr>
            <w:rStyle w:val="Hyperlink"/>
          </w:rPr>
          <w:t xml:space="preserve">https://doi.org/10.1073/pnas.1804247115</w:t>
        </w:r>
      </w:hyperlink>
    </w:p>
    <w:bookmarkEnd w:id="50"/>
    <w:bookmarkStart w:id="52" w:name="ref-Boshkoska2025"/>
    <w:p>
      <w:pPr>
        <w:pStyle w:val="Bibliography"/>
      </w:pPr>
      <w:r>
        <w:t xml:space="preserve">Boshkoska, B. M., Sen, S., &amp; Boškoski, P. (2025). Designing graduate business curricula by utilizing a market-driven skills extraction approach.</w:t>
      </w:r>
      <w:r>
        <w:t xml:space="preserve"> </w:t>
      </w:r>
      <w:r>
        <w:rPr>
          <w:i/>
          <w:iCs/>
        </w:rPr>
        <w:t xml:space="preserve">Decision Sciences Journal of Innovative Education</w:t>
      </w:r>
      <w:r>
        <w:t xml:space="preserve">,</w:t>
      </w:r>
      <w:r>
        <w:t xml:space="preserve"> </w:t>
      </w:r>
      <w:r>
        <w:rPr>
          <w:i/>
          <w:iCs/>
        </w:rPr>
        <w:t xml:space="preserve">23</w:t>
      </w:r>
      <w:r>
        <w:t xml:space="preserve">(2), e70003.</w:t>
      </w:r>
      <w:r>
        <w:t xml:space="preserve"> </w:t>
      </w:r>
      <w:hyperlink r:id="rId51">
        <w:r>
          <w:rPr>
            <w:rStyle w:val="Hyperlink"/>
          </w:rPr>
          <w:t xml:space="preserve">https://doi.org/10.1111/dsji.70003</w:t>
        </w:r>
      </w:hyperlink>
    </w:p>
    <w:bookmarkEnd w:id="52"/>
    <w:bookmarkStart w:id="54" w:name="ref-Butts2008"/>
    <w:p>
      <w:pPr>
        <w:pStyle w:val="Bibliography"/>
      </w:pPr>
      <w:r>
        <w:t xml:space="preserve">Butts, C. T. (2008).</w:t>
      </w:r>
      <w:r>
        <w:t xml:space="preserve"> </w:t>
      </w:r>
      <w:r>
        <w:t xml:space="preserve">network: A Package for Managing Relational Data in R</w:t>
      </w:r>
      <w:r>
        <w:t xml:space="preserve">.</w:t>
      </w:r>
      <w:r>
        <w:t xml:space="preserve"> </w:t>
      </w:r>
      <w:r>
        <w:rPr>
          <w:i/>
          <w:iCs/>
        </w:rPr>
        <w:t xml:space="preserve">Journal of Statistical Software</w:t>
      </w:r>
      <w:r>
        <w:t xml:space="preserve">,</w:t>
      </w:r>
      <w:r>
        <w:t xml:space="preserve"> </w:t>
      </w:r>
      <w:r>
        <w:rPr>
          <w:i/>
          <w:iCs/>
        </w:rPr>
        <w:t xml:space="preserve">24</w:t>
      </w:r>
      <w:r>
        <w:t xml:space="preserve">(2).</w:t>
      </w:r>
      <w:r>
        <w:t xml:space="preserve"> </w:t>
      </w:r>
      <w:hyperlink r:id="rId53">
        <w:r>
          <w:rPr>
            <w:rStyle w:val="Hyperlink"/>
          </w:rPr>
          <w:t xml:space="preserve">https://doi.org/10.18637/jss.v024.i02</w:t>
        </w:r>
      </w:hyperlink>
    </w:p>
    <w:bookmarkEnd w:id="54"/>
    <w:bookmarkStart w:id="55" w:name="ref-Cramer2018"/>
    <w:p>
      <w:pPr>
        <w:pStyle w:val="Bibliography"/>
      </w:pPr>
      <w:r>
        <w:t xml:space="preserve">Cramer, C. B., Porter, M. A., Sayama, H., &amp; Sheetz, S. M., L. andUzzo. (2018).</w:t>
      </w:r>
      <w:r>
        <w:t xml:space="preserve"> </w:t>
      </w:r>
      <w:r>
        <w:rPr>
          <w:i/>
          <w:iCs/>
        </w:rPr>
        <w:t xml:space="preserve">Network Science in Education: Transformational Approaches in Teaching and Learning</w:t>
      </w:r>
      <w:r>
        <w:t xml:space="preserve">. Springer.</w:t>
      </w:r>
    </w:p>
    <w:bookmarkEnd w:id="55"/>
    <w:bookmarkStart w:id="56" w:name="ref-Cranmer2021"/>
    <w:p>
      <w:pPr>
        <w:pStyle w:val="Bibliography"/>
      </w:pPr>
      <w:r>
        <w:t xml:space="preserve">Cranmer, S. J., Desmarais, B. A., &amp; Morgan, J. W. (2021).</w:t>
      </w:r>
      <w:r>
        <w:t xml:space="preserve"> </w:t>
      </w:r>
      <w:r>
        <w:rPr>
          <w:i/>
          <w:iCs/>
        </w:rPr>
        <w:t xml:space="preserve">Inferential network analysis</w:t>
      </w:r>
      <w:r>
        <w:t xml:space="preserve">. Cambridge University Press.</w:t>
      </w:r>
    </w:p>
    <w:bookmarkEnd w:id="56"/>
    <w:bookmarkStart w:id="57" w:name="ref-Csardi2006"/>
    <w:p>
      <w:pPr>
        <w:pStyle w:val="Bibliography"/>
      </w:pPr>
      <w:r>
        <w:t xml:space="preserve">Csardi, G., &amp; Nepusz, T. (2006).</w:t>
      </w:r>
      <w:r>
        <w:t xml:space="preserve"> </w:t>
      </w:r>
      <w:r>
        <w:t xml:space="preserve">The Igraph Software Package for Complex Network Research</w:t>
      </w:r>
      <w:r>
        <w:t xml:space="preserve">.</w:t>
      </w:r>
      <w:r>
        <w:t xml:space="preserve"> </w:t>
      </w:r>
      <w:r>
        <w:rPr>
          <w:i/>
          <w:iCs/>
        </w:rPr>
        <w:t xml:space="preserve">InterJournal</w:t>
      </w:r>
      <w:r>
        <w:t xml:space="preserve">,</w:t>
      </w:r>
      <w:r>
        <w:t xml:space="preserve"> </w:t>
      </w:r>
      <w:r>
        <w:rPr>
          <w:i/>
          <w:iCs/>
        </w:rPr>
        <w:t xml:space="preserve">1695</w:t>
      </w:r>
      <w:r>
        <w:t xml:space="preserve">, 1–9.</w:t>
      </w:r>
    </w:p>
    <w:bookmarkEnd w:id="57"/>
    <w:bookmarkStart w:id="59" w:name="ref-Dakduk2025"/>
    <w:p>
      <w:pPr>
        <w:pStyle w:val="Bibliography"/>
      </w:pPr>
      <w:r>
        <w:t xml:space="preserve">Dakduk, S., García-Chitiva, M. d. P., &amp; Correa, J. C. (2025). A case study on professional skills and accredited graduate programs of marketing.</w:t>
      </w:r>
      <w:r>
        <w:t xml:space="preserve"> </w:t>
      </w:r>
      <w:r>
        <w:rPr>
          <w:i/>
          <w:iCs/>
        </w:rPr>
        <w:t xml:space="preserve">Applied Network Science</w:t>
      </w:r>
      <w:r>
        <w:t xml:space="preserve">,</w:t>
      </w:r>
      <w:r>
        <w:t xml:space="preserve"> </w:t>
      </w:r>
      <w:r>
        <w:rPr>
          <w:i/>
          <w:iCs/>
        </w:rPr>
        <w:t xml:space="preserve">10</w:t>
      </w:r>
      <w:r>
        <w:t xml:space="preserve">(17), 1–22.</w:t>
      </w:r>
      <w:r>
        <w:t xml:space="preserve"> </w:t>
      </w:r>
      <w:hyperlink r:id="rId58">
        <w:r>
          <w:rPr>
            <w:rStyle w:val="Hyperlink"/>
          </w:rPr>
          <w:t xml:space="preserve">https://doi.org/10.1007/s41109-025-00696-w</w:t>
        </w:r>
      </w:hyperlink>
    </w:p>
    <w:bookmarkEnd w:id="59"/>
    <w:bookmarkStart w:id="61" w:name="ref-Delosrios2021"/>
    <w:p>
      <w:pPr>
        <w:pStyle w:val="Bibliography"/>
      </w:pPr>
      <w:r>
        <w:t xml:space="preserve">De los Ríos-Carmenado, I., Sastre-Merino, S., Díaz Lantada, A., García-Martín, J., Nole, P., &amp; Pérez-Martínez, J. E. (2021). Building world class universities through innovative teaching governance.</w:t>
      </w:r>
      <w:r>
        <w:t xml:space="preserve"> </w:t>
      </w:r>
      <w:r>
        <w:rPr>
          <w:i/>
          <w:iCs/>
        </w:rPr>
        <w:t xml:space="preserve">Studies in Educational Evaluation</w:t>
      </w:r>
      <w:r>
        <w:t xml:space="preserve">,</w:t>
      </w:r>
      <w:r>
        <w:t xml:space="preserve"> </w:t>
      </w:r>
      <w:r>
        <w:rPr>
          <w:i/>
          <w:iCs/>
        </w:rPr>
        <w:t xml:space="preserve">70</w:t>
      </w:r>
      <w:r>
        <w:t xml:space="preserve">.</w:t>
      </w:r>
      <w:r>
        <w:t xml:space="preserve"> </w:t>
      </w:r>
      <w:hyperlink r:id="rId60">
        <w:r>
          <w:rPr>
            <w:rStyle w:val="Hyperlink"/>
          </w:rPr>
          <w:t xml:space="preserve">https://doi.org/10.1016/j.stueduc.2021.101031</w:t>
        </w:r>
      </w:hyperlink>
    </w:p>
    <w:bookmarkEnd w:id="61"/>
    <w:bookmarkStart w:id="63" w:name="ref-echeverria2022"/>
    <w:p>
      <w:pPr>
        <w:pStyle w:val="Bibliography"/>
      </w:pPr>
      <w:r>
        <w:t xml:space="preserve">Echeverría-King, L. F., Camacho Toro, R., Figueroa, P., Galvis, L. A., González, A., Suárez, V. R., Torres Atencio, I., &amp; Widmaier Müller, C. N. (2022).</w:t>
      </w:r>
      <w:r>
        <w:t xml:space="preserve"> </w:t>
      </w:r>
      <w:r>
        <w:t xml:space="preserve">Organized scientific diaspora and its contributions to science diplomacy in emerging economies: the case of Latin America and the Caribbean</w:t>
      </w:r>
      <w:r>
        <w:t xml:space="preserve">.</w:t>
      </w:r>
      <w:r>
        <w:t xml:space="preserve"> </w:t>
      </w:r>
      <w:r>
        <w:rPr>
          <w:i/>
          <w:iCs/>
        </w:rPr>
        <w:t xml:space="preserve">Frontiers in Research Metrics and Analytics</w:t>
      </w:r>
      <w:r>
        <w:t xml:space="preserve">,</w:t>
      </w:r>
      <w:r>
        <w:t xml:space="preserve"> </w:t>
      </w:r>
      <w:r>
        <w:rPr>
          <w:i/>
          <w:iCs/>
        </w:rPr>
        <w:t xml:space="preserve">7</w:t>
      </w:r>
      <w:r>
        <w:t xml:space="preserve">, 893593.</w:t>
      </w:r>
      <w:r>
        <w:t xml:space="preserve"> </w:t>
      </w:r>
      <w:hyperlink r:id="rId62">
        <w:r>
          <w:rPr>
            <w:rStyle w:val="Hyperlink"/>
          </w:rPr>
          <w:t xml:space="preserve">https://doi.org/10.3389/frma.2022.893593</w:t>
        </w:r>
      </w:hyperlink>
    </w:p>
    <w:bookmarkEnd w:id="63"/>
    <w:bookmarkStart w:id="65" w:name="ref-Essien2024"/>
    <w:p>
      <w:pPr>
        <w:pStyle w:val="Bibliography"/>
      </w:pPr>
      <w:r>
        <w:t xml:space="preserve">Essien, A., Bukoye, O. T., O’Dea, X., &amp; Kremantzis, M. (2024).</w:t>
      </w:r>
      <w:r>
        <w:t xml:space="preserve"> </w:t>
      </w:r>
      <w:r>
        <w:t xml:space="preserve">The influence of AI text generators on critical thinking skills in UK business schools</w:t>
      </w:r>
      <w:r>
        <w:t xml:space="preserve">.</w:t>
      </w:r>
      <w:r>
        <w:t xml:space="preserve"> </w:t>
      </w:r>
      <w:r>
        <w:rPr>
          <w:i/>
          <w:iCs/>
        </w:rPr>
        <w:t xml:space="preserve">Studies in Higher Education</w:t>
      </w:r>
      <w:r>
        <w:t xml:space="preserve">,</w:t>
      </w:r>
      <w:r>
        <w:t xml:space="preserve"> </w:t>
      </w:r>
      <w:r>
        <w:rPr>
          <w:i/>
          <w:iCs/>
        </w:rPr>
        <w:t xml:space="preserve">49</w:t>
      </w:r>
      <w:r>
        <w:t xml:space="preserve">(5), 865–882.</w:t>
      </w:r>
      <w:r>
        <w:t xml:space="preserve"> </w:t>
      </w:r>
      <w:hyperlink r:id="rId64">
        <w:r>
          <w:rPr>
            <w:rStyle w:val="Hyperlink"/>
          </w:rPr>
          <w:t xml:space="preserve">https://doi.org/10.1080/03075079.2024.2316881</w:t>
        </w:r>
      </w:hyperlink>
    </w:p>
    <w:bookmarkEnd w:id="65"/>
    <w:bookmarkStart w:id="67" w:name="ref-Extance2023"/>
    <w:p>
      <w:pPr>
        <w:pStyle w:val="Bibliography"/>
      </w:pPr>
      <w:r>
        <w:t xml:space="preserve">Extance, A. (2023).</w:t>
      </w:r>
      <w:r>
        <w:t xml:space="preserve"> </w:t>
      </w:r>
      <w:r>
        <w:t xml:space="preserve">ChatGPT has entered the classroom: how LLMs could transform education</w:t>
      </w:r>
      <w:r>
        <w:t xml:space="preserve">.</w:t>
      </w:r>
      <w:r>
        <w:t xml:space="preserve"> </w:t>
      </w:r>
      <w:r>
        <w:rPr>
          <w:i/>
          <w:iCs/>
        </w:rPr>
        <w:t xml:space="preserve">Nature</w:t>
      </w:r>
      <w:r>
        <w:t xml:space="preserve">,</w:t>
      </w:r>
      <w:r>
        <w:t xml:space="preserve"> </w:t>
      </w:r>
      <w:r>
        <w:rPr>
          <w:i/>
          <w:iCs/>
        </w:rPr>
        <w:t xml:space="preserve">623</w:t>
      </w:r>
      <w:r>
        <w:t xml:space="preserve">, 474–477.</w:t>
      </w:r>
      <w:r>
        <w:t xml:space="preserve"> </w:t>
      </w:r>
      <w:hyperlink r:id="rId66">
        <w:r>
          <w:rPr>
            <w:rStyle w:val="Hyperlink"/>
          </w:rPr>
          <w:t xml:space="preserve">https://doi.org/10.1038/d41586-023-03507-3</w:t>
        </w:r>
      </w:hyperlink>
    </w:p>
    <w:bookmarkEnd w:id="67"/>
    <w:bookmarkStart w:id="69" w:name="ref-Fisher2025"/>
    <w:p>
      <w:pPr>
        <w:pStyle w:val="Bibliography"/>
      </w:pPr>
      <w:r>
        <w:t xml:space="preserve">Fisher, R., Gogan, T., Williams, J., Laferriere, R., Campbell, G., Gunasekara, A., &amp; Nguyen, J. (2025). Can ChatGPT enhance business student creativity? Evidence from a randomised controlled trial.</w:t>
      </w:r>
      <w:r>
        <w:t xml:space="preserve"> </w:t>
      </w:r>
      <w:r>
        <w:rPr>
          <w:i/>
          <w:iCs/>
        </w:rPr>
        <w:t xml:space="preserve">Studies in Higher Education</w:t>
      </w:r>
      <w:r>
        <w:t xml:space="preserve">,</w:t>
      </w:r>
      <w:r>
        <w:t xml:space="preserve"> </w:t>
      </w:r>
      <w:r>
        <w:rPr>
          <w:i/>
          <w:iCs/>
        </w:rPr>
        <w:t xml:space="preserve">0</w:t>
      </w:r>
      <w:r>
        <w:t xml:space="preserve">(0), 1–15.</w:t>
      </w:r>
      <w:r>
        <w:t xml:space="preserve"> </w:t>
      </w:r>
      <w:hyperlink r:id="rId68">
        <w:r>
          <w:rPr>
            <w:rStyle w:val="Hyperlink"/>
          </w:rPr>
          <w:t xml:space="preserve">https://doi.org/10.1080/03075079.2025.2515512</w:t>
        </w:r>
      </w:hyperlink>
    </w:p>
    <w:bookmarkEnd w:id="69"/>
    <w:bookmarkStart w:id="70" w:name="ref-Fuller2022"/>
    <w:p>
      <w:pPr>
        <w:pStyle w:val="Bibliography"/>
      </w:pPr>
      <w:r>
        <w:t xml:space="preserve">Fuller, J., Langer, C., &amp; Sigelman, M. (2022).</w:t>
      </w:r>
      <w:r>
        <w:t xml:space="preserve"> </w:t>
      </w:r>
      <w:r>
        <w:t xml:space="preserve">Skills-based hiring is on the rise</w:t>
      </w:r>
      <w:r>
        <w:t xml:space="preserve">.</w:t>
      </w:r>
      <w:r>
        <w:t xml:space="preserve"> </w:t>
      </w:r>
      <w:r>
        <w:rPr>
          <w:i/>
          <w:iCs/>
        </w:rPr>
        <w:t xml:space="preserve">Harvard Business Review</w:t>
      </w:r>
      <w:r>
        <w:t xml:space="preserve">,</w:t>
      </w:r>
      <w:r>
        <w:t xml:space="preserve"> </w:t>
      </w:r>
      <w:r>
        <w:rPr>
          <w:i/>
          <w:iCs/>
        </w:rPr>
        <w:t xml:space="preserve">11</w:t>
      </w:r>
      <w:r>
        <w:t xml:space="preserve">, 1–6.</w:t>
      </w:r>
    </w:p>
    <w:bookmarkEnd w:id="70"/>
    <w:bookmarkStart w:id="72" w:name="ref-Gadar2018"/>
    <w:p>
      <w:pPr>
        <w:pStyle w:val="Bibliography"/>
      </w:pPr>
      <w:r>
        <w:t xml:space="preserve">Gadár, L., &amp; Abonyi, J. (2018). Graph configuration model based evaluation of the education-occupation match.</w:t>
      </w:r>
      <w:r>
        <w:t xml:space="preserve"> </w:t>
      </w:r>
      <w:r>
        <w:rPr>
          <w:i/>
          <w:iCs/>
        </w:rPr>
        <w:t xml:space="preserve">PloS One</w:t>
      </w:r>
      <w:r>
        <w:t xml:space="preserve">,</w:t>
      </w:r>
      <w:r>
        <w:t xml:space="preserve"> </w:t>
      </w:r>
      <w:r>
        <w:rPr>
          <w:i/>
          <w:iCs/>
        </w:rPr>
        <w:t xml:space="preserve">13</w:t>
      </w:r>
      <w:r>
        <w:t xml:space="preserve">(3), e0192427.</w:t>
      </w:r>
      <w:r>
        <w:t xml:space="preserve"> </w:t>
      </w:r>
      <w:hyperlink r:id="rId71">
        <w:r>
          <w:rPr>
            <w:rStyle w:val="Hyperlink"/>
          </w:rPr>
          <w:t xml:space="preserve">https://doi.org/10.1371/journal.pone.0192427</w:t>
        </w:r>
      </w:hyperlink>
    </w:p>
    <w:bookmarkEnd w:id="72"/>
    <w:bookmarkStart w:id="74" w:name="ref-garcia-chitiva2024"/>
    <w:p>
      <w:pPr>
        <w:pStyle w:val="Bibliography"/>
      </w:pPr>
      <w:r>
        <w:t xml:space="preserve">Garcia-Chitiva, M. del P., &amp; Correa, J. C. and. (2024). Soft skills centrality in graduate studies offerings.</w:t>
      </w:r>
      <w:r>
        <w:t xml:space="preserve"> </w:t>
      </w:r>
      <w:r>
        <w:rPr>
          <w:i/>
          <w:iCs/>
        </w:rPr>
        <w:t xml:space="preserve">Studies in Higher Education</w:t>
      </w:r>
      <w:r>
        <w:t xml:space="preserve">,</w:t>
      </w:r>
      <w:r>
        <w:t xml:space="preserve"> </w:t>
      </w:r>
      <w:r>
        <w:rPr>
          <w:i/>
          <w:iCs/>
        </w:rPr>
        <w:t xml:space="preserve">49</w:t>
      </w:r>
      <w:r>
        <w:t xml:space="preserve">(6), 956–980.</w:t>
      </w:r>
      <w:r>
        <w:t xml:space="preserve"> </w:t>
      </w:r>
      <w:hyperlink r:id="rId73">
        <w:r>
          <w:rPr>
            <w:rStyle w:val="Hyperlink"/>
          </w:rPr>
          <w:t xml:space="preserve">https://doi.org/10.1080/03075079.2023.2254799</w:t>
        </w:r>
      </w:hyperlink>
    </w:p>
    <w:bookmarkEnd w:id="74"/>
    <w:bookmarkStart w:id="75" w:name="ref-Garciachitiva2024"/>
    <w:p>
      <w:pPr>
        <w:pStyle w:val="Bibliography"/>
      </w:pPr>
      <w:r>
        <w:t xml:space="preserve">García-Chitiva, M. d. P., &amp; Correa, J. C. (2024). Soft skills centrality in graduate studies offerings.</w:t>
      </w:r>
      <w:r>
        <w:t xml:space="preserve"> </w:t>
      </w:r>
      <w:r>
        <w:rPr>
          <w:i/>
          <w:iCs/>
        </w:rPr>
        <w:t xml:space="preserve">Studies in Higher Education</w:t>
      </w:r>
      <w:r>
        <w:t xml:space="preserve">,</w:t>
      </w:r>
      <w:r>
        <w:t xml:space="preserve"> </w:t>
      </w:r>
      <w:r>
        <w:rPr>
          <w:i/>
          <w:iCs/>
        </w:rPr>
        <w:t xml:space="preserve">49</w:t>
      </w:r>
      <w:r>
        <w:t xml:space="preserve">(6), 956–980.</w:t>
      </w:r>
      <w:r>
        <w:t xml:space="preserve"> </w:t>
      </w:r>
      <w:hyperlink r:id="rId73">
        <w:r>
          <w:rPr>
            <w:rStyle w:val="Hyperlink"/>
          </w:rPr>
          <w:t xml:space="preserve">https://doi.org/10.1080/03075079.2023.2254799</w:t>
        </w:r>
      </w:hyperlink>
    </w:p>
    <w:bookmarkEnd w:id="75"/>
    <w:bookmarkStart w:id="77" w:name="ref-Garcia-Chitiva2025"/>
    <w:p>
      <w:pPr>
        <w:pStyle w:val="Bibliography"/>
      </w:pPr>
      <w:r>
        <w:t xml:space="preserve">García-Chitiva, M. d. P., Vázquez-Villegas, P., &amp; Correa, J. C. (2025). Collaborative skills developed in collaborative online international learning as a multivariate research subject.</w:t>
      </w:r>
      <w:r>
        <w:t xml:space="preserve"> </w:t>
      </w:r>
      <w:r>
        <w:rPr>
          <w:i/>
          <w:iCs/>
        </w:rPr>
        <w:t xml:space="preserve">International Journal of Engineering Pedagogy</w:t>
      </w:r>
      <w:r>
        <w:t xml:space="preserve">,</w:t>
      </w:r>
      <w:r>
        <w:t xml:space="preserve"> </w:t>
      </w:r>
      <w:r>
        <w:rPr>
          <w:i/>
          <w:iCs/>
        </w:rPr>
        <w:t xml:space="preserve">15</w:t>
      </w:r>
      <w:r>
        <w:t xml:space="preserve">(2), 74–92.</w:t>
      </w:r>
      <w:r>
        <w:t xml:space="preserve"> </w:t>
      </w:r>
      <w:hyperlink r:id="rId76">
        <w:r>
          <w:rPr>
            <w:rStyle w:val="Hyperlink"/>
          </w:rPr>
          <w:t xml:space="preserve">https://doi.org/10.3991/ijep.v15i2.51561</w:t>
        </w:r>
      </w:hyperlink>
    </w:p>
    <w:bookmarkEnd w:id="77"/>
    <w:bookmarkStart w:id="78" w:name="ref-Gera2018"/>
    <w:p>
      <w:pPr>
        <w:pStyle w:val="Bibliography"/>
      </w:pPr>
      <w:r>
        <w:t xml:space="preserve">Gera, R. (2018).</w:t>
      </w:r>
      <w:r>
        <w:t xml:space="preserve"> </w:t>
      </w:r>
      <w:r>
        <w:t xml:space="preserve">Leading Edge Learning in Network Science</w:t>
      </w:r>
      <w:r>
        <w:t xml:space="preserve">. In C. B. Cramer, M. A. Porter, H. Sayama, &amp; S. M. Sheetz L. andUzzo (Eds.),</w:t>
      </w:r>
      <w:r>
        <w:t xml:space="preserve"> </w:t>
      </w:r>
      <w:r>
        <w:rPr>
          <w:i/>
          <w:iCs/>
        </w:rPr>
        <w:t xml:space="preserve">Network Science in Education: Transformational Approaches in Teaching and Learning</w:t>
      </w:r>
      <w:r>
        <w:t xml:space="preserve"> </w:t>
      </w:r>
      <w:r>
        <w:t xml:space="preserve">(pp. 23–44). Springer.</w:t>
      </w:r>
    </w:p>
    <w:bookmarkEnd w:id="78"/>
    <w:bookmarkStart w:id="80" w:name="ref-Guzman2013"/>
    <w:p>
      <w:pPr>
        <w:pStyle w:val="Bibliography"/>
      </w:pPr>
      <w:r>
        <w:t xml:space="preserve">Guzmán Duque, Ph. A. P., &amp; Moral Pérez, Ph. M. E. del. (2013). Twitter’s contribution to improving strategic communication in latin american universities.</w:t>
      </w:r>
      <w:r>
        <w:t xml:space="preserve"> </w:t>
      </w:r>
      <w:r>
        <w:rPr>
          <w:i/>
          <w:iCs/>
        </w:rPr>
        <w:t xml:space="preserve">International Journal of Educational Technology in Higher Education</w:t>
      </w:r>
      <w:r>
        <w:t xml:space="preserve">,</w:t>
      </w:r>
      <w:r>
        <w:t xml:space="preserve"> </w:t>
      </w:r>
      <w:r>
        <w:rPr>
          <w:i/>
          <w:iCs/>
        </w:rPr>
        <w:t xml:space="preserve">10</w:t>
      </w:r>
      <w:r>
        <w:t xml:space="preserve">(2), 478–493.</w:t>
      </w:r>
      <w:r>
        <w:t xml:space="preserve"> </w:t>
      </w:r>
      <w:hyperlink r:id="rId79">
        <w:r>
          <w:rPr>
            <w:rStyle w:val="Hyperlink"/>
          </w:rPr>
          <w:t xml:space="preserve">https://doi.org/10.7238/rusc.v10i2.1744</w:t>
        </w:r>
      </w:hyperlink>
    </w:p>
    <w:bookmarkEnd w:id="80"/>
    <w:bookmarkStart w:id="82" w:name="ref-Guzman2023"/>
    <w:p>
      <w:pPr>
        <w:pStyle w:val="Bibliography"/>
      </w:pPr>
      <w:r>
        <w:t xml:space="preserve">Guzmán-Valenzuela, C., Chiappa, R., Rojas-Murphy Tagle, A., Ismail, N., &amp; Pedraja-Rejas, L. (2023).</w:t>
      </w:r>
      <w:r>
        <w:t xml:space="preserve"> </w:t>
      </w:r>
      <w:r>
        <w:t xml:space="preserve">Investigating critical thinking in higher education in Latin America: Acknoeledging an epistemic disjuncture</w:t>
      </w:r>
      <w:r>
        <w:t xml:space="preserve">.</w:t>
      </w:r>
      <w:r>
        <w:t xml:space="preserve"> </w:t>
      </w:r>
      <w:r>
        <w:rPr>
          <w:i/>
          <w:iCs/>
        </w:rPr>
        <w:t xml:space="preserve">Critical Studies in Teaching and Learning</w:t>
      </w:r>
      <w:r>
        <w:t xml:space="preserve">,</w:t>
      </w:r>
      <w:r>
        <w:t xml:space="preserve"> </w:t>
      </w:r>
      <w:r>
        <w:rPr>
          <w:i/>
          <w:iCs/>
        </w:rPr>
        <w:t xml:space="preserve">11</w:t>
      </w:r>
      <w:r>
        <w:t xml:space="preserve">, 71–99.</w:t>
      </w:r>
      <w:r>
        <w:t xml:space="preserve"> </w:t>
      </w:r>
      <w:hyperlink r:id="rId81">
        <w:r>
          <w:rPr>
            <w:rStyle w:val="Hyperlink"/>
          </w:rPr>
          <w:t xml:space="preserve">https://doi.org/10.14426/cristal.v11iSI.624</w:t>
        </w:r>
      </w:hyperlink>
    </w:p>
    <w:bookmarkEnd w:id="82"/>
    <w:bookmarkStart w:id="84" w:name="ref-Hidalgo2009"/>
    <w:p>
      <w:pPr>
        <w:pStyle w:val="Bibliography"/>
      </w:pPr>
      <w:r>
        <w:t xml:space="preserve">Hidalgo, C. A., &amp; Hausmann, R. (2009). The building blocks of economic complexity.</w:t>
      </w:r>
      <w:r>
        <w:t xml:space="preserve"> </w:t>
      </w:r>
      <w:r>
        <w:rPr>
          <w:i/>
          <w:iCs/>
        </w:rPr>
        <w:t xml:space="preserve">Proceedings of the National Academy of Sciences</w:t>
      </w:r>
      <w:r>
        <w:t xml:space="preserve">,</w:t>
      </w:r>
      <w:r>
        <w:t xml:space="preserve"> </w:t>
      </w:r>
      <w:r>
        <w:rPr>
          <w:i/>
          <w:iCs/>
        </w:rPr>
        <w:t xml:space="preserve">106</w:t>
      </w:r>
      <w:r>
        <w:t xml:space="preserve">(26), 10570–10575.</w:t>
      </w:r>
      <w:r>
        <w:t xml:space="preserve"> </w:t>
      </w:r>
      <w:hyperlink r:id="rId83">
        <w:r>
          <w:rPr>
            <w:rStyle w:val="Hyperlink"/>
          </w:rPr>
          <w:t xml:space="preserve">https://doi.org/10.1073/pnas.0900943106</w:t>
        </w:r>
      </w:hyperlink>
    </w:p>
    <w:bookmarkEnd w:id="84"/>
    <w:bookmarkStart w:id="85" w:name="ref-Hite2001"/>
    <w:p>
      <w:pPr>
        <w:pStyle w:val="Bibliography"/>
      </w:pPr>
      <w:r>
        <w:t xml:space="preserve">Hite, R. E., &amp; Yearwood, A. (2001). A content analysis of college and university view- book (brochures).</w:t>
      </w:r>
      <w:r>
        <w:t xml:space="preserve"> </w:t>
      </w:r>
      <w:r>
        <w:rPr>
          <w:i/>
          <w:iCs/>
        </w:rPr>
        <w:t xml:space="preserve">College and University</w:t>
      </w:r>
      <w:r>
        <w:t xml:space="preserve">,</w:t>
      </w:r>
      <w:r>
        <w:t xml:space="preserve"> </w:t>
      </w:r>
      <w:r>
        <w:rPr>
          <w:i/>
          <w:iCs/>
        </w:rPr>
        <w:t xml:space="preserve">76</w:t>
      </w:r>
      <w:r>
        <w:t xml:space="preserve">(1), 26–55.</w:t>
      </w:r>
    </w:p>
    <w:bookmarkEnd w:id="85"/>
    <w:bookmarkStart w:id="87" w:name="ref-Javadian2024"/>
    <w:p>
      <w:pPr>
        <w:pStyle w:val="Bibliography"/>
      </w:pPr>
      <w:r>
        <w:t xml:space="preserve">Javadian Sabet, A., Bana, S. H., Yu, R., &amp; Frank, M. R. (2024). Course-skill atlas: A national longitudinal dataset of skills taught in u.s. Higher education curricula.</w:t>
      </w:r>
      <w:r>
        <w:t xml:space="preserve"> </w:t>
      </w:r>
      <w:r>
        <w:rPr>
          <w:i/>
          <w:iCs/>
        </w:rPr>
        <w:t xml:space="preserve">Scientific Data</w:t>
      </w:r>
      <w:r>
        <w:t xml:space="preserve">,</w:t>
      </w:r>
      <w:r>
        <w:t xml:space="preserve"> </w:t>
      </w:r>
      <w:r>
        <w:rPr>
          <w:i/>
          <w:iCs/>
        </w:rPr>
        <w:t xml:space="preserve">11</w:t>
      </w:r>
      <w:r>
        <w:t xml:space="preserve">(1), 1086.</w:t>
      </w:r>
      <w:r>
        <w:t xml:space="preserve"> </w:t>
      </w:r>
      <w:hyperlink r:id="rId86">
        <w:r>
          <w:rPr>
            <w:rStyle w:val="Hyperlink"/>
          </w:rPr>
          <w:t xml:space="preserve">https://doi.org/10.1038/s41597-024-03931-8</w:t>
        </w:r>
      </w:hyperlink>
    </w:p>
    <w:bookmarkEnd w:id="87"/>
    <w:bookmarkStart w:id="88" w:name="ref-Kertesz2018"/>
    <w:p>
      <w:pPr>
        <w:pStyle w:val="Bibliography"/>
      </w:pPr>
      <w:r>
        <w:t xml:space="preserve">Kertész, J., &amp; Vedres, B. (2018).</w:t>
      </w:r>
      <w:r>
        <w:t xml:space="preserve"> </w:t>
      </w:r>
      <w:r>
        <w:t xml:space="preserve">Europe’s First PhD Program in Network Science</w:t>
      </w:r>
      <w:r>
        <w:t xml:space="preserve">. In C. B. Cramer, M. A. Porter, H. Sayama, &amp; S. M. Sheetz L. andUzzo (Eds.),</w:t>
      </w:r>
      <w:r>
        <w:t xml:space="preserve"> </w:t>
      </w:r>
      <w:r>
        <w:rPr>
          <w:i/>
          <w:iCs/>
        </w:rPr>
        <w:t xml:space="preserve">Network Science in Education: Transformational Approaches in Teaching and Learning</w:t>
      </w:r>
      <w:r>
        <w:t xml:space="preserve"> </w:t>
      </w:r>
      <w:r>
        <w:t xml:space="preserve">(pp. 87–97). Springer.</w:t>
      </w:r>
    </w:p>
    <w:bookmarkEnd w:id="88"/>
    <w:bookmarkStart w:id="90" w:name="ref-Kevork2022"/>
    <w:p>
      <w:pPr>
        <w:pStyle w:val="Bibliography"/>
      </w:pPr>
      <w:r>
        <w:t xml:space="preserve">Kevork, S., &amp; Kauermann, G. (2022). Bipartite exponential random graph models with nodal random effects.</w:t>
      </w:r>
      <w:r>
        <w:t xml:space="preserve"> </w:t>
      </w:r>
      <w:r>
        <w:rPr>
          <w:i/>
          <w:iCs/>
        </w:rPr>
        <w:t xml:space="preserve">Social Networks</w:t>
      </w:r>
      <w:r>
        <w:t xml:space="preserve">,</w:t>
      </w:r>
      <w:r>
        <w:t xml:space="preserve"> </w:t>
      </w:r>
      <w:r>
        <w:rPr>
          <w:i/>
          <w:iCs/>
        </w:rPr>
        <w:t xml:space="preserve">70</w:t>
      </w:r>
      <w:r>
        <w:t xml:space="preserve">, 90–99.</w:t>
      </w:r>
      <w:r>
        <w:t xml:space="preserve"> </w:t>
      </w:r>
      <w:hyperlink r:id="rId89">
        <w:r>
          <w:rPr>
            <w:rStyle w:val="Hyperlink"/>
          </w:rPr>
          <w:t xml:space="preserve">https://doi.org/10.1016/j.socnet.2021.11.002</w:t>
        </w:r>
      </w:hyperlink>
    </w:p>
    <w:bookmarkEnd w:id="90"/>
    <w:bookmarkStart w:id="92" w:name="ref-Krivitsky2023b"/>
    <w:p>
      <w:pPr>
        <w:pStyle w:val="Bibliography"/>
      </w:pPr>
      <w:r>
        <w:t xml:space="preserve">Krivitsky, P. N., Coletti, P., &amp; Hens, N. (2023). A tale of two datasets: Representativeness and generalisability of inference for samples of networks.</w:t>
      </w:r>
      <w:r>
        <w:t xml:space="preserve"> </w:t>
      </w:r>
      <w:r>
        <w:rPr>
          <w:i/>
          <w:iCs/>
        </w:rPr>
        <w:t xml:space="preserve">Journal of the American Statistical Association</w:t>
      </w:r>
      <w:r>
        <w:t xml:space="preserve">,</w:t>
      </w:r>
      <w:r>
        <w:t xml:space="preserve"> </w:t>
      </w:r>
      <w:r>
        <w:rPr>
          <w:i/>
          <w:iCs/>
        </w:rPr>
        <w:t xml:space="preserve">118</w:t>
      </w:r>
      <w:r>
        <w:t xml:space="preserve">(544), 2213–2224.</w:t>
      </w:r>
      <w:r>
        <w:t xml:space="preserve"> </w:t>
      </w:r>
      <w:hyperlink r:id="rId91">
        <w:r>
          <w:rPr>
            <w:rStyle w:val="Hyperlink"/>
          </w:rPr>
          <w:t xml:space="preserve">https://doi.org/10.1080/01621459.2023.2242627</w:t>
        </w:r>
      </w:hyperlink>
    </w:p>
    <w:bookmarkEnd w:id="92"/>
    <w:bookmarkStart w:id="94" w:name="ref-Laverde2019"/>
    <w:p>
      <w:pPr>
        <w:pStyle w:val="Bibliography"/>
      </w:pPr>
      <w:r>
        <w:t xml:space="preserve">Laverde-Rojas, H., Correa, J. C., Jaffe, K., &amp; Caicedo, M. I. (2019).</w:t>
      </w:r>
      <w:r>
        <w:t xml:space="preserve"> </w:t>
      </w:r>
      <w:r>
        <w:t xml:space="preserve">Are average years of education losing predictive power for economic growth? An alternative measure through structural equations modeling</w:t>
      </w:r>
      <w:r>
        <w:t xml:space="preserve">.</w:t>
      </w:r>
      <w:r>
        <w:t xml:space="preserve"> </w:t>
      </w:r>
      <w:r>
        <w:rPr>
          <w:i/>
          <w:iCs/>
        </w:rPr>
        <w:t xml:space="preserve">PloS One</w:t>
      </w:r>
      <w:r>
        <w:t xml:space="preserve">,</w:t>
      </w:r>
      <w:r>
        <w:t xml:space="preserve"> </w:t>
      </w:r>
      <w:r>
        <w:rPr>
          <w:i/>
          <w:iCs/>
        </w:rPr>
        <w:t xml:space="preserve">14</w:t>
      </w:r>
      <w:r>
        <w:t xml:space="preserve">(3), e0213651.</w:t>
      </w:r>
      <w:r>
        <w:t xml:space="preserve"> </w:t>
      </w:r>
      <w:hyperlink r:id="rId93">
        <w:r>
          <w:rPr>
            <w:rStyle w:val="Hyperlink"/>
          </w:rPr>
          <w:t xml:space="preserve">https://doi.org/10.1371/journal.pone.0213651</w:t>
        </w:r>
      </w:hyperlink>
    </w:p>
    <w:bookmarkEnd w:id="94"/>
    <w:bookmarkStart w:id="95" w:name="ref-Luke2015"/>
    <w:p>
      <w:pPr>
        <w:pStyle w:val="Bibliography"/>
      </w:pPr>
      <w:r>
        <w:t xml:space="preserve">Luke, D. (2015).</w:t>
      </w:r>
      <w:r>
        <w:t xml:space="preserve"> </w:t>
      </w:r>
      <w:r>
        <w:rPr>
          <w:i/>
          <w:iCs/>
        </w:rPr>
        <w:t xml:space="preserve">A User’s Guide to Network Analysis in R</w:t>
      </w:r>
      <w:r>
        <w:t xml:space="preserve">. Springer.</w:t>
      </w:r>
    </w:p>
    <w:bookmarkEnd w:id="95"/>
    <w:bookmarkStart w:id="96" w:name="ref-Lusher2013"/>
    <w:p>
      <w:pPr>
        <w:pStyle w:val="Bibliography"/>
      </w:pPr>
      <w:r>
        <w:t xml:space="preserve">Lusher, D., Koskinen, J., &amp; Robins, G. (2013).</w:t>
      </w:r>
      <w:r>
        <w:t xml:space="preserve"> </w:t>
      </w:r>
      <w:r>
        <w:rPr>
          <w:i/>
          <w:iCs/>
        </w:rPr>
        <w:t xml:space="preserve">Exponential Random Graph Models for Social Network: Theory, Methods, and Applications</w:t>
      </w:r>
      <w:r>
        <w:t xml:space="preserve">. Cambridge University Press.</w:t>
      </w:r>
    </w:p>
    <w:bookmarkEnd w:id="96"/>
    <w:bookmarkStart w:id="98" w:name="ref-Marchionni2019"/>
    <w:p>
      <w:pPr>
        <w:pStyle w:val="Bibliography"/>
      </w:pPr>
      <w:r>
        <w:t xml:space="preserve">Marchionni, M., &amp; Vazquez, E. (2019). The causal effect of an extra year of schooling on skills and knowledge in latin america. Evidence from PISA.</w:t>
      </w:r>
      <w:r>
        <w:t xml:space="preserve"> </w:t>
      </w:r>
      <w:r>
        <w:rPr>
          <w:i/>
          <w:iCs/>
        </w:rPr>
        <w:t xml:space="preserve">Assessment in Education: Principles, Policy &amp; Practice</w:t>
      </w:r>
      <w:r>
        <w:t xml:space="preserve">,</w:t>
      </w:r>
      <w:r>
        <w:t xml:space="preserve"> </w:t>
      </w:r>
      <w:r>
        <w:rPr>
          <w:i/>
          <w:iCs/>
        </w:rPr>
        <w:t xml:space="preserve">26</w:t>
      </w:r>
      <w:r>
        <w:t xml:space="preserve">(4), 489–515.</w:t>
      </w:r>
      <w:r>
        <w:t xml:space="preserve"> </w:t>
      </w:r>
      <w:hyperlink r:id="rId97">
        <w:r>
          <w:rPr>
            <w:rStyle w:val="Hyperlink"/>
          </w:rPr>
          <w:t xml:space="preserve">https://doi.org/10.1080/0969594X.2018.1454401</w:t>
        </w:r>
      </w:hyperlink>
    </w:p>
    <w:bookmarkEnd w:id="98"/>
    <w:bookmarkStart w:id="100" w:name="ref-Martinez2015"/>
    <w:p>
      <w:pPr>
        <w:pStyle w:val="Bibliography"/>
      </w:pPr>
      <w:r>
        <w:t xml:space="preserve">Martínez-Fernández, J. R., &amp; Vermunt, J. D. (2015).</w:t>
      </w:r>
      <w:r>
        <w:t xml:space="preserve"> </w:t>
      </w:r>
      <w:r>
        <w:t xml:space="preserve">A cross-cultural analysis of the patterns of learning and academic performance of Spanish and Latin-American undergraduates</w:t>
      </w:r>
      <w:r>
        <w:t xml:space="preserve">.</w:t>
      </w:r>
      <w:r>
        <w:t xml:space="preserve"> </w:t>
      </w:r>
      <w:r>
        <w:rPr>
          <w:i/>
          <w:iCs/>
        </w:rPr>
        <w:t xml:space="preserve">Studies in Higher Education</w:t>
      </w:r>
      <w:r>
        <w:t xml:space="preserve">,</w:t>
      </w:r>
      <w:r>
        <w:t xml:space="preserve"> </w:t>
      </w:r>
      <w:r>
        <w:rPr>
          <w:i/>
          <w:iCs/>
        </w:rPr>
        <w:t xml:space="preserve">40</w:t>
      </w:r>
      <w:r>
        <w:t xml:space="preserve">(2), 278–295.</w:t>
      </w:r>
      <w:r>
        <w:t xml:space="preserve"> </w:t>
      </w:r>
      <w:hyperlink r:id="rId99">
        <w:r>
          <w:rPr>
            <w:rStyle w:val="Hyperlink"/>
          </w:rPr>
          <w:t xml:space="preserve">https://doi.org/10.1080/03075079.2013.823934</w:t>
        </w:r>
      </w:hyperlink>
    </w:p>
    <w:bookmarkEnd w:id="100"/>
    <w:bookmarkStart w:id="102" w:name="ref-Medina2019"/>
    <w:p>
      <w:pPr>
        <w:pStyle w:val="Bibliography"/>
      </w:pPr>
      <w:r>
        <w:t xml:space="preserve">Medina Labrador, M., Garcia Vargas, G. R., Alvarado, J., &amp; Caicedo, M. (2019). Survival and risk analysis in MOOCS.</w:t>
      </w:r>
      <w:r>
        <w:t xml:space="preserve"> </w:t>
      </w:r>
      <w:r>
        <w:rPr>
          <w:i/>
          <w:iCs/>
        </w:rPr>
        <w:t xml:space="preserve">Turkish Online Journal of Distance Education</w:t>
      </w:r>
      <w:r>
        <w:t xml:space="preserve">,</w:t>
      </w:r>
      <w:r>
        <w:t xml:space="preserve"> </w:t>
      </w:r>
      <w:r>
        <w:rPr>
          <w:i/>
          <w:iCs/>
        </w:rPr>
        <w:t xml:space="preserve">20</w:t>
      </w:r>
      <w:r>
        <w:t xml:space="preserve">(4), 149–159.</w:t>
      </w:r>
      <w:r>
        <w:t xml:space="preserve"> </w:t>
      </w:r>
      <w:hyperlink r:id="rId101">
        <w:r>
          <w:rPr>
            <w:rStyle w:val="Hyperlink"/>
          </w:rPr>
          <w:t xml:space="preserve">https://doi.org/10.17718/tojde.640561</w:t>
        </w:r>
      </w:hyperlink>
    </w:p>
    <w:bookmarkEnd w:id="102"/>
    <w:bookmarkStart w:id="104" w:name="ref-Mendoza2020"/>
    <w:p>
      <w:pPr>
        <w:pStyle w:val="Bibliography"/>
      </w:pPr>
      <w:r>
        <w:t xml:space="preserve">Mendoza, P. (2020).</w:t>
      </w:r>
      <w:r>
        <w:t xml:space="preserve"> </w:t>
      </w:r>
      <w:r>
        <w:t xml:space="preserve">Autonomy and weak governments: challenges to university quality in Latin America</w:t>
      </w:r>
      <w:r>
        <w:t xml:space="preserve">.</w:t>
      </w:r>
      <w:r>
        <w:t xml:space="preserve"> </w:t>
      </w:r>
      <w:r>
        <w:rPr>
          <w:i/>
          <w:iCs/>
        </w:rPr>
        <w:t xml:space="preserve">Higher Education</w:t>
      </w:r>
      <w:r>
        <w:t xml:space="preserve">,</w:t>
      </w:r>
      <w:r>
        <w:t xml:space="preserve"> </w:t>
      </w:r>
      <w:r>
        <w:rPr>
          <w:i/>
          <w:iCs/>
        </w:rPr>
        <w:t xml:space="preserve">80</w:t>
      </w:r>
      <w:r>
        <w:t xml:space="preserve">(4), 719–737.</w:t>
      </w:r>
      <w:r>
        <w:t xml:space="preserve"> </w:t>
      </w:r>
      <w:hyperlink r:id="rId103">
        <w:r>
          <w:rPr>
            <w:rStyle w:val="Hyperlink"/>
          </w:rPr>
          <w:t xml:space="preserve">https://doi.org/10.1007/s10734-020-00511-8</w:t>
        </w:r>
      </w:hyperlink>
    </w:p>
    <w:bookmarkEnd w:id="104"/>
    <w:bookmarkStart w:id="106" w:name="ref-Milian2018"/>
    <w:p>
      <w:pPr>
        <w:pStyle w:val="Bibliography"/>
      </w:pPr>
      <w:r>
        <w:t xml:space="preserve">Milian, R. P., &amp; Rizk, J. (2018). Marketing</w:t>
      </w:r>
      <w:r>
        <w:t xml:space="preserve"> </w:t>
      </w:r>
      <w:r>
        <w:t xml:space="preserve">Catholic</w:t>
      </w:r>
      <w:r>
        <w:t xml:space="preserve"> </w:t>
      </w:r>
      <w:r>
        <w:t xml:space="preserve">higher education: Holistic self-actualization, personalized learning, and wholesome goodness.</w:t>
      </w:r>
      <w:r>
        <w:t xml:space="preserve"> </w:t>
      </w:r>
      <w:r>
        <w:rPr>
          <w:i/>
          <w:iCs/>
        </w:rPr>
        <w:t xml:space="preserve">Higher Education</w:t>
      </w:r>
      <w:r>
        <w:t xml:space="preserve">,</w:t>
      </w:r>
      <w:r>
        <w:t xml:space="preserve"> </w:t>
      </w:r>
      <w:r>
        <w:rPr>
          <w:i/>
          <w:iCs/>
        </w:rPr>
        <w:t xml:space="preserve">76</w:t>
      </w:r>
      <w:r>
        <w:t xml:space="preserve">(1), 51–66.</w:t>
      </w:r>
      <w:r>
        <w:t xml:space="preserve"> </w:t>
      </w:r>
      <w:hyperlink r:id="rId105">
        <w:r>
          <w:rPr>
            <w:rStyle w:val="Hyperlink"/>
          </w:rPr>
          <w:t xml:space="preserve">https://doi.org/10.1007/s10734-017-0193-2</w:t>
        </w:r>
      </w:hyperlink>
    </w:p>
    <w:bookmarkEnd w:id="106"/>
    <w:bookmarkStart w:id="108" w:name="ref-ONET2022"/>
    <w:p>
      <w:pPr>
        <w:pStyle w:val="Bibliography"/>
      </w:pPr>
      <w:r>
        <w:t xml:space="preserve">National Center for O*NET Development. (2022).</w:t>
      </w:r>
      <w:r>
        <w:t xml:space="preserve"> </w:t>
      </w:r>
      <w:r>
        <w:rPr>
          <w:i/>
          <w:iCs/>
        </w:rPr>
        <w:t xml:space="preserve">O*NET data collection and analysis</w:t>
      </w:r>
      <w:r>
        <w:t xml:space="preserve">.</w:t>
      </w:r>
      <w:r>
        <w:t xml:space="preserve"> </w:t>
      </w:r>
      <w:hyperlink r:id="rId107">
        <w:r>
          <w:rPr>
            <w:rStyle w:val="Hyperlink"/>
          </w:rPr>
          <w:t xml:space="preserve">https://www.onetcenter.org/dataCollection.html</w:t>
        </w:r>
      </w:hyperlink>
    </w:p>
    <w:bookmarkEnd w:id="108"/>
    <w:bookmarkStart w:id="110" w:name="ref-Opsahl2013"/>
    <w:p>
      <w:pPr>
        <w:pStyle w:val="Bibliography"/>
      </w:pPr>
      <w:r>
        <w:t xml:space="preserve">Opsahl, T. (2013). Triadic closure in two-mode networks: Redefining the global and local clustering coefficients.</w:t>
      </w:r>
      <w:r>
        <w:t xml:space="preserve"> </w:t>
      </w:r>
      <w:r>
        <w:rPr>
          <w:i/>
          <w:iCs/>
        </w:rPr>
        <w:t xml:space="preserve">Social Networks</w:t>
      </w:r>
      <w:r>
        <w:t xml:space="preserve">,</w:t>
      </w:r>
      <w:r>
        <w:t xml:space="preserve"> </w:t>
      </w:r>
      <w:r>
        <w:rPr>
          <w:i/>
          <w:iCs/>
        </w:rPr>
        <w:t xml:space="preserve">35</w:t>
      </w:r>
      <w:r>
        <w:t xml:space="preserve">(2), 159–167.</w:t>
      </w:r>
      <w:r>
        <w:t xml:space="preserve"> </w:t>
      </w:r>
      <w:hyperlink r:id="rId109">
        <w:r>
          <w:rPr>
            <w:rStyle w:val="Hyperlink"/>
          </w:rPr>
          <w:t xml:space="preserve">https://doi.org/10.1016/j.socnet.2011.07.001</w:t>
        </w:r>
      </w:hyperlink>
    </w:p>
    <w:bookmarkEnd w:id="110"/>
    <w:bookmarkStart w:id="111" w:name="ref-Panagakou2018"/>
    <w:p>
      <w:pPr>
        <w:pStyle w:val="Bibliography"/>
      </w:pPr>
      <w:r>
        <w:t xml:space="preserve">Panagakou, E., Giannini, M., Lazer, A., D. andVespignani, &amp; Coronges, K. (2018).</w:t>
      </w:r>
      <w:r>
        <w:t xml:space="preserve"> </w:t>
      </w:r>
      <w:r>
        <w:t xml:space="preserve">Evaluation of the First US PhD Program in Network Science: Developing Twenty- First-Century Thinkers to Meet the Challenges of a Globalized Society</w:t>
      </w:r>
      <w:r>
        <w:t xml:space="preserve">. In C. B. Cramer, M. A. Porter, H. Sayama, &amp; S. M. Sheetz L. andUzzo (Eds.),</w:t>
      </w:r>
      <w:r>
        <w:t xml:space="preserve"> </w:t>
      </w:r>
      <w:r>
        <w:rPr>
          <w:i/>
          <w:iCs/>
        </w:rPr>
        <w:t xml:space="preserve">Network Science in Education: Transformational Approaches in Teaching and Learning</w:t>
      </w:r>
      <w:r>
        <w:t xml:space="preserve"> </w:t>
      </w:r>
      <w:r>
        <w:t xml:space="preserve">(pp. 71–85). Springer.</w:t>
      </w:r>
    </w:p>
    <w:bookmarkEnd w:id="111"/>
    <w:bookmarkStart w:id="112" w:name="ref-Peterson2001"/>
    <w:p>
      <w:pPr>
        <w:pStyle w:val="Bibliography"/>
      </w:pPr>
      <w:r>
        <w:t xml:space="preserve">Peterson, N. G., Mumford, M. D., Borman, W. C., Jeanneret, P. R., Fleishman, E. A., Levin, K. Y., Campion, M. A., Mayfield, M. S., Morgeson, F. P., Pearlman, K., et al. (2001).</w:t>
      </w:r>
      <w:r>
        <w:t xml:space="preserve"> </w:t>
      </w:r>
      <w:r>
        <w:t xml:space="preserve">Understanding work using the Occupational Information Network (O* NET): Implications for practice and research</w:t>
      </w:r>
      <w:r>
        <w:t xml:space="preserve">.</w:t>
      </w:r>
      <w:r>
        <w:t xml:space="preserve"> </w:t>
      </w:r>
      <w:r>
        <w:rPr>
          <w:i/>
          <w:iCs/>
        </w:rPr>
        <w:t xml:space="preserve">Personnel Psychology</w:t>
      </w:r>
      <w:r>
        <w:t xml:space="preserve">,</w:t>
      </w:r>
      <w:r>
        <w:t xml:space="preserve"> </w:t>
      </w:r>
      <w:r>
        <w:rPr>
          <w:i/>
          <w:iCs/>
        </w:rPr>
        <w:t xml:space="preserve">54</w:t>
      </w:r>
      <w:r>
        <w:t xml:space="preserve">(2), 451–492.</w:t>
      </w:r>
    </w:p>
    <w:bookmarkEnd w:id="112"/>
    <w:bookmarkStart w:id="114" w:name="ref-pizarro2017"/>
    <w:p>
      <w:pPr>
        <w:pStyle w:val="Bibliography"/>
      </w:pPr>
      <w:r>
        <w:t xml:space="preserve">Pizarro Milian, R. (2017).</w:t>
      </w:r>
      <w:r>
        <w:t xml:space="preserve"> </w:t>
      </w:r>
      <w:r>
        <w:t xml:space="preserve">What’s for sale at Canadian universities? A mixed-methods analysis of promotional strategies</w:t>
      </w:r>
      <w:r>
        <w:t xml:space="preserve">.</w:t>
      </w:r>
      <w:r>
        <w:t xml:space="preserve"> </w:t>
      </w:r>
      <w:r>
        <w:rPr>
          <w:i/>
          <w:iCs/>
        </w:rPr>
        <w:t xml:space="preserve">Higher Education Quarterly</w:t>
      </w:r>
      <w:r>
        <w:t xml:space="preserve">,</w:t>
      </w:r>
      <w:r>
        <w:t xml:space="preserve"> </w:t>
      </w:r>
      <w:r>
        <w:rPr>
          <w:i/>
          <w:iCs/>
        </w:rPr>
        <w:t xml:space="preserve">71</w:t>
      </w:r>
      <w:r>
        <w:t xml:space="preserve">(1), 53–74.</w:t>
      </w:r>
      <w:r>
        <w:t xml:space="preserve"> </w:t>
      </w:r>
      <w:hyperlink r:id="rId113">
        <w:r>
          <w:rPr>
            <w:rStyle w:val="Hyperlink"/>
          </w:rPr>
          <w:t xml:space="preserve">https://doi.org/10.1111/hequ.12108</w:t>
        </w:r>
      </w:hyperlink>
    </w:p>
    <w:bookmarkEnd w:id="114"/>
    <w:bookmarkStart w:id="115" w:name="ref-Porter2018"/>
    <w:p>
      <w:pPr>
        <w:pStyle w:val="Bibliography"/>
      </w:pPr>
      <w:r>
        <w:t xml:space="preserve">Porter, M. A. (2018).</w:t>
      </w:r>
      <w:r>
        <w:t xml:space="preserve"> </w:t>
      </w:r>
      <w:r>
        <w:t xml:space="preserve">An Undergraduate Mathematics Course on Networks</w:t>
      </w:r>
      <w:r>
        <w:t xml:space="preserve">. In C. B. Cramer, M. A. Porter, H. Sayama, &amp; S. M. Sheetz L. andUzzo (Eds.),</w:t>
      </w:r>
      <w:r>
        <w:t xml:space="preserve"> </w:t>
      </w:r>
      <w:r>
        <w:rPr>
          <w:i/>
          <w:iCs/>
        </w:rPr>
        <w:t xml:space="preserve">Network Science in Education: Transformational Approaches in Teaching and Learning</w:t>
      </w:r>
      <w:r>
        <w:t xml:space="preserve"> </w:t>
      </w:r>
      <w:r>
        <w:t xml:space="preserve">(pp. 3–44). Springer.</w:t>
      </w:r>
    </w:p>
    <w:bookmarkEnd w:id="115"/>
    <w:bookmarkStart w:id="116" w:name="ref-Sayama2018"/>
    <w:p>
      <w:pPr>
        <w:pStyle w:val="Bibliography"/>
      </w:pPr>
      <w:r>
        <w:t xml:space="preserve">Sayama, H. (2018). Mapping the curricular structure and contents of network science courses. In C. B. Cramer, M. A. Porter, H. Sayama, &amp; S. M. Sheetz L. andUzzo (Eds.),</w:t>
      </w:r>
      <w:r>
        <w:t xml:space="preserve"> </w:t>
      </w:r>
      <w:r>
        <w:rPr>
          <w:i/>
          <w:iCs/>
        </w:rPr>
        <w:t xml:space="preserve">Network Science in Education: Transformational Approaches in Teaching and Learning</w:t>
      </w:r>
      <w:r>
        <w:t xml:space="preserve"> </w:t>
      </w:r>
      <w:r>
        <w:t xml:space="preserve">(pp. 101–116). Springer.</w:t>
      </w:r>
    </w:p>
    <w:bookmarkEnd w:id="116"/>
    <w:bookmarkStart w:id="117" w:name="ref-Scheerens2020"/>
    <w:p>
      <w:pPr>
        <w:pStyle w:val="Bibliography"/>
      </w:pPr>
      <w:r>
        <w:t xml:space="preserve">Scheerens, J., Werf, G. van der, &amp; Boer, H. de. (2020).</w:t>
      </w:r>
      <w:r>
        <w:t xml:space="preserve"> </w:t>
      </w:r>
      <w:r>
        <w:rPr>
          <w:i/>
          <w:iCs/>
        </w:rPr>
        <w:t xml:space="preserve">Soft skills in education: Putting the evidence in perspective</w:t>
      </w:r>
      <w:r>
        <w:t xml:space="preserve">. Springer.</w:t>
      </w:r>
    </w:p>
    <w:bookmarkEnd w:id="117"/>
    <w:bookmarkStart w:id="119" w:name="ref-Torres2002"/>
    <w:p>
      <w:pPr>
        <w:pStyle w:val="Bibliography"/>
      </w:pPr>
      <w:r>
        <w:t xml:space="preserve">Torres, C. A. (2002).</w:t>
      </w:r>
      <w:r>
        <w:t xml:space="preserve"> </w:t>
      </w:r>
      <w:r>
        <w:t xml:space="preserve">The political economy of higher education in the era of neoliberal globalization: Latin America in comparative perspective</w:t>
      </w:r>
      <w:r>
        <w:t xml:space="preserve">.</w:t>
      </w:r>
      <w:r>
        <w:t xml:space="preserve"> </w:t>
      </w:r>
      <w:r>
        <w:rPr>
          <w:i/>
          <w:iCs/>
        </w:rPr>
        <w:t xml:space="preserve">Higher Education</w:t>
      </w:r>
      <w:r>
        <w:t xml:space="preserve">,</w:t>
      </w:r>
      <w:r>
        <w:t xml:space="preserve"> </w:t>
      </w:r>
      <w:r>
        <w:rPr>
          <w:i/>
          <w:iCs/>
        </w:rPr>
        <w:t xml:space="preserve">43</w:t>
      </w:r>
      <w:r>
        <w:t xml:space="preserve">, 429–455.</w:t>
      </w:r>
      <w:r>
        <w:t xml:space="preserve"> </w:t>
      </w:r>
      <w:hyperlink r:id="rId118">
        <w:r>
          <w:rPr>
            <w:rStyle w:val="Hyperlink"/>
          </w:rPr>
          <w:t xml:space="preserve">https://doi.org/10.1023/A:1015292413037</w:t>
        </w:r>
      </w:hyperlink>
    </w:p>
    <w:bookmarkEnd w:id="119"/>
    <w:bookmarkStart w:id="121" w:name="ref-Udartseva2024106"/>
    <w:p>
      <w:pPr>
        <w:pStyle w:val="Bibliography"/>
      </w:pPr>
      <w:r>
        <w:t xml:space="preserve">Udartseva, O. M. (2024). Webometric assessment of foreign information systems of current research.</w:t>
      </w:r>
      <w:r>
        <w:t xml:space="preserve"> </w:t>
      </w:r>
      <w:r>
        <w:rPr>
          <w:i/>
          <w:iCs/>
        </w:rPr>
        <w:t xml:space="preserve">Scientific and Technical Information Processing</w:t>
      </w:r>
      <w:r>
        <w:t xml:space="preserve">,</w:t>
      </w:r>
      <w:r>
        <w:t xml:space="preserve"> </w:t>
      </w:r>
      <w:r>
        <w:rPr>
          <w:i/>
          <w:iCs/>
        </w:rPr>
        <w:t xml:space="preserve">51</w:t>
      </w:r>
      <w:r>
        <w:t xml:space="preserve">(2), 106–114.</w:t>
      </w:r>
      <w:r>
        <w:t xml:space="preserve"> </w:t>
      </w:r>
      <w:hyperlink r:id="rId120">
        <w:r>
          <w:rPr>
            <w:rStyle w:val="Hyperlink"/>
          </w:rPr>
          <w:t xml:space="preserve">https://doi.org/10.3103/S0147688224700023</w:t>
        </w:r>
      </w:hyperlink>
    </w:p>
    <w:bookmarkEnd w:id="121"/>
    <w:bookmarkStart w:id="123" w:name="ref-Vista2020"/>
    <w:p>
      <w:pPr>
        <w:pStyle w:val="Bibliography"/>
      </w:pPr>
      <w:r>
        <w:t xml:space="preserve">Vista, A. (2020).</w:t>
      </w:r>
      <w:r>
        <w:t xml:space="preserve"> </w:t>
      </w:r>
      <w:r>
        <w:t xml:space="preserve">Data-Driven Identification of Skills for the Future: 21st-Century Skills for the 21st-Century Workforce</w:t>
      </w:r>
      <w:r>
        <w:t xml:space="preserve">.</w:t>
      </w:r>
      <w:r>
        <w:t xml:space="preserve"> </w:t>
      </w:r>
      <w:r>
        <w:rPr>
          <w:i/>
          <w:iCs/>
        </w:rPr>
        <w:t xml:space="preserve">Sage Open</w:t>
      </w:r>
      <w:r>
        <w:t xml:space="preserve">,</w:t>
      </w:r>
      <w:r>
        <w:t xml:space="preserve"> </w:t>
      </w:r>
      <w:r>
        <w:rPr>
          <w:i/>
          <w:iCs/>
        </w:rPr>
        <w:t xml:space="preserve">10</w:t>
      </w:r>
      <w:r>
        <w:t xml:space="preserve">(2), 2158244020915904.</w:t>
      </w:r>
      <w:r>
        <w:t xml:space="preserve"> </w:t>
      </w:r>
      <w:hyperlink r:id="rId122">
        <w:r>
          <w:rPr>
            <w:rStyle w:val="Hyperlink"/>
          </w:rPr>
          <w:t xml:space="preserve">https://doi.org/10.1177/2158244020915904</w:t>
        </w:r>
      </w:hyperlink>
    </w:p>
    <w:bookmarkEnd w:id="123"/>
    <w:bookmarkStart w:id="125" w:name="ref-Wang2013"/>
    <w:p>
      <w:pPr>
        <w:pStyle w:val="Bibliography"/>
      </w:pPr>
      <w:r>
        <w:t xml:space="preserve">Wang, P., Pattison, P., &amp; Robins, G. (2013). Exponential random graph model specifications for bipartite networks—a dependence hierarchy.</w:t>
      </w:r>
      <w:r>
        <w:t xml:space="preserve"> </w:t>
      </w:r>
      <w:r>
        <w:rPr>
          <w:i/>
          <w:iCs/>
        </w:rPr>
        <w:t xml:space="preserve">Social Networks</w:t>
      </w:r>
      <w:r>
        <w:t xml:space="preserve">,</w:t>
      </w:r>
      <w:r>
        <w:t xml:space="preserve"> </w:t>
      </w:r>
      <w:r>
        <w:rPr>
          <w:i/>
          <w:iCs/>
        </w:rPr>
        <w:t xml:space="preserve">35</w:t>
      </w:r>
      <w:r>
        <w:t xml:space="preserve">(2), 211–222.</w:t>
      </w:r>
      <w:r>
        <w:t xml:space="preserve"> </w:t>
      </w:r>
      <w:hyperlink r:id="rId124">
        <w:r>
          <w:rPr>
            <w:rStyle w:val="Hyperlink"/>
          </w:rPr>
          <w:t xml:space="preserve">https://doi.org/10.1016/j.socnet.2011.12.004</w:t>
        </w:r>
      </w:hyperlink>
    </w:p>
    <w:bookmarkEnd w:id="125"/>
    <w:bookmarkStart w:id="127" w:name="ref-Wang2009"/>
    <w:p>
      <w:pPr>
        <w:pStyle w:val="Bibliography"/>
      </w:pPr>
      <w:r>
        <w:t xml:space="preserve">Wang, P., Sharpe, K., Robins, G. L., &amp; Pattison, P. E. (2009). Exponential random graph (p*) models for affiliation networks.</w:t>
      </w:r>
      <w:r>
        <w:t xml:space="preserve"> </w:t>
      </w:r>
      <w:r>
        <w:rPr>
          <w:i/>
          <w:iCs/>
        </w:rPr>
        <w:t xml:space="preserve">Social Networks</w:t>
      </w:r>
      <w:r>
        <w:t xml:space="preserve">,</w:t>
      </w:r>
      <w:r>
        <w:t xml:space="preserve"> </w:t>
      </w:r>
      <w:r>
        <w:rPr>
          <w:i/>
          <w:iCs/>
        </w:rPr>
        <w:t xml:space="preserve">31</w:t>
      </w:r>
      <w:r>
        <w:t xml:space="preserve">(1), 12–25.</w:t>
      </w:r>
      <w:r>
        <w:t xml:space="preserve"> </w:t>
      </w:r>
      <w:hyperlink r:id="rId126">
        <w:r>
          <w:rPr>
            <w:rStyle w:val="Hyperlink"/>
          </w:rPr>
          <w:t xml:space="preserve">https://doi.org/10.1016/j.socnet.2008.08.002</w:t>
        </w:r>
      </w:hyperlink>
    </w:p>
    <w:bookmarkEnd w:id="127"/>
    <w:bookmarkStart w:id="128" w:name="ref-Yin2009"/>
    <w:p>
      <w:pPr>
        <w:pStyle w:val="Bibliography"/>
      </w:pPr>
      <w:r>
        <w:t xml:space="preserve">Yin, R. K. (2018).</w:t>
      </w:r>
      <w:r>
        <w:t xml:space="preserve"> </w:t>
      </w:r>
      <w:r>
        <w:rPr>
          <w:i/>
          <w:iCs/>
        </w:rPr>
        <w:t xml:space="preserve">Case Study Research and Applications: Designs and Methods</w:t>
      </w:r>
      <w:r>
        <w:rPr>
          <w:i/>
          <w:iCs/>
        </w:rPr>
        <w:t xml:space="preserve">: Vols. 6 ed</w:t>
      </w:r>
      <w:r>
        <w:t xml:space="preserve">. Sage.</w:t>
      </w:r>
    </w:p>
    <w:bookmarkEnd w:id="128"/>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42" Target="https://doi.org/10.1007/978-94-015-9946-7_14" TargetMode="External" /><Relationship Type="http://schemas.openxmlformats.org/officeDocument/2006/relationships/hyperlink" Id="rId105" Target="https://doi.org/10.1007/s10734-017-0193-2" TargetMode="External" /><Relationship Type="http://schemas.openxmlformats.org/officeDocument/2006/relationships/hyperlink" Id="rId103" Target="https://doi.org/10.1007/s10734-020-00511-8" TargetMode="External" /><Relationship Type="http://schemas.openxmlformats.org/officeDocument/2006/relationships/hyperlink" Id="rId58" Target="https://doi.org/10.1007/s41109-025-00696-w" TargetMode="External" /><Relationship Type="http://schemas.openxmlformats.org/officeDocument/2006/relationships/hyperlink" Id="rId126" Target="https://doi.org/10.1016/j.socnet.2008.08.002" TargetMode="External" /><Relationship Type="http://schemas.openxmlformats.org/officeDocument/2006/relationships/hyperlink" Id="rId109" Target="https://doi.org/10.1016/j.socnet.2011.07.001" TargetMode="External" /><Relationship Type="http://schemas.openxmlformats.org/officeDocument/2006/relationships/hyperlink" Id="rId124" Target="https://doi.org/10.1016/j.socnet.2011.12.004" TargetMode="External" /><Relationship Type="http://schemas.openxmlformats.org/officeDocument/2006/relationships/hyperlink" Id="rId89" Target="https://doi.org/10.1016/j.socnet.2021.11.002" TargetMode="External" /><Relationship Type="http://schemas.openxmlformats.org/officeDocument/2006/relationships/hyperlink" Id="rId60" Target="https://doi.org/10.1016/j.stueduc.2021.101031" TargetMode="External" /><Relationship Type="http://schemas.openxmlformats.org/officeDocument/2006/relationships/hyperlink" Id="rId118" Target="https://doi.org/10.1023/A:1015292413037" TargetMode="External" /><Relationship Type="http://schemas.openxmlformats.org/officeDocument/2006/relationships/hyperlink" Id="rId66" Target="https://doi.org/10.1038/d41586-023-03507-3" TargetMode="External" /><Relationship Type="http://schemas.openxmlformats.org/officeDocument/2006/relationships/hyperlink" Id="rId86" Target="https://doi.org/10.1038/s41597-024-03931-8" TargetMode="External" /><Relationship Type="http://schemas.openxmlformats.org/officeDocument/2006/relationships/hyperlink" Id="rId44" Target="https://doi.org/10.1038/s41598-024-61448-x" TargetMode="External" /><Relationship Type="http://schemas.openxmlformats.org/officeDocument/2006/relationships/hyperlink" Id="rId83" Target="https://doi.org/10.1073/pnas.0900943106" TargetMode="External" /><Relationship Type="http://schemas.openxmlformats.org/officeDocument/2006/relationships/hyperlink" Id="rId49" Target="https://doi.org/10.1073/pnas.1804247115" TargetMode="External" /><Relationship Type="http://schemas.openxmlformats.org/officeDocument/2006/relationships/hyperlink" Id="rId91" Target="https://doi.org/10.1080/01621459.2023.2242627" TargetMode="External" /><Relationship Type="http://schemas.openxmlformats.org/officeDocument/2006/relationships/hyperlink" Id="rId99" Target="https://doi.org/10.1080/03075079.2013.823934" TargetMode="External" /><Relationship Type="http://schemas.openxmlformats.org/officeDocument/2006/relationships/hyperlink" Id="rId73" Target="https://doi.org/10.1080/03075079.2023.2254799" TargetMode="External" /><Relationship Type="http://schemas.openxmlformats.org/officeDocument/2006/relationships/hyperlink" Id="rId64" Target="https://doi.org/10.1080/03075079.2024.2316881" TargetMode="External" /><Relationship Type="http://schemas.openxmlformats.org/officeDocument/2006/relationships/hyperlink" Id="rId68" Target="https://doi.org/10.1080/03075079.2025.2515512" TargetMode="External" /><Relationship Type="http://schemas.openxmlformats.org/officeDocument/2006/relationships/hyperlink" Id="rId38" Target="https://doi.org/10.1080/03797720802254031" TargetMode="External" /><Relationship Type="http://schemas.openxmlformats.org/officeDocument/2006/relationships/hyperlink" Id="rId97" Target="https://doi.org/10.1080/0969594X.2018.1454401" TargetMode="External" /><Relationship Type="http://schemas.openxmlformats.org/officeDocument/2006/relationships/hyperlink" Id="rId51" Target="https://doi.org/10.1111/dsji.70003" TargetMode="External" /><Relationship Type="http://schemas.openxmlformats.org/officeDocument/2006/relationships/hyperlink" Id="rId113" Target="https://doi.org/10.1111/hequ.12108" TargetMode="External" /><Relationship Type="http://schemas.openxmlformats.org/officeDocument/2006/relationships/hyperlink" Id="rId40" Target="https://doi.org/10.1126/sciadv.aao6030" TargetMode="External" /><Relationship Type="http://schemas.openxmlformats.org/officeDocument/2006/relationships/hyperlink" Id="rId122" Target="https://doi.org/10.1177/2158244020915904" TargetMode="External" /><Relationship Type="http://schemas.openxmlformats.org/officeDocument/2006/relationships/hyperlink" Id="rId71" Target="https://doi.org/10.1371/journal.pone.0192427" TargetMode="External" /><Relationship Type="http://schemas.openxmlformats.org/officeDocument/2006/relationships/hyperlink" Id="rId93" Target="https://doi.org/10.1371/journal.pone.0213651" TargetMode="External" /><Relationship Type="http://schemas.openxmlformats.org/officeDocument/2006/relationships/hyperlink" Id="rId81" Target="https://doi.org/10.14426/cristal.v11iSI.624" TargetMode="External" /><Relationship Type="http://schemas.openxmlformats.org/officeDocument/2006/relationships/hyperlink" Id="rId101" Target="https://doi.org/10.17718/tojde.640561" TargetMode="External" /><Relationship Type="http://schemas.openxmlformats.org/officeDocument/2006/relationships/hyperlink" Id="rId53" Target="https://doi.org/10.18637/jss.v024.i02" TargetMode="External" /><Relationship Type="http://schemas.openxmlformats.org/officeDocument/2006/relationships/hyperlink" Id="rId46" Target="https://doi.org/10.21105/joss.00774" TargetMode="External" /><Relationship Type="http://schemas.openxmlformats.org/officeDocument/2006/relationships/hyperlink" Id="rId120" Target="https://doi.org/10.3103/S0147688224700023" TargetMode="External" /><Relationship Type="http://schemas.openxmlformats.org/officeDocument/2006/relationships/hyperlink" Id="rId62" Target="https://doi.org/10.3389/frma.2022.893593" TargetMode="External" /><Relationship Type="http://schemas.openxmlformats.org/officeDocument/2006/relationships/hyperlink" Id="rId76" Target="https://doi.org/10.3991/ijep.v15i2.51561" TargetMode="External" /><Relationship Type="http://schemas.openxmlformats.org/officeDocument/2006/relationships/hyperlink" Id="rId79" Target="https://doi.org/10.7238/rusc.v10i2.1744" TargetMode="External" /><Relationship Type="http://schemas.openxmlformats.org/officeDocument/2006/relationships/hyperlink" Id="rId107" Target="https://www.onetcenter.org/dataCollection.html" TargetMode="External" /><Relationship Type="http://schemas.openxmlformats.org/officeDocument/2006/relationships/hyperlink" Id="rId26" Target="https://www.onetcenter.org/dictionary/30.0/excel/skills.html" TargetMode="External" /><Relationship Type="http://schemas.openxmlformats.org/officeDocument/2006/relationships/hyperlink" Id="rId27" Target="https://www.onetonline.org/find/descriptor/browse/2.A" TargetMode="External" /></Relationships>
</file>

<file path=word/_rels/footnotes.xml.rels><?xml version="1.0" encoding="UTF-8"?><Relationships xmlns="http://schemas.openxmlformats.org/package/2006/relationships"><Relationship Type="http://schemas.openxmlformats.org/officeDocument/2006/relationships/hyperlink" Id="rId42" Target="https://doi.org/10.1007/978-94-015-9946-7_14" TargetMode="External" /><Relationship Type="http://schemas.openxmlformats.org/officeDocument/2006/relationships/hyperlink" Id="rId105" Target="https://doi.org/10.1007/s10734-017-0193-2" TargetMode="External" /><Relationship Type="http://schemas.openxmlformats.org/officeDocument/2006/relationships/hyperlink" Id="rId103" Target="https://doi.org/10.1007/s10734-020-00511-8" TargetMode="External" /><Relationship Type="http://schemas.openxmlformats.org/officeDocument/2006/relationships/hyperlink" Id="rId58" Target="https://doi.org/10.1007/s41109-025-00696-w" TargetMode="External" /><Relationship Type="http://schemas.openxmlformats.org/officeDocument/2006/relationships/hyperlink" Id="rId126" Target="https://doi.org/10.1016/j.socnet.2008.08.002" TargetMode="External" /><Relationship Type="http://schemas.openxmlformats.org/officeDocument/2006/relationships/hyperlink" Id="rId109" Target="https://doi.org/10.1016/j.socnet.2011.07.001" TargetMode="External" /><Relationship Type="http://schemas.openxmlformats.org/officeDocument/2006/relationships/hyperlink" Id="rId124" Target="https://doi.org/10.1016/j.socnet.2011.12.004" TargetMode="External" /><Relationship Type="http://schemas.openxmlformats.org/officeDocument/2006/relationships/hyperlink" Id="rId89" Target="https://doi.org/10.1016/j.socnet.2021.11.002" TargetMode="External" /><Relationship Type="http://schemas.openxmlformats.org/officeDocument/2006/relationships/hyperlink" Id="rId60" Target="https://doi.org/10.1016/j.stueduc.2021.101031" TargetMode="External" /><Relationship Type="http://schemas.openxmlformats.org/officeDocument/2006/relationships/hyperlink" Id="rId118" Target="https://doi.org/10.1023/A:1015292413037" TargetMode="External" /><Relationship Type="http://schemas.openxmlformats.org/officeDocument/2006/relationships/hyperlink" Id="rId66" Target="https://doi.org/10.1038/d41586-023-03507-3" TargetMode="External" /><Relationship Type="http://schemas.openxmlformats.org/officeDocument/2006/relationships/hyperlink" Id="rId86" Target="https://doi.org/10.1038/s41597-024-03931-8" TargetMode="External" /><Relationship Type="http://schemas.openxmlformats.org/officeDocument/2006/relationships/hyperlink" Id="rId44" Target="https://doi.org/10.1038/s41598-024-61448-x" TargetMode="External" /><Relationship Type="http://schemas.openxmlformats.org/officeDocument/2006/relationships/hyperlink" Id="rId83" Target="https://doi.org/10.1073/pnas.0900943106" TargetMode="External" /><Relationship Type="http://schemas.openxmlformats.org/officeDocument/2006/relationships/hyperlink" Id="rId49" Target="https://doi.org/10.1073/pnas.1804247115" TargetMode="External" /><Relationship Type="http://schemas.openxmlformats.org/officeDocument/2006/relationships/hyperlink" Id="rId91" Target="https://doi.org/10.1080/01621459.2023.2242627" TargetMode="External" /><Relationship Type="http://schemas.openxmlformats.org/officeDocument/2006/relationships/hyperlink" Id="rId99" Target="https://doi.org/10.1080/03075079.2013.823934" TargetMode="External" /><Relationship Type="http://schemas.openxmlformats.org/officeDocument/2006/relationships/hyperlink" Id="rId73" Target="https://doi.org/10.1080/03075079.2023.2254799" TargetMode="External" /><Relationship Type="http://schemas.openxmlformats.org/officeDocument/2006/relationships/hyperlink" Id="rId64" Target="https://doi.org/10.1080/03075079.2024.2316881" TargetMode="External" /><Relationship Type="http://schemas.openxmlformats.org/officeDocument/2006/relationships/hyperlink" Id="rId68" Target="https://doi.org/10.1080/03075079.2025.2515512" TargetMode="External" /><Relationship Type="http://schemas.openxmlformats.org/officeDocument/2006/relationships/hyperlink" Id="rId38" Target="https://doi.org/10.1080/03797720802254031" TargetMode="External" /><Relationship Type="http://schemas.openxmlformats.org/officeDocument/2006/relationships/hyperlink" Id="rId97" Target="https://doi.org/10.1080/0969594X.2018.1454401" TargetMode="External" /><Relationship Type="http://schemas.openxmlformats.org/officeDocument/2006/relationships/hyperlink" Id="rId51" Target="https://doi.org/10.1111/dsji.70003" TargetMode="External" /><Relationship Type="http://schemas.openxmlformats.org/officeDocument/2006/relationships/hyperlink" Id="rId113" Target="https://doi.org/10.1111/hequ.12108" TargetMode="External" /><Relationship Type="http://schemas.openxmlformats.org/officeDocument/2006/relationships/hyperlink" Id="rId40" Target="https://doi.org/10.1126/sciadv.aao6030" TargetMode="External" /><Relationship Type="http://schemas.openxmlformats.org/officeDocument/2006/relationships/hyperlink" Id="rId122" Target="https://doi.org/10.1177/2158244020915904" TargetMode="External" /><Relationship Type="http://schemas.openxmlformats.org/officeDocument/2006/relationships/hyperlink" Id="rId71" Target="https://doi.org/10.1371/journal.pone.0192427" TargetMode="External" /><Relationship Type="http://schemas.openxmlformats.org/officeDocument/2006/relationships/hyperlink" Id="rId93" Target="https://doi.org/10.1371/journal.pone.0213651" TargetMode="External" /><Relationship Type="http://schemas.openxmlformats.org/officeDocument/2006/relationships/hyperlink" Id="rId81" Target="https://doi.org/10.14426/cristal.v11iSI.624" TargetMode="External" /><Relationship Type="http://schemas.openxmlformats.org/officeDocument/2006/relationships/hyperlink" Id="rId101" Target="https://doi.org/10.17718/tojde.640561" TargetMode="External" /><Relationship Type="http://schemas.openxmlformats.org/officeDocument/2006/relationships/hyperlink" Id="rId53" Target="https://doi.org/10.18637/jss.v024.i02" TargetMode="External" /><Relationship Type="http://schemas.openxmlformats.org/officeDocument/2006/relationships/hyperlink" Id="rId46" Target="https://doi.org/10.21105/joss.00774" TargetMode="External" /><Relationship Type="http://schemas.openxmlformats.org/officeDocument/2006/relationships/hyperlink" Id="rId120" Target="https://doi.org/10.3103/S0147688224700023" TargetMode="External" /><Relationship Type="http://schemas.openxmlformats.org/officeDocument/2006/relationships/hyperlink" Id="rId62" Target="https://doi.org/10.3389/frma.2022.893593" TargetMode="External" /><Relationship Type="http://schemas.openxmlformats.org/officeDocument/2006/relationships/hyperlink" Id="rId76" Target="https://doi.org/10.3991/ijep.v15i2.51561" TargetMode="External" /><Relationship Type="http://schemas.openxmlformats.org/officeDocument/2006/relationships/hyperlink" Id="rId79" Target="https://doi.org/10.7238/rusc.v10i2.1744" TargetMode="External" /><Relationship Type="http://schemas.openxmlformats.org/officeDocument/2006/relationships/hyperlink" Id="rId107" Target="https://www.onetcenter.org/dataCollection.html" TargetMode="External" /><Relationship Type="http://schemas.openxmlformats.org/officeDocument/2006/relationships/hyperlink" Id="rId26" Target="https://www.onetcenter.org/dictionary/30.0/excel/skills.html" TargetMode="External" /><Relationship Type="http://schemas.openxmlformats.org/officeDocument/2006/relationships/hyperlink" Id="rId27" Target="https://www.onetonline.org/find/descriptor/browse/2.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Skills in Higher Education: A Cross-National Comparison Case Study</dc:title>
  <dc:creator/>
  <cp:keywords>Basic Skills, Academic Offering, Latin American, Bipartite Network Modeling</cp:keywords>
  <dcterms:created xsi:type="dcterms:W3CDTF">2025-12-14T18:37:05Z</dcterms:created>
  <dcterms:modified xsi:type="dcterms:W3CDTF">2025-12-14T18:37:05Z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case study compares the emphasis on ten basic skills as advertised in 3,155 university programs from 481 universities in nine Latin American countries. We model the emphasis on these basic skills as an undirected bipartite network where basic skills are regarded as means that facilitate learning and a rapid acquisition of knowledge. While descriptive analyses reveal that the academic offering is weakly connected to basic skills, inferential analyses based on exponential random graph estimates confirm that scientific reasoning is consistently the most central skill in Latin American graduate programs, while mathematics and writing are less important skills.</vt:lpwstr>
  </property>
  <property fmtid="{D5CDD505-2E9C-101B-9397-08002B2CF9AE}" pid="3" name="biblio-config">
    <vt:lpwstr>True</vt:lpwstr>
  </property>
  <property fmtid="{D5CDD505-2E9C-101B-9397-08002B2CF9AE}" pid="4" name="bibliography">
    <vt:lpwstr>refs.bib</vt:lpwstr>
  </property>
  <property fmtid="{D5CDD505-2E9C-101B-9397-08002B2CF9AE}" pid="5" name="csl">
    <vt:lpwstr>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utput_dir">
    <vt:lpwstr>/home/jcc/Documents/GitHub/BasicSkillsLatam/</vt:lpwstr>
  </property>
  <property fmtid="{D5CDD505-2E9C-101B-9397-08002B2CF9AE}" pid="11" name="toc-title">
    <vt:lpwstr>Table of contents</vt:lpwstr>
  </property>
</Properties>
</file>