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Especialización en Estrategia Gerencial y Prospectivas</w:t>
      </w:r>
    </w:p>
    <w:p>
      <w:pPr>
        <w:pStyle w:val="Normal"/>
        <w:bidi w:val="0"/>
        <w:jc w:val="left"/>
        <w:rPr/>
      </w:pPr>
      <w:r>
        <w:rPr>
          <w:rFonts w:eastAsia="Noto Serif CJK SC" w:cs="FreeSans"/>
          <w:color w:val="auto"/>
          <w:kern w:val="2"/>
          <w:sz w:val="24"/>
          <w:szCs w:val="24"/>
          <w:lang w:val="en-US" w:eastAsia="zh-CN" w:bidi="hi-IN"/>
        </w:rPr>
        <w:t>Universidad Pontificia Bolivariana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Esta especialización desarrolla una concepción integral de las organizaciones con sus entornos y cadenas productivas, de manera que al partir de un conocimiento profundo del entorno interno y externo de la organización, los gerentes puedan diseñar los futuros deseables y formular las estrategias que conducirán a las organizaciones en pos de ellos.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Dirigido a:</w:t>
      </w:r>
    </w:p>
    <w:p>
      <w:pPr>
        <w:pStyle w:val="Normal"/>
        <w:bidi w:val="0"/>
        <w:jc w:val="left"/>
        <w:rPr/>
      </w:pPr>
      <w:r>
        <w:rPr>
          <w:rFonts w:eastAsia="Noto Serif CJK SC" w:cs="FreeSans"/>
          <w:color w:val="auto"/>
          <w:kern w:val="2"/>
          <w:sz w:val="24"/>
          <w:szCs w:val="24"/>
          <w:lang w:val="en-US" w:eastAsia="zh-CN" w:bidi="hi-IN"/>
        </w:rPr>
        <w:t>Profesionales vinculados con los subsistemas estratégicos, de planeación, innovación o desarrollo de nuevos negocios. Empresarios que quieren proyectar sus organizaciones en horizontes de largo plazo y profesionales que deseen desarrollar un perfil estratégico y de planeación.</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Perfil del egresado:</w:t>
      </w:r>
    </w:p>
    <w:p>
      <w:pPr>
        <w:pStyle w:val="Normal"/>
        <w:bidi w:val="0"/>
        <w:jc w:val="left"/>
        <w:rPr/>
      </w:pPr>
      <w:r>
        <w:rPr>
          <w:rFonts w:eastAsia="Noto Serif CJK SC" w:cs="FreeSans"/>
          <w:color w:val="auto"/>
          <w:kern w:val="2"/>
          <w:sz w:val="24"/>
          <w:szCs w:val="24"/>
          <w:lang w:val="en-US" w:eastAsia="zh-CN" w:bidi="hi-IN"/>
        </w:rPr>
        <w:t>Un especialista en Estrategia Gerencial y Prospectiva de la Universidad Pontificia Bolivariana estará en capacidad de desempeñarse en la dirección de organizaciones de diferentes niveles de complejidad, con las competencias para dirigir la formulación e implementación de las estrategias en los ámbitos Corporativo, Internacional, Competitivo y Funcional.</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Estándares de formación</w:t>
      </w:r>
    </w:p>
    <w:p>
      <w:pPr>
        <w:pStyle w:val="Normal"/>
        <w:bidi w:val="0"/>
        <w:jc w:val="left"/>
        <w:rPr/>
      </w:pPr>
      <w:r>
        <w:rPr>
          <w:rFonts w:eastAsia="Noto Serif CJK SC" w:cs="FreeSans"/>
          <w:color w:val="auto"/>
          <w:kern w:val="2"/>
          <w:sz w:val="24"/>
          <w:szCs w:val="24"/>
          <w:lang w:val="en-US" w:eastAsia="zh-CN" w:bidi="hi-IN"/>
        </w:rPr>
        <w:t>El estudiante comprenderá y diferenciará la estrategia de los procesos de Planeación de manera que articulará los elementos normativos y descriptivos en la concepción y formulación de la estrategia en sus diferentes niveles. La comprensión de las organizaciones como sistemas complejos permite vincular los entornos de las organizaciones con la gestión interna de la propuesta de valor de la compañía en el horizonte de corto plazo y los horizontes prospectivos.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Desarrollo de capacidades</w:t>
      </w:r>
    </w:p>
    <w:p>
      <w:pPr>
        <w:pStyle w:val="Normal"/>
        <w:bidi w:val="0"/>
        <w:jc w:val="left"/>
        <w:rPr/>
      </w:pPr>
      <w:r>
        <w:rPr>
          <w:rFonts w:eastAsia="Noto Serif CJK SC" w:cs="FreeSans"/>
          <w:color w:val="auto"/>
          <w:kern w:val="2"/>
          <w:sz w:val="24"/>
          <w:szCs w:val="24"/>
          <w:lang w:val="en-US" w:eastAsia="zh-CN" w:bidi="hi-IN"/>
        </w:rPr>
        <w:t>Formar un especialista con capacidad de construir escenarios alternativos y formular las estrategias desde el ámbito corporativo hasta el funcional para alcanzar los objetivos organizacionales optimizando globalmente las organizaciones.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LibreOffice/7.3.7.2$Linux_X86_64 LibreOffice_project/30$Build-2</Application>
  <AppVersion>15.0000</AppVersion>
  <Pages>1</Pages>
  <Words>254</Words>
  <Characters>1603</Characters>
  <CharactersWithSpaces>1846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2022-12-17T13:24:47Z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