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Maestría en Educación Superior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Universidad del Cauca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Descripción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La Universidad colombiana en la actualidad demanda de la necesidad en formar y/o actualizar en los campos de la pedagogía, el currículo, la evaluación, y por supuesto en la dirección y gestión educativa a nivel de la educación superior, desde la investigación como eje transversal de la formación a los profesionales que se encuentran vinculados a la Educación Superior, desde diferentes campos disciplinares. La Ley 30 de 1992 y demás disposiciones legales de la actualidad entre ellas las exigencias de la acreditación de calidad, modificaron el papel de la Universidad, integrando la formación profesional y el ejercicio de la dirección, gestión y la docencia, con la pedagogía, el currículo, la evaluación, la ética, las estéticas y la investigación, lo cual, conlleva a pensar en la importancia de formar y/o actualizar al docente universitario. Por otra parte, no se puede desconocer la importancia que hoy tiene la investigación en la educación superior, lo que contribuye a crear y recrear estrategias pedagógicas más dinámicas y participativas, ayudando a transformar el modelo positivista y directivo que caracteriza la Educación Superior en Colombia.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El programa de la Maestría en Educación superior, Busca dar respuesta a las siguientes situaciones: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Promover el trabajo de los docentes de la educación Superior, con perspectiva humana e interdisciplinar y critica desde las diferentes áreas de conocimiento a partir de la actividad investigativa, pensando más allá de las experiencias académicas, buscando en lo posible apostarle a integrarse en el devenir Institucional, mediante los grupos y semilleros de investigación. Se trata de lograr el desarrollo de competencias científicas y desde luego del interés investigativo tanto en docentes como de estudiantes.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Se busca contribuir a transformar la práctica docente de los participantes y apoyar el uso de estrategias pedagógicas y tecnológicas de carácter participativo, en donde el estudiante universitario sea artífice en la construcción del conocimiento con el apoyo, orientación y acompañamiento del docente.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Igualmente se propone formar, reflexionar e investigar escenarios, temas y problemas referidos a la gestión y gobernanza universitaria con el propósito de apostarle a transformaciones significativas en la administración del sistema universitario.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Pensar en la formación de los docentes de la educación superior, constituye un factor clave para la calidad de los procesos académicos de la Universidad del Cauca, la excelencia profesional y humana de sus egresados, que influye, entre otros aspectos, en el desarrollo económico, social y cultural del país.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En esta perspectiva, la presente propuesta de Maestría en Educación Superior con énfasis en Docencia o Dirección Universitaria, de la Universidad del Cauca, se propone reflexionar sobre algunos presupuestos conceptuales asociados a la realidad de la educación superior al igual que a la teoría y práctica del profesor universitario, con el fin de colocar en discusión la necesidad de investigar su práctica pedagógica y administrativa.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El Programa de Maestría en Educación Superior con énfasis en Docencia Universitaria o Dirección Universitaria, fue creado mediante el Acuerdo Superior N° 026 del 9 de junio del 2021 expedido por el Consejo Superior de la Universidad del Cauca. De conformidad con su naturaleza universitaria, nivel de posgrado, modalidad investigación y metodología presencial, y virtual otorga el título de Magister en Educación Superior con énfasis en Docencia Universitaria o Dirección Universitaria.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Objetivos del Programa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El propósito central de la Maestría es la formación de investigadores en el campo de la Educación Superior, mediante el aprovechamiento de las capacidades individuales, sociales e institucionales y la articulación con comunidades académicas nacionales e internacionales.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Para lograr este propósito se aprovecha la amplia oferta investigativa y formativa de la Universidad del Cauca, las capacidades y experiencias individuales adquiridas previamente por los aspirantes, la trayectoria de los grupos de investigación, la comunicación de intereses, problemas o necesidades por parte de la sociedad para generar núcleos problémicos, herramientas investigativas, reflexiones epistemológicas y aportes concretos en el área para formar profesionales con solvencia en el quehacer investigativo.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Además, se propone fomentar relaciones de alianza y cooperación entre grupos de investigación, centros de investigación e IES de Colombia y el extranjero, al igual que la movilidad e intercambio académico a fin de construir escenarios de confluencia para el análisis conjunto y comparado de temas y problemas relacionados con el campo de la Educación Superior y sus líneas de investigación.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Perfil de Ingreso: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Profesional de cualquier disciplina con interés en la reflexión e investigación en Educación Superior, capacidad de trabajo autónomo en grupos interdisciplinares, rigurosidad y ética académica, así como disponibilidad en tiempo y actitud para adelantar los requisitos de la Maestría.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77170E"/>
          <w:sz w:val="31"/>
          <w:szCs w:val="31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Perfil del Egresado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Investigador de problemas teóricos y contextuales en el campo de la Educación Superior.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Consultor en el análisis y la evaluación de planes, proyectos, programas y políticas de Educación Superior.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>Docente universitario calificado para optimizar procesos de enseñanza y de aprendizaje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77170E"/>
          <w:sz w:val="31"/>
          <w:szCs w:val="31"/>
        </w:rPr>
        <w:t xml:space="preserve"> </w:t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d14f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/HNkz7hy4IOnz/Fdwz9NWbGvBRQ==">AMUW2mUnZIwWhvTI8Flm+86ptJ4/+Jc+Q5p/DgUVqZAb0wEhRCkVSy3ijx6L8dpuSBZNVurIpfAhbFniYwP8MLoHQJa0/+NiPrgls2P5oxVKULjoNucresQ=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792</Words>
  <Characters>4636</Characters>
  <CharactersWithSpaces>5408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2022-07-17T20:42:00Z</dcterms:created>
  <dc:creator>juan manuel españa estrella</dc:creator>
  <dc:description/>
  <dc:language>en-US</dc:language>
  <cp:lastModifiedBy/>
  <dcterms:modified xsi:type="dcterms:W3CDTF">2022-11-20T23:59:57Z</dcterms:modified>
  <cp:revision>1</cp:revision>
  <dc:subject/>
  <dc:title/>
</cp:coreProperties>
</file>