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eastAsia="Noto Serif CJK SC" w:cs="FreeSans"/>
          <w:color w:val="auto"/>
          <w:kern w:val="2"/>
          <w:sz w:val="24"/>
          <w:szCs w:val="24"/>
          <w:lang w:val="en-US" w:eastAsia="zh-CN" w:bidi="hi-IN"/>
        </w:rPr>
        <w:t xml:space="preserve">Especialización </w:t>
      </w:r>
      <w:r>
        <w:rPr>
          <w:rFonts w:eastAsia="Noto Serif CJK SC" w:cs="FreeSans"/>
          <w:color w:val="auto"/>
          <w:kern w:val="2"/>
          <w:sz w:val="24"/>
          <w:szCs w:val="24"/>
          <w:lang w:val="en-US" w:eastAsia="zh-CN" w:bidi="hi-IN"/>
        </w:rPr>
        <w:t>en Sistema Penal Acusatorio</w:t>
      </w:r>
    </w:p>
    <w:p>
      <w:pPr>
        <w:pStyle w:val="Normal"/>
        <w:bidi w:val="0"/>
        <w:jc w:val="start"/>
        <w:rPr/>
      </w:pPr>
      <w:r>
        <w:rPr>
          <w:rFonts w:eastAsia="Noto Serif CJK SC" w:cs="FreeSans"/>
          <w:color w:val="auto"/>
          <w:kern w:val="2"/>
          <w:sz w:val="24"/>
          <w:szCs w:val="24"/>
          <w:lang w:val="en-US" w:eastAsia="zh-CN" w:bidi="hi-IN"/>
        </w:rPr>
        <w:t>UNIVERSIDAD CATÓLICA DE COLOMBIA</w:t>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pPr>
      <w:r>
        <w:rPr>
          <w:rFonts w:eastAsia="Noto Serif CJK SC" w:cs="FreeSans"/>
          <w:color w:val="auto"/>
          <w:kern w:val="2"/>
          <w:sz w:val="24"/>
          <w:szCs w:val="24"/>
          <w:lang w:val="en-US" w:eastAsia="zh-CN" w:bidi="hi-IN"/>
        </w:rPr>
        <w:t xml:space="preserve">La especialización en sistema penal acusatorio (virtual) se destaca por: </w:t>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pPr>
      <w:r>
        <w:rPr>
          <w:rFonts w:eastAsia="Noto Serif CJK SC" w:cs="FreeSans"/>
          <w:color w:val="auto"/>
          <w:kern w:val="2"/>
          <w:sz w:val="24"/>
          <w:szCs w:val="24"/>
          <w:lang w:val="en-US" w:eastAsia="zh-CN" w:bidi="hi-IN"/>
        </w:rPr>
        <w:t>Tener un objeto de estudio enfocado, exclusivamente, en el Sistema Penal Acusatorio.</w:t>
      </w:r>
    </w:p>
    <w:p>
      <w:pPr>
        <w:pStyle w:val="Normal"/>
        <w:bidi w:val="0"/>
        <w:jc w:val="start"/>
        <w:rPr/>
      </w:pPr>
      <w:r>
        <w:rPr>
          <w:rFonts w:eastAsia="Noto Serif CJK SC" w:cs="FreeSans"/>
          <w:color w:val="auto"/>
          <w:kern w:val="2"/>
          <w:sz w:val="24"/>
          <w:szCs w:val="24"/>
          <w:lang w:val="en-US" w:eastAsia="zh-CN" w:bidi="hi-IN"/>
        </w:rPr>
        <w:t>Hacer énfasis en técnicas de oralidad, a través del uso de tecnología de punta para realizar juegos de roles o audiencias simuladas virtuales.</w:t>
      </w:r>
    </w:p>
    <w:p>
      <w:pPr>
        <w:pStyle w:val="Normal"/>
        <w:bidi w:val="0"/>
        <w:jc w:val="start"/>
        <w:rPr/>
      </w:pPr>
      <w:r>
        <w:rPr>
          <w:rFonts w:eastAsia="Noto Serif CJK SC" w:cs="FreeSans"/>
          <w:color w:val="auto"/>
          <w:kern w:val="2"/>
          <w:sz w:val="24"/>
          <w:szCs w:val="24"/>
          <w:lang w:val="en-US" w:eastAsia="zh-CN" w:bidi="hi-IN"/>
        </w:rPr>
        <w:t>Permitir la aplicación del método de casos de estudio.</w:t>
      </w:r>
    </w:p>
    <w:p>
      <w:pPr>
        <w:pStyle w:val="Normal"/>
        <w:bidi w:val="0"/>
        <w:jc w:val="start"/>
        <w:rPr/>
      </w:pPr>
      <w:r>
        <w:rPr>
          <w:rFonts w:eastAsia="Noto Serif CJK SC" w:cs="FreeSans"/>
          <w:color w:val="auto"/>
          <w:kern w:val="2"/>
          <w:sz w:val="24"/>
          <w:szCs w:val="24"/>
          <w:lang w:val="en-US" w:eastAsia="zh-CN" w:bidi="hi-IN"/>
        </w:rPr>
        <w:t>Contar con una plataforma tecnológica de auto aprendizaje con una metodología virtual.</w:t>
      </w:r>
    </w:p>
    <w:p>
      <w:pPr>
        <w:pStyle w:val="Normal"/>
        <w:bidi w:val="0"/>
        <w:jc w:val="start"/>
        <w:rPr/>
      </w:pPr>
      <w:r>
        <w:rPr>
          <w:rFonts w:eastAsia="Noto Serif CJK SC" w:cs="FreeSans"/>
          <w:color w:val="auto"/>
          <w:kern w:val="2"/>
          <w:sz w:val="24"/>
          <w:szCs w:val="24"/>
          <w:lang w:val="en-US" w:eastAsia="zh-CN" w:bidi="hi-IN"/>
        </w:rPr>
        <w:t>Facilitar una implementación interdisciplinaria a través de la creación de interacciones teórico–prácticas de las realidades del objeto de estudio.</w:t>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pPr>
      <w:r>
        <w:rPr>
          <w:rFonts w:eastAsia="Noto Serif CJK SC" w:cs="FreeSans"/>
          <w:color w:val="auto"/>
          <w:kern w:val="2"/>
          <w:sz w:val="24"/>
          <w:szCs w:val="24"/>
          <w:lang w:val="en-US" w:eastAsia="zh-CN" w:bidi="hi-IN"/>
        </w:rPr>
        <w:t>ESTÁ DIRIGIDA A:</w:t>
      </w:r>
    </w:p>
    <w:p>
      <w:pPr>
        <w:pStyle w:val="Normal"/>
        <w:bidi w:val="0"/>
        <w:jc w:val="start"/>
        <w:rPr/>
      </w:pPr>
      <w:r>
        <w:rPr>
          <w:rFonts w:eastAsia="Noto Serif CJK SC" w:cs="FreeSans"/>
          <w:color w:val="auto"/>
          <w:kern w:val="2"/>
          <w:sz w:val="24"/>
          <w:szCs w:val="24"/>
          <w:lang w:val="en-US" w:eastAsia="zh-CN" w:bidi="hi-IN"/>
        </w:rPr>
        <w:t>Abogados y Profesionales de cualquier disciplina que se estén desempeñando como investigadores.</w:t>
      </w:r>
    </w:p>
    <w:p>
      <w:pPr>
        <w:pStyle w:val="Normal"/>
        <w:bidi w:val="0"/>
        <w:jc w:val="start"/>
        <w:rPr/>
      </w:pPr>
      <w:r>
        <w:rPr>
          <w:rFonts w:eastAsia="Noto Serif CJK SC" w:cs="FreeSans"/>
          <w:color w:val="auto"/>
          <w:kern w:val="2"/>
          <w:sz w:val="24"/>
          <w:szCs w:val="24"/>
          <w:lang w:val="en-US" w:eastAsia="zh-CN" w:bidi="hi-IN"/>
        </w:rPr>
        <w:t>Policía judicial.</w:t>
      </w:r>
    </w:p>
    <w:p>
      <w:pPr>
        <w:pStyle w:val="Normal"/>
        <w:bidi w:val="0"/>
        <w:jc w:val="start"/>
        <w:rPr/>
      </w:pPr>
      <w:r>
        <w:rPr>
          <w:rFonts w:eastAsia="Noto Serif CJK SC" w:cs="FreeSans"/>
          <w:color w:val="auto"/>
          <w:kern w:val="2"/>
          <w:sz w:val="24"/>
          <w:szCs w:val="24"/>
          <w:lang w:val="en-US" w:eastAsia="zh-CN" w:bidi="hi-IN"/>
        </w:rPr>
        <w:t>Instituto de medicina legal</w:t>
      </w:r>
    </w:p>
    <w:p>
      <w:pPr>
        <w:pStyle w:val="Normal"/>
        <w:bidi w:val="0"/>
        <w:jc w:val="start"/>
        <w:rPr/>
      </w:pPr>
      <w:r>
        <w:rPr>
          <w:rFonts w:eastAsia="Noto Serif CJK SC" w:cs="FreeSans"/>
          <w:color w:val="auto"/>
          <w:kern w:val="2"/>
          <w:sz w:val="24"/>
          <w:szCs w:val="24"/>
          <w:lang w:val="en-US" w:eastAsia="zh-CN" w:bidi="hi-IN"/>
        </w:rPr>
        <w:t>Peritos</w:t>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pPr>
      <w:r>
        <w:rPr>
          <w:rFonts w:eastAsia="Noto Serif CJK SC" w:cs="FreeSans"/>
          <w:color w:val="auto"/>
          <w:kern w:val="2"/>
          <w:sz w:val="24"/>
          <w:szCs w:val="24"/>
          <w:lang w:val="en-US" w:eastAsia="zh-CN" w:bidi="hi-IN"/>
        </w:rPr>
        <w:t>EL ESPECIALISTA EN SISTEMA PENAL ACUSATORIO</w:t>
      </w:r>
    </w:p>
    <w:p>
      <w:pPr>
        <w:pStyle w:val="Normal"/>
        <w:bidi w:val="0"/>
        <w:jc w:val="start"/>
        <w:rPr/>
      </w:pPr>
      <w:r>
        <w:rPr>
          <w:rFonts w:eastAsia="Noto Serif CJK SC" w:cs="FreeSans"/>
          <w:color w:val="auto"/>
          <w:kern w:val="2"/>
          <w:sz w:val="24"/>
          <w:szCs w:val="24"/>
          <w:lang w:val="en-US" w:eastAsia="zh-CN" w:bidi="hi-IN"/>
        </w:rPr>
        <w:t>ESTARÁ EN CAPACIDAD DE:</w:t>
      </w:r>
    </w:p>
    <w:p>
      <w:pPr>
        <w:pStyle w:val="Normal"/>
        <w:bidi w:val="0"/>
        <w:jc w:val="start"/>
        <w:rPr/>
      </w:pPr>
      <w:r>
        <w:rPr>
          <w:rFonts w:eastAsia="Noto Serif CJK SC" w:cs="FreeSans"/>
          <w:color w:val="auto"/>
          <w:kern w:val="2"/>
          <w:sz w:val="24"/>
          <w:szCs w:val="24"/>
          <w:lang w:val="en-US" w:eastAsia="zh-CN" w:bidi="hi-IN"/>
        </w:rPr>
        <w:t>Conocer herramientas de interpretación y análisis de los principios y fundamentos constitucionales que inspiran el sistema procesal penal colombiano y de los derechos y garantías constitucionales de las partes e intervinientes en el proceso penal y las normas de procedimiento que lo rigen.</w:t>
      </w:r>
    </w:p>
    <w:p>
      <w:pPr>
        <w:pStyle w:val="Normal"/>
        <w:bidi w:val="0"/>
        <w:jc w:val="start"/>
        <w:rPr/>
      </w:pPr>
      <w:r>
        <w:rPr>
          <w:rFonts w:eastAsia="Noto Serif CJK SC" w:cs="FreeSans"/>
          <w:color w:val="auto"/>
          <w:kern w:val="2"/>
          <w:sz w:val="24"/>
          <w:szCs w:val="24"/>
          <w:lang w:val="en-US" w:eastAsia="zh-CN" w:bidi="hi-IN"/>
        </w:rPr>
        <w:t>Comprender los métodos modernos de investigación criminal, basado en el entrenamiento que se adquiere en el uso de las técnicas forenses.</w:t>
      </w:r>
    </w:p>
    <w:p>
      <w:pPr>
        <w:pStyle w:val="Normal"/>
        <w:bidi w:val="0"/>
        <w:jc w:val="start"/>
        <w:rPr/>
      </w:pPr>
      <w:r>
        <w:rPr>
          <w:rFonts w:eastAsia="Noto Serif CJK SC" w:cs="FreeSans"/>
          <w:color w:val="auto"/>
          <w:kern w:val="2"/>
          <w:sz w:val="24"/>
          <w:szCs w:val="24"/>
          <w:lang w:val="en-US" w:eastAsia="zh-CN" w:bidi="hi-IN"/>
        </w:rPr>
        <w:t>Planifica los casos penales, preparando y administrando de modo eficiente los medios cognoscitivos y los medios probatorios y en general, todos los recursos que se ejecutan durante la intervención en el proceso penal.</w:t>
      </w:r>
    </w:p>
    <w:p>
      <w:pPr>
        <w:pStyle w:val="Normal"/>
        <w:bidi w:val="0"/>
        <w:jc w:val="start"/>
        <w:rPr/>
      </w:pPr>
      <w:r>
        <w:rPr>
          <w:rFonts w:eastAsia="Noto Serif CJK SC" w:cs="FreeSans"/>
          <w:color w:val="auto"/>
          <w:kern w:val="2"/>
          <w:sz w:val="24"/>
          <w:szCs w:val="24"/>
          <w:lang w:val="en-US" w:eastAsia="zh-CN" w:bidi="hi-IN"/>
        </w:rPr>
        <w:t>Maneja las técnicas modernas de intervención en las audiencias orales, basado en la dinámica de los diferentes roles del sistema penal acusatorio.</w:t>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start"/>
        <w:rPr/>
      </w:pPr>
      <w:r>
        <w:rPr>
          <w:rFonts w:eastAsia="Noto Serif CJK SC" w:cs="FreeSans"/>
          <w:color w:val="auto"/>
          <w:kern w:val="2"/>
          <w:sz w:val="24"/>
          <w:szCs w:val="24"/>
          <w:lang w:val="en-US" w:eastAsia="zh-CN" w:bidi="hi-IN"/>
        </w:rPr>
        <w:t>EL ESPECIALISTA EN SISTEMA PENAL ACUSATORIO</w:t>
      </w:r>
    </w:p>
    <w:p>
      <w:pPr>
        <w:pStyle w:val="Normal"/>
        <w:bidi w:val="0"/>
        <w:jc w:val="start"/>
        <w:rPr/>
      </w:pPr>
      <w:r>
        <w:rPr>
          <w:rFonts w:eastAsia="Noto Serif CJK SC" w:cs="FreeSans"/>
          <w:color w:val="auto"/>
          <w:kern w:val="2"/>
          <w:sz w:val="24"/>
          <w:szCs w:val="24"/>
          <w:lang w:val="en-US" w:eastAsia="zh-CN" w:bidi="hi-IN"/>
        </w:rPr>
        <w:t>PODRÁ DESEMPEÑARSE</w:t>
      </w:r>
    </w:p>
    <w:p>
      <w:pPr>
        <w:pStyle w:val="Normal"/>
        <w:bidi w:val="0"/>
        <w:jc w:val="start"/>
        <w:rPr/>
      </w:pPr>
      <w:r>
        <w:rPr>
          <w:rFonts w:eastAsia="Noto Serif CJK SC" w:cs="FreeSans"/>
          <w:color w:val="auto"/>
          <w:kern w:val="2"/>
          <w:sz w:val="24"/>
          <w:szCs w:val="24"/>
          <w:lang w:val="en-US" w:eastAsia="zh-CN" w:bidi="hi-IN"/>
        </w:rPr>
        <w:t>EN LOS SIGUIENTES CARGOS:</w:t>
      </w:r>
    </w:p>
    <w:p>
      <w:pPr>
        <w:pStyle w:val="Normal"/>
        <w:bidi w:val="0"/>
        <w:jc w:val="start"/>
        <w:rPr/>
      </w:pPr>
      <w:r>
        <w:rPr>
          <w:rFonts w:eastAsia="Noto Serif CJK SC" w:cs="FreeSans"/>
          <w:color w:val="auto"/>
          <w:kern w:val="2"/>
          <w:sz w:val="24"/>
          <w:szCs w:val="24"/>
          <w:lang w:val="en-US" w:eastAsia="zh-CN" w:bidi="hi-IN"/>
        </w:rPr>
        <w:t>Defensor privado o público (en el caso de los abogados).</w:t>
      </w:r>
    </w:p>
    <w:p>
      <w:pPr>
        <w:pStyle w:val="Normal"/>
        <w:bidi w:val="0"/>
        <w:jc w:val="start"/>
        <w:rPr/>
      </w:pPr>
      <w:r>
        <w:rPr>
          <w:rFonts w:eastAsia="Noto Serif CJK SC" w:cs="FreeSans"/>
          <w:color w:val="auto"/>
          <w:kern w:val="2"/>
          <w:sz w:val="24"/>
          <w:szCs w:val="24"/>
          <w:lang w:val="en-US" w:eastAsia="zh-CN" w:bidi="hi-IN"/>
        </w:rPr>
        <w:t>Apoderado de la víctima privado o público (en el caso de los abogados.</w:t>
      </w:r>
    </w:p>
    <w:p>
      <w:pPr>
        <w:pStyle w:val="Normal"/>
        <w:bidi w:val="0"/>
        <w:jc w:val="start"/>
        <w:rPr/>
      </w:pPr>
      <w:r>
        <w:rPr>
          <w:rFonts w:eastAsia="Noto Serif CJK SC" w:cs="FreeSans"/>
          <w:color w:val="auto"/>
          <w:kern w:val="2"/>
          <w:sz w:val="24"/>
          <w:szCs w:val="24"/>
          <w:lang w:val="en-US" w:eastAsia="zh-CN" w:bidi="hi-IN"/>
        </w:rPr>
        <w:t>Fiscal o juez penal (en el caso de los abogados).</w:t>
      </w:r>
    </w:p>
    <w:p>
      <w:pPr>
        <w:pStyle w:val="Normal"/>
        <w:bidi w:val="0"/>
        <w:jc w:val="start"/>
        <w:rPr/>
      </w:pPr>
      <w:r>
        <w:rPr>
          <w:rFonts w:eastAsia="Noto Serif CJK SC" w:cs="FreeSans"/>
          <w:color w:val="auto"/>
          <w:kern w:val="2"/>
          <w:sz w:val="24"/>
          <w:szCs w:val="24"/>
          <w:lang w:val="en-US" w:eastAsia="zh-CN" w:bidi="hi-IN"/>
        </w:rPr>
        <w:t>Representante del Ministerio Público (en el caso de los abogados).</w:t>
      </w:r>
    </w:p>
    <w:p>
      <w:pPr>
        <w:pStyle w:val="Normal"/>
        <w:bidi w:val="0"/>
        <w:jc w:val="start"/>
        <w:rPr/>
      </w:pPr>
      <w:r>
        <w:rPr>
          <w:rFonts w:eastAsia="Noto Serif CJK SC" w:cs="FreeSans"/>
          <w:color w:val="auto"/>
          <w:kern w:val="2"/>
          <w:sz w:val="24"/>
          <w:szCs w:val="24"/>
          <w:lang w:val="en-US" w:eastAsia="zh-CN" w:bidi="hi-IN"/>
        </w:rPr>
        <w:t>Perito en procesos penales.</w:t>
      </w:r>
    </w:p>
    <w:p>
      <w:pPr>
        <w:pStyle w:val="Normal"/>
        <w:bidi w:val="0"/>
        <w:jc w:val="start"/>
        <w:rPr/>
      </w:pPr>
      <w:r>
        <w:rPr>
          <w:rFonts w:eastAsia="Noto Serif CJK SC" w:cs="FreeSans"/>
          <w:color w:val="auto"/>
          <w:kern w:val="2"/>
          <w:sz w:val="24"/>
          <w:szCs w:val="24"/>
          <w:lang w:val="en-US" w:eastAsia="zh-CN" w:bidi="hi-IN"/>
        </w:rPr>
        <w:t>Investigadores criminalísticos profesionales.</w:t>
      </w:r>
    </w:p>
    <w:p>
      <w:pPr>
        <w:pStyle w:val="Normal"/>
        <w:bidi w:val="0"/>
        <w:jc w:val="start"/>
        <w:rPr/>
      </w:pPr>
      <w:r>
        <w:rPr>
          <w:rFonts w:eastAsia="Noto Serif CJK SC" w:cs="FreeSans"/>
          <w:color w:val="auto"/>
          <w:kern w:val="2"/>
          <w:sz w:val="24"/>
          <w:szCs w:val="24"/>
          <w:lang w:val="en-US" w:eastAsia="zh-CN" w:bidi="hi-IN"/>
        </w:rPr>
        <w:t>Experto público o privado en el marco del sistema penal colombiano (asesor, consultor, investigador, etc.).</w:t>
      </w:r>
    </w:p>
    <w:p>
      <w:pPr>
        <w:pStyle w:val="Normal"/>
        <w:bidi w:val="0"/>
        <w:jc w:val="start"/>
        <w:rPr/>
      </w:pPr>
      <w:r>
        <w:rPr>
          <w:rFonts w:eastAsia="Noto Serif CJK SC" w:cs="FreeSans"/>
          <w:color w:val="auto"/>
          <w:kern w:val="2"/>
          <w:sz w:val="24"/>
          <w:szCs w:val="24"/>
          <w:lang w:val="en-US" w:eastAsia="zh-CN" w:bidi="hi-IN"/>
        </w:rPr>
        <w:t>Rama judicial del poder público, Fiscalía General de la Nación, Dirección Nacional de Defensoría Pública de la Defensoría del Pueblo, Procuraduría General de la Nación, Personerías, bufetes de abogados, Instituto Nacional de Medicina Legal, Policía Judicial de la Policía Nacional.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711</TotalTime>
  <Application>LibreOffice/7.3.4.2$Linux_X86_64 LibreOffice_project/30$Build-2</Application>
  <AppVersion>15.0000</AppVersion>
  <Pages>1</Pages>
  <Words>363</Words>
  <Characters>2133</Characters>
  <CharactersWithSpaces>2466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2023-02-01T17:34:48Z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