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Colonna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104 03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Eckert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11/12/20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  <w:tab/>
        <w:t xml:space="preserve">Activate green light.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  <w:tab/>
        <w:t xml:space="preserve">Speak “Ready, set, go.”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  <w:tab/>
        <w:t xml:space="preserve">Move Forward 2m.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</w:t>
        <w:tab/>
        <w:t xml:space="preserve">Turn right 90 degrees.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</w:t>
        <w:tab/>
        <w:t xml:space="preserve">Move forward 1m.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</w:t>
        <w:tab/>
        <w:t xml:space="preserve">Turn right 90 degrees.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</w:t>
        <w:tab/>
        <w:t xml:space="preserve">Move forward 2m.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</w:t>
        <w:tab/>
        <w:t xml:space="preserve">Turn right 90 degrees.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</w:t>
        <w:tab/>
        <w:t xml:space="preserve"> Move forward 1m.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</w:t>
        <w:tab/>
        <w:t xml:space="preserve"> Activate red light.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11.</w:t>
        <w:tab/>
        <w:t xml:space="preserve"> Speak “I’m done and I need water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