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qexgn4wb99lh" w:id="0"/>
      <w:bookmarkEnd w:id="0"/>
      <w:r w:rsidDel="00000000" w:rsidR="00000000" w:rsidRPr="00000000">
        <w:rPr>
          <w:rtl w:val="0"/>
        </w:rPr>
        <w:t xml:space="preserve">Filtros activos con OPAMPs y OTAs</w:t>
      </w:r>
    </w:p>
    <w:p w:rsidR="00000000" w:rsidDel="00000000" w:rsidP="00000000" w:rsidRDefault="00000000" w:rsidRPr="00000000" w14:paraId="00000002">
      <w:pPr>
        <w:pStyle w:val="Subtitle"/>
        <w:pageBreakBefore w:val="0"/>
        <w:jc w:val="center"/>
        <w:rPr/>
      </w:pPr>
      <w:bookmarkStart w:colFirst="0" w:colLast="0" w:name="_i0zqwye7zuyo" w:id="1"/>
      <w:bookmarkEnd w:id="1"/>
      <w:r w:rsidDel="00000000" w:rsidR="00000000" w:rsidRPr="00000000">
        <w:rPr>
          <w:rtl w:val="0"/>
        </w:rPr>
        <w:t xml:space="preserve">Resumen de estructuras y referencias de diseño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vypv4josh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Estructuras con OPAMPs</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qdr38gtqjb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Sallen-Key</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xzh46o4tx4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Pasa bajos</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m75dydvqd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Pasa altos</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701afbx40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Multiple Feedback / Deliyannis - Friend</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6cihii6e8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Pasa bajo</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wwspe8mbg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Pasa alto</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vaci1lrpbk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Pasa banda</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it0mtf30i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Ackerberg Mossberg</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4gmtjnag6j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 de Estado / Tow-Thomas / Kerwin–Huelsman–Newcomb (KHN)</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2h2spgfy7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Estructuras con OTAs</w:t>
            </w:r>
          </w:hyperlink>
          <w:r w:rsidDel="00000000" w:rsidR="00000000" w:rsidRPr="00000000">
            <w:rPr>
              <w:rtl w:val="0"/>
            </w:rPr>
          </w:r>
        </w:p>
        <w:p w:rsidR="00000000" w:rsidDel="00000000" w:rsidP="00000000" w:rsidRDefault="00000000" w:rsidRPr="00000000" w14:paraId="00000010">
          <w:pPr>
            <w:pageBreakBefore w:val="0"/>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bvzkt5ohv4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Filtro de segundo orden bicuadrático y canónico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Style w:val="Heading1"/>
            <w:pageBreakBefore w:val="0"/>
            <w:rPr/>
          </w:pPr>
          <w:bookmarkStart w:colFirst="0" w:colLast="0" w:name="_itg33t84yjqv" w:id="2"/>
          <w:bookmarkEnd w:id="2"/>
          <w:r w:rsidDel="00000000" w:rsidR="00000000" w:rsidRPr="00000000">
            <w:fldChar w:fldCharType="begin"/>
            <w:instrText xml:space="preserve"> TOC \h \u \z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mvypv4josh6h" w:id="3"/>
          <w:bookmarkEnd w:id="3"/>
          <w:r w:rsidDel="00000000" w:rsidR="00000000" w:rsidRPr="00000000">
            <w:rPr>
              <w:rtl w:val="0"/>
            </w:rPr>
            <w:t xml:space="preserve">Estructuras con OPAMPs</w:t>
          </w:r>
        </w:p>
        <w:p w:rsidR="00000000" w:rsidDel="00000000" w:rsidP="00000000" w:rsidRDefault="00000000" w:rsidRPr="00000000" w14:paraId="00000015">
          <w:pPr>
            <w:pStyle w:val="Heading2"/>
            <w:pageBreakBefore w:val="0"/>
            <w:rPr/>
          </w:pPr>
          <w:bookmarkStart w:colFirst="0" w:colLast="0" w:name="_2qdr38gtqjb3" w:id="4"/>
          <w:bookmarkEnd w:id="4"/>
          <w:r w:rsidDel="00000000" w:rsidR="00000000" w:rsidRPr="00000000">
            <w:rPr>
              <w:rtl w:val="0"/>
            </w:rPr>
            <w:t xml:space="preserve">Sallen-Key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u w:val="single"/>
                <w:rtl w:val="0"/>
              </w:rPr>
              <w:t xml:space="preserve">Sallen, RP, and EL Key. A practical method for designing RC active filters. IRE Transactions Circuit Theory, Volume CT-2 , pg 74, March 1955</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ageBreakBefore w:val="0"/>
            <w:rPr/>
          </w:pPr>
          <w:hyperlink r:id="rId7">
            <w:r w:rsidDel="00000000" w:rsidR="00000000" w:rsidRPr="00000000">
              <w:rPr>
                <w:color w:val="1155cc"/>
                <w:u w:val="single"/>
                <w:rtl w:val="0"/>
              </w:rPr>
              <w:t xml:space="preserve">Analysis of the Sallen-Key architecture. Application report. Texas Instrument. SLOA024B</w:t>
            </w:r>
          </w:hyperlink>
          <w:r w:rsidDel="00000000" w:rsidR="00000000" w:rsidRPr="00000000">
            <w:rPr>
              <w:rtl w:val="0"/>
            </w:rPr>
            <w:t xml:space="preserve">.</w:t>
          </w:r>
        </w:p>
        <w:p w:rsidR="00000000" w:rsidDel="00000000" w:rsidP="00000000" w:rsidRDefault="00000000" w:rsidRPr="00000000" w14:paraId="0000001A">
          <w:pPr>
            <w:pStyle w:val="Heading3"/>
            <w:pageBreakBefore w:val="0"/>
            <w:rPr/>
          </w:pPr>
          <w:bookmarkStart w:colFirst="0" w:colLast="0" w:name="_wxzh46o4tx4n" w:id="5"/>
          <w:bookmarkEnd w:id="5"/>
          <w:r w:rsidDel="00000000" w:rsidR="00000000" w:rsidRPr="00000000">
            <w:rPr>
              <w:rtl w:val="0"/>
            </w:rPr>
            <w:t xml:space="preserve">Pasa bajos</w:t>
          </w:r>
        </w:p>
        <w:p w:rsidR="00000000" w:rsidDel="00000000" w:rsidP="00000000" w:rsidRDefault="00000000" w:rsidRPr="00000000" w14:paraId="0000001B">
          <w:pPr>
            <w:pageBreakBefore w:val="0"/>
            <w:rPr>
              <w:sz w:val="34"/>
              <w:szCs w:val="34"/>
            </w:rPr>
          </w:pPr>
          <w:r w:rsidDel="00000000" w:rsidR="00000000" w:rsidRPr="00000000">
            <w:rPr>
              <w:rtl w:val="0"/>
            </w:rPr>
          </w:r>
        </w:p>
        <w:p w:rsidR="00000000" w:rsidDel="00000000" w:rsidP="00000000" w:rsidRDefault="00000000" w:rsidRPr="00000000" w14:paraId="0000001C">
          <w:pPr>
            <w:pStyle w:val="Heading3"/>
            <w:pageBreakBefore w:val="0"/>
            <w:jc w:val="center"/>
            <w:rPr/>
          </w:pPr>
          <w:bookmarkStart w:colFirst="0" w:colLast="0" w:name="_rvk7kq5zl1lj" w:id="6"/>
          <w:bookmarkEnd w:id="6"/>
          <w:r w:rsidDel="00000000" w:rsidR="00000000" w:rsidRPr="00000000">
            <w:rPr/>
            <w:drawing>
              <wp:inline distB="114300" distT="114300" distL="114300" distR="114300">
                <wp:extent cx="4103966" cy="3242771"/>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03966" cy="324277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oezh93ftcpj1"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8m75dydvqdj3" w:id="8"/>
          <w:bookmarkEnd w:id="8"/>
          <w:r w:rsidDel="00000000" w:rsidR="00000000" w:rsidRPr="00000000">
            <w:rPr>
              <w:rtl w:val="0"/>
            </w:rPr>
            <w:t xml:space="preserve">Pasa altos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drawing>
              <wp:inline distB="114300" distT="114300" distL="114300" distR="114300">
                <wp:extent cx="4510088" cy="35980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10088" cy="3598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6yy38e72cv1y" w:id="9"/>
          <w:bookmarkEnd w:id="9"/>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t701afbx406i" w:id="10"/>
          <w:bookmarkEnd w:id="10"/>
          <w:r w:rsidDel="00000000" w:rsidR="00000000" w:rsidRPr="00000000">
            <w:rPr>
              <w:rtl w:val="0"/>
            </w:rPr>
            <w:t xml:space="preserve">Multiple Feedback / Deliyannis - Friend</w:t>
          </w:r>
        </w:p>
        <w:p w:rsidR="00000000" w:rsidDel="00000000" w:rsidP="00000000" w:rsidRDefault="00000000" w:rsidRPr="00000000" w14:paraId="00000023">
          <w:pPr>
            <w:pStyle w:val="Heading3"/>
            <w:pageBreakBefore w:val="0"/>
            <w:rPr/>
          </w:pPr>
          <w:bookmarkStart w:colFirst="0" w:colLast="0" w:name="_c6cihii6e83q" w:id="11"/>
          <w:bookmarkEnd w:id="11"/>
          <w:r w:rsidDel="00000000" w:rsidR="00000000" w:rsidRPr="00000000">
            <w:rPr>
              <w:rtl w:val="0"/>
            </w:rPr>
            <w:t xml:space="preserve">Pasa bajo</w:t>
          </w:r>
        </w:p>
        <w:p w:rsidR="00000000" w:rsidDel="00000000" w:rsidP="00000000" w:rsidRDefault="00000000" w:rsidRPr="00000000" w14:paraId="00000024">
          <w:pPr>
            <w:pageBreakBefore w:val="0"/>
            <w:jc w:val="center"/>
            <w:rPr>
              <w:sz w:val="34"/>
              <w:szCs w:val="34"/>
            </w:rPr>
          </w:pPr>
          <w:r w:rsidDel="00000000" w:rsidR="00000000" w:rsidRPr="00000000">
            <w:rPr>
              <w:rtl w:val="0"/>
            </w:rPr>
          </w:r>
        </w:p>
        <w:p w:rsidR="00000000" w:rsidDel="00000000" w:rsidP="00000000" w:rsidRDefault="00000000" w:rsidRPr="00000000" w14:paraId="00000025">
          <w:pPr>
            <w:pageBreakBefore w:val="0"/>
            <w:rPr/>
          </w:pPr>
          <w:hyperlink r:id="rId10">
            <w:r w:rsidDel="00000000" w:rsidR="00000000" w:rsidRPr="00000000">
              <w:rPr>
                <w:color w:val="1155cc"/>
                <w:u w:val="single"/>
                <w:rtl w:val="0"/>
              </w:rPr>
              <w:t xml:space="preserve">T. Deliyannis, “ High-Q factor circuit with reduced sensitivity,” Electron. Lett., vol. 4, pp. 577-579, Dec. 1968</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jc w:val="center"/>
            <w:rPr/>
          </w:pPr>
          <w:r w:rsidDel="00000000" w:rsidR="00000000" w:rsidRPr="00000000">
            <w:rPr/>
            <w:drawing>
              <wp:inline distB="114300" distT="114300" distL="114300" distR="114300">
                <wp:extent cx="3880702" cy="285906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80702" cy="285906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68pkxy7s2nal" w:id="12"/>
          <w:bookmarkEnd w:id="1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pageBreakBefore w:val="0"/>
            <w:rPr/>
          </w:pPr>
          <w:bookmarkStart w:colFirst="0" w:colLast="0" w:name="_5wwspe8mbgow" w:id="13"/>
          <w:bookmarkEnd w:id="13"/>
          <w:r w:rsidDel="00000000" w:rsidR="00000000" w:rsidRPr="00000000">
            <w:rPr>
              <w:rtl w:val="0"/>
            </w:rPr>
            <w:t xml:space="preserve">Pasa alto</w:t>
          </w:r>
        </w:p>
        <w:p w:rsidR="00000000" w:rsidDel="00000000" w:rsidP="00000000" w:rsidRDefault="00000000" w:rsidRPr="00000000" w14:paraId="0000002B">
          <w:pPr>
            <w:pageBreakBefore w:val="0"/>
            <w:jc w:val="center"/>
            <w:rPr>
              <w:sz w:val="34"/>
              <w:szCs w:val="34"/>
            </w:rPr>
          </w:pPr>
          <w:r w:rsidDel="00000000" w:rsidR="00000000" w:rsidRPr="00000000">
            <w:rPr>
              <w:rtl w:val="0"/>
            </w:rPr>
          </w:r>
        </w:p>
        <w:p w:rsidR="00000000" w:rsidDel="00000000" w:rsidP="00000000" w:rsidRDefault="00000000" w:rsidRPr="00000000" w14:paraId="0000002C">
          <w:pPr>
            <w:pageBreakBefore w:val="0"/>
            <w:jc w:val="center"/>
            <w:rPr/>
          </w:pPr>
          <w:r w:rsidDel="00000000" w:rsidR="00000000" w:rsidRPr="00000000">
            <w:rPr/>
            <w:drawing>
              <wp:inline distB="114300" distT="114300" distL="114300" distR="114300">
                <wp:extent cx="4234687" cy="311086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34687" cy="311086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pageBreakBefore w:val="0"/>
            <w:rPr/>
          </w:pPr>
          <w:bookmarkStart w:colFirst="0" w:colLast="0" w:name="_r0xubsgnwuwa" w:id="14"/>
          <w:bookmarkEnd w:id="14"/>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evaci1lrpbk7" w:id="15"/>
          <w:bookmarkEnd w:id="15"/>
          <w:r w:rsidDel="00000000" w:rsidR="00000000" w:rsidRPr="00000000">
            <w:rPr>
              <w:rtl w:val="0"/>
            </w:rPr>
            <w:t xml:space="preserve">Pasa banda</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3"/>
            <w:pageBreakBefore w:val="0"/>
            <w:jc w:val="center"/>
            <w:rPr/>
          </w:pPr>
          <w:bookmarkStart w:colFirst="0" w:colLast="0" w:name="_381fm7orw647" w:id="16"/>
          <w:bookmarkEnd w:id="16"/>
          <w:r w:rsidDel="00000000" w:rsidR="00000000" w:rsidRPr="00000000">
            <w:rPr/>
            <w:drawing>
              <wp:inline distB="114300" distT="114300" distL="114300" distR="114300">
                <wp:extent cx="5072063" cy="3590049"/>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72063" cy="35900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pageBreakBefore w:val="0"/>
            <w:rPr/>
          </w:pPr>
          <w:bookmarkStart w:colFirst="0" w:colLast="0" w:name="_ulfr3kg6czdi" w:id="17"/>
          <w:bookmarkEnd w:id="1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pageBreakBefore w:val="0"/>
            <w:rPr/>
          </w:pPr>
          <w:bookmarkStart w:colFirst="0" w:colLast="0" w:name="_lit0mtf30izy" w:id="18"/>
          <w:bookmarkEnd w:id="18"/>
          <w:r w:rsidDel="00000000" w:rsidR="00000000" w:rsidRPr="00000000">
            <w:rPr>
              <w:rtl w:val="0"/>
            </w:rPr>
            <w:t xml:space="preserve">Ackerberg Mossberg</w:t>
          </w:r>
        </w:p>
        <w:p w:rsidR="00000000" w:rsidDel="00000000" w:rsidP="00000000" w:rsidRDefault="00000000" w:rsidRPr="00000000" w14:paraId="00000034">
          <w:pPr>
            <w:pageBreakBefore w:val="0"/>
            <w:rPr/>
          </w:pPr>
          <w:hyperlink r:id="rId14">
            <w:r w:rsidDel="00000000" w:rsidR="00000000" w:rsidRPr="00000000">
              <w:rPr>
                <w:color w:val="1155cc"/>
                <w:u w:val="single"/>
                <w:rtl w:val="0"/>
              </w:rPr>
              <w:t xml:space="preserve">D. Akerberg and K. Mossberg, "A versatile active RC building block with inherent compensation for the finite bandwidth of the amplifier," in IEEE Transactions on Circuits and Systems, vol. 21, no. 1, pp. 75-78, January 1974, doi: 10.1109/TCS.1974.1083785.</w:t>
            </w:r>
          </w:hyperlink>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jc w:val="center"/>
            <w:rPr/>
          </w:pPr>
          <w:r w:rsidDel="00000000" w:rsidR="00000000" w:rsidRPr="00000000">
            <w:rPr/>
            <w:drawing>
              <wp:inline distB="114300" distT="114300" distL="114300" distR="114300">
                <wp:extent cx="5580225" cy="2755788"/>
                <wp:effectExtent b="0" l="0" r="0" t="0"/>
                <wp:docPr id="8" name="image4.png"/>
                <a:graphic>
                  <a:graphicData uri="http://schemas.openxmlformats.org/drawingml/2006/picture">
                    <pic:pic>
                      <pic:nvPicPr>
                        <pic:cNvPr id="0" name="image4.png"/>
                        <pic:cNvPicPr preferRelativeResize="0"/>
                      </pic:nvPicPr>
                      <pic:blipFill>
                        <a:blip r:embed="rId15"/>
                        <a:srcRect b="0" l="5481" r="0" t="0"/>
                        <a:stretch>
                          <a:fillRect/>
                        </a:stretch>
                      </pic:blipFill>
                      <pic:spPr>
                        <a:xfrm>
                          <a:off x="0" y="0"/>
                          <a:ext cx="5580225" cy="27557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bf0y3gchml2r" w:id="19"/>
          <w:bookmarkEnd w:id="19"/>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pageBreakBefore w:val="0"/>
            <w:rPr/>
          </w:pPr>
          <w:bookmarkStart w:colFirst="0" w:colLast="0" w:name="_d4gmtjnag6ju" w:id="20"/>
          <w:bookmarkEnd w:id="20"/>
          <w:r w:rsidDel="00000000" w:rsidR="00000000" w:rsidRPr="00000000">
            <w:rPr>
              <w:rtl w:val="0"/>
            </w:rPr>
            <w:t xml:space="preserve">Variable de Estado / Tow-Thomas / Kerwin–Huelsman–Newcomb (KHN)</w:t>
          </w:r>
        </w:p>
        <w:p w:rsidR="00000000" w:rsidDel="00000000" w:rsidP="00000000" w:rsidRDefault="00000000" w:rsidRPr="00000000" w14:paraId="0000003A">
          <w:pPr>
            <w:pageBreakBefore w:val="0"/>
            <w:rPr/>
          </w:pPr>
          <w:hyperlink r:id="rId16">
            <w:r w:rsidDel="00000000" w:rsidR="00000000" w:rsidRPr="00000000">
              <w:rPr>
                <w:color w:val="1155cc"/>
                <w:u w:val="single"/>
                <w:rtl w:val="0"/>
              </w:rPr>
              <w:t xml:space="preserve">W. J. Kerwin, L. P. Huelsman and R. W. Newcomb, "State-Variable Synthesis for Insensitive Integrated Circuit Transfer Functions," in IEEE Journal of Solid-State Circuits, vol. 2, no. 3, pp. 87-92, Sept. 1967, doi: 10.1109/JSSC.1967.1049798.</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hyperlink r:id="rId17">
            <w:r w:rsidDel="00000000" w:rsidR="00000000" w:rsidRPr="00000000">
              <w:rPr>
                <w:color w:val="1155cc"/>
                <w:u w:val="single"/>
                <w:rtl w:val="0"/>
              </w:rPr>
              <w:t xml:space="preserve">State Variable Filters by Hank Zumbahlen, Analog Devices, Inc.</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5731200" cy="27305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ywnmgeof20o7" w:id="21"/>
          <w:bookmarkEnd w:id="2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ageBreakBefore w:val="0"/>
            <w:rPr/>
          </w:pPr>
          <w:bookmarkStart w:colFirst="0" w:colLast="0" w:name="_82h2spgfy734" w:id="22"/>
          <w:bookmarkEnd w:id="22"/>
          <w:r w:rsidDel="00000000" w:rsidR="00000000" w:rsidRPr="00000000">
            <w:rPr>
              <w:rtl w:val="0"/>
            </w:rPr>
            <w:t xml:space="preserve">Estructuras con OTAs</w:t>
          </w:r>
        </w:p>
        <w:p w:rsidR="00000000" w:rsidDel="00000000" w:rsidP="00000000" w:rsidRDefault="00000000" w:rsidRPr="00000000" w14:paraId="00000041">
          <w:pPr>
            <w:pStyle w:val="Heading2"/>
            <w:pageBreakBefore w:val="0"/>
            <w:rPr/>
          </w:pPr>
          <w:bookmarkStart w:colFirst="0" w:colLast="0" w:name="_xbvzkt5ohv4a" w:id="23"/>
          <w:bookmarkEnd w:id="23"/>
          <w:r w:rsidDel="00000000" w:rsidR="00000000" w:rsidRPr="00000000">
            <w:rPr>
              <w:rtl w:val="0"/>
            </w:rPr>
            <w:t xml:space="preserve">Filtro de segundo orden bicuadrático y canónico</w:t>
          </w:r>
        </w:p>
        <w:p w:rsidR="00000000" w:rsidDel="00000000" w:rsidP="00000000" w:rsidRDefault="00000000" w:rsidRPr="00000000" w14:paraId="00000042">
          <w:pPr>
            <w:pageBreakBefore w:val="0"/>
            <w:rPr/>
          </w:pPr>
          <w:hyperlink r:id="rId19">
            <w:r w:rsidDel="00000000" w:rsidR="00000000" w:rsidRPr="00000000">
              <w:rPr>
                <w:color w:val="1155cc"/>
                <w:u w:val="single"/>
                <w:rtl w:val="0"/>
              </w:rPr>
              <w:t xml:space="preserve">R. L. Geiger and E. Sánchez-Sinencio, "Active filter design using operational transconductance amplifiers: A tutorial," in IEEE Circuits and Devices Magazine, vol. 1, no. 2, pp. 20-32, March 1985, doi: 10.1109/MCD.1985.6311946.</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sz w:val="34"/>
              <w:szCs w:val="34"/>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3613066" cy="2666938"/>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613066" cy="2666938"/>
                        </a:xfrm>
                        <a:prstGeom prst="rect"/>
                        <a:ln/>
                      </pic:spPr>
                    </pic:pic>
                  </a:graphicData>
                </a:graphic>
              </wp:inline>
            </w:drawing>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jc w:val="center"/>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spacing w:line="240" w:lineRule="auto"/>
      <w:ind w:left="4320" w:firstLine="720"/>
      <w:jc w:val="center"/>
      <w:rPr/>
    </w:pPr>
    <w:r w:rsidDel="00000000" w:rsidR="00000000" w:rsidRPr="00000000">
      <w:rPr/>
      <w:drawing>
        <wp:inline distB="114300" distT="114300" distL="114300" distR="114300">
          <wp:extent cx="1836900" cy="661566"/>
          <wp:effectExtent b="0" l="0" r="0" t="0"/>
          <wp:docPr descr="imagen de la UTN" id="4" name="image3.jpg"/>
          <a:graphic>
            <a:graphicData uri="http://schemas.openxmlformats.org/drawingml/2006/picture">
              <pic:pic>
                <pic:nvPicPr>
                  <pic:cNvPr descr="imagen de la UTN" id="0" name="image3.jpg"/>
                  <pic:cNvPicPr preferRelativeResize="0"/>
                </pic:nvPicPr>
                <pic:blipFill>
                  <a:blip r:embed="rId1"/>
                  <a:srcRect b="0" l="0" r="0" t="0"/>
                  <a:stretch>
                    <a:fillRect/>
                  </a:stretch>
                </pic:blipFill>
                <pic:spPr>
                  <a:xfrm>
                    <a:off x="0" y="0"/>
                    <a:ext cx="1836900" cy="661566"/>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22" Type="http://schemas.openxmlformats.org/officeDocument/2006/relationships/header" Target="header2.xml"/><Relationship Id="rId10" Type="http://schemas.openxmlformats.org/officeDocument/2006/relationships/hyperlink" Target="https://drive.google.com/file/d/1lhCaylBJyXR7npror3HkfaOLDCaJSOJc/view?usp=sharing" TargetMode="External"/><Relationship Id="rId21" Type="http://schemas.openxmlformats.org/officeDocument/2006/relationships/header" Target="header1.xml"/><Relationship Id="rId13" Type="http://schemas.openxmlformats.org/officeDocument/2006/relationships/image" Target="media/image8.png"/><Relationship Id="rId24" Type="http://schemas.openxmlformats.org/officeDocument/2006/relationships/footer" Target="footer2.xml"/><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hyperlink" Target="https://drive.google.com/file/d/1DgYNdDxkD1G-SLqivdPte2moQALQGp-Q/view?usp=sharing" TargetMode="External"/><Relationship Id="rId17" Type="http://schemas.openxmlformats.org/officeDocument/2006/relationships/hyperlink" Target="https://www.analog.com/media/en/training-seminars/tutorials/MT-223.pdf" TargetMode="External"/><Relationship Id="rId16" Type="http://schemas.openxmlformats.org/officeDocument/2006/relationships/hyperlink" Target="https://drive.google.com/file/d/1mhd0UNjekYjZbYfCN70e0I0dr-CDZGeZ/view?usp=sharing" TargetMode="External"/><Relationship Id="rId5" Type="http://schemas.openxmlformats.org/officeDocument/2006/relationships/styles" Target="styles.xml"/><Relationship Id="rId19" Type="http://schemas.openxmlformats.org/officeDocument/2006/relationships/hyperlink" Target="https://drive.google.com/file/d/1urMpo0R047UCKFx9proeLOiCuw8gfg_0/view?usp=sharing" TargetMode="External"/><Relationship Id="rId6" Type="http://schemas.openxmlformats.org/officeDocument/2006/relationships/hyperlink" Target="https://drive.google.com/file/d/1M8G09YDL0DXx2vKdzL8nLRxlM77LZ7xe/view?usp=sharing" TargetMode="External"/><Relationship Id="rId18" Type="http://schemas.openxmlformats.org/officeDocument/2006/relationships/image" Target="media/image9.png"/><Relationship Id="rId7" Type="http://schemas.openxmlformats.org/officeDocument/2006/relationships/hyperlink" Target="https://www.ti.com/lit/an/sloa024b/sloa024b.pdf"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