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904F" w14:textId="77777777" w:rsidR="001B149B" w:rsidRDefault="0088205F">
      <w:pPr>
        <w:pStyle w:val="Title"/>
        <w:spacing w:before="0" w:after="100" w:line="240" w:lineRule="auto"/>
      </w:pPr>
      <w:r>
        <w:t>Developer compensation and statistical uncertainty</w:t>
      </w:r>
    </w:p>
    <w:p w14:paraId="136206FC" w14:textId="2770F26E" w:rsidR="001B149B" w:rsidRDefault="0088205F">
      <w:pPr>
        <w:spacing w:after="100" w:before="0" w:line="240" w:lineRule="auto"/>
      </w:pPr>
      <w:r>
        <w:t xml:space="preserve">MIE1624 · Assignment 1 | Julian Peinado · 1012953314 </w:t>
      </w:r>
      <w:r>
        <w:br/>
        <w:t>Introduction to Data Science, Analytics, and AI · Fall 2026</w:t>
      </w:r>
    </w:p>
    <w:p w14:paraId="32B2B4AF" w14:textId="77777777" w:rsidR="00464BA4" w:rsidRDefault="00F35D48">
      <w:pPr>
        <w:pStyle w:val="Heading1"/>
        <w:spacing w:before="0" w:after="100" w:line="240" w:lineRule="auto"/>
      </w:pPr>
      <w:bookmarkStart w:id="0" w:name="_Toc242728298"/>
      <w:r>
        <w:t>Q1 Exploratory data analysis</w:t>
      </w:r>
      <w:bookmarkEnd w:id="0"/>
    </w:p>
    <w:p w14:paraId="0CCA6DD3" w14:textId="77777777" w:rsidR="00464BA4" w:rsidRDefault="00F35D48">
      <w:pPr>
        <w:spacing w:before="0" w:after="100" w:line="240" w:lineRule="auto"/>
      </w:pPr>
      <w:r>
        <w:t>How does developer pay vary with work arrangement and education? In the selected sample, remote respondents earn more at both the mean and median, while US/Canada degree groups differ in average pay. The question is how robust these patterns are to salary extremes and statistical uncertainty.</w:t>
      </w:r>
    </w:p>
    <w:p>
      <w:pPr>
        <w:pStyle w:val="Heading2"/>
        <w:spacing w:before="0" w:after="100" w:line="240" w:lineRule="auto"/>
      </w:pPr>
      <w:r>
        <w:t>Study Population and Sample Selection Criteria</w:t>
      </w:r>
    </w:p>
    <w:p>
      <w:pPr>
        <w:spacing w:before="0" w:after="100" w:line="240" w:lineRule="auto"/>
      </w:pPr>
      <w:r>
        <w:t>To focus the study on workforce participation, I exclude DevType = “Retired” and recorded Age &gt;80 before all analyses. These researcher-defined scope decisions reflect engineering judgment, not data cleaning or evidence that older people are outliers; age 80 remains eligible. Of 20,407 original rows, 2 retired and 93 older respondents are excluded, with no overlap, leaving 20,312. Both retired records also say Employed, so the explicit DevType classification governs. Retirement exclusion does not establish active employment: 321 students and 58 respondents marked Not employed remain. Supplementary paid-work responses support self-reported participation, not independent verification. The 10 missing ages remain outside the age plot, so the ceiling cannot be verified for every respondent.</w:t>
      </w:r>
    </w:p>
    <w:p w14:paraId="4CE3FFBC" w14:textId="0848C390" w:rsidR="00464BA4" w:rsidRDefault="00F35D48">
      <w:pPr>
        <w:spacing w:before="0" w:after="100" w:line="240" w:lineRule="auto"/>
      </w:pPr>
      <w:r>
        <w:t>Within this population, satisfaction analysis omits 3,428 missing ratings and one value of 60, using a working scale of 0–10. Each row has one supplied job category. All eligible salary extremes remain in the primary analyses.</w:t>
      </w:r>
    </w:p>
    <w:p w14:paraId="61D69F18" w14:textId="77777777" w:rsidR="00464BA4" w:rsidRDefault="00F35D48">
      <w:pPr>
        <w:keepNext/>
        <w:spacing w:after="100" w:before="0" w:line="240" w:lineRule="auto"/>
      </w:pPr>
      <w:r>
        <w:drawing>
          <wp:inline xmlns:a="http://schemas.openxmlformats.org/drawingml/2006/main" xmlns:pic="http://schemas.openxmlformats.org/drawingml/2006/picture">
            <wp:extent cx="5943600" cy="1554480"/>
            <wp:docPr id="6" name="Picture 6"/>
            <wp:cNvGraphicFramePr>
              <a:graphicFrameLocks noChangeAspect="1"/>
            </wp:cNvGraphicFramePr>
            <a:graphic>
              <a:graphicData uri="http://schemas.openxmlformats.org/drawingml/2006/picture">
                <pic:pic>
                  <pic:nvPicPr>
                    <pic:cNvPr id="0" name="eda.png"/>
                    <pic:cNvPicPr/>
                  </pic:nvPicPr>
                  <pic:blipFill>
                    <a:blip r:embed="rId20"/>
                    <a:stretch>
                      <a:fillRect/>
                    </a:stretch>
                  </pic:blipFill>
                  <pic:spPr>
                    <a:xfrm>
                      <a:off x="0" y="0"/>
                      <a:ext cx="5943600" cy="1554480"/>
                    </a:xfrm>
                    <a:prstGeom prst="rect"/>
                  </pic:spPr>
                </pic:pic>
              </a:graphicData>
            </a:graphic>
          </wp:inline>
        </w:drawing>
      </w:r>
    </w:p>
    <w:p w14:paraId="01A246B8" w14:textId="46AA39FE" w:rsidR="00464BA4" w:rsidRDefault="00F35D48">
      <w:pPr>
        <w:pStyle w:val="Caption"/>
        <w:spacing w:before="0" w:after="100" w:line="240" w:lineRule="auto"/>
      </w:pPr>
      <w:r>
        <w:t>Figures 1–2 show the lowest two and highest three means; the notebook covers all 31 retained titles. Senior executives lead satisfaction (8.12/10, n=168). Financial analysts/engineers average $501,248 (n=46), against a median of $87,248.50: an immediate warning that a high mean can reflect a small upper tail.</w:t>
      </w:r>
    </w:p>
    <w:p w14:paraId="497FC301" w14:textId="77777777" w:rsidR="00464BA4" w:rsidRDefault="00F35D48">
      <w:pPr>
        <w:keepNext/>
        <w:spacing w:after="100" w:before="0" w:line="240" w:lineRule="auto"/>
      </w:pPr>
      <w:r>
        <w:drawing>
          <wp:inline xmlns:a="http://schemas.openxmlformats.org/drawingml/2006/main" xmlns:pic="http://schemas.openxmlformats.org/drawingml/2006/picture">
            <wp:extent cx="5943600" cy="1143000"/>
            <wp:docPr id="7" name="Picture 7"/>
            <wp:cNvGraphicFramePr>
              <a:graphicFrameLocks noChangeAspect="1"/>
            </wp:cNvGraphicFramePr>
            <a:graphic>
              <a:graphicData uri="http://schemas.openxmlformats.org/drawingml/2006/picture">
                <pic:pic>
                  <pic:nvPicPr>
                    <pic:cNvPr id="0" name="age.png"/>
                    <pic:cNvPicPr/>
                  </pic:nvPicPr>
                  <pic:blipFill>
                    <a:blip r:embed="rId21"/>
                    <a:stretch>
                      <a:fillRect/>
                    </a:stretch>
                  </pic:blipFill>
                  <pic:spPr>
                    <a:xfrm>
                      <a:off x="0" y="0"/>
                      <a:ext cx="5943600" cy="1143000"/>
                    </a:xfrm>
                    <a:prstGeom prst="rect"/>
                  </pic:spPr>
                </pic:pic>
              </a:graphicData>
            </a:graphic>
          </wp:inline>
        </w:drawing>
      </w:r>
    </w:p>
    <w:p w14:paraId="4568E61D" w14:textId="77777777" w:rsidR="00464BA4" w:rsidRDefault="00F35D48">
      <w:pPr>
        <w:pStyle w:val="Caption"/>
        <w:spacing w:before="0" w:after="100" w:line="240" w:lineRule="auto"/>
      </w:pPr>
      <w:r>
        <w:t>Figure 3 retains salaries from $102 to $33.55 million on a log axis. Three recorded ages below 15 remain flagged in the notebook; their validity and the age-cleaning history are uncertain. These diagnostics cause no further salary exclusions.</w:t>
      </w:r>
    </w:p>
    <w:p w14:paraId="6450C94A" w14:textId="77777777" w:rsidR="00464BA4" w:rsidRDefault="00F35D48">
      <w:pPr>
        <w:pStyle w:val="Heading1"/>
        <w:pageBreakBefore/>
        <w:spacing w:before="0" w:after="100" w:line="240" w:lineRule="auto"/>
      </w:pPr>
      <w:bookmarkStart w:id="1" w:name="_Toc242728299"/>
      <w:r>
        <w:lastRenderedPageBreak/>
        <w:t>Q2 Hybrid and remote salaries</w:t>
      </w:r>
      <w:bookmarkEnd w:id="1"/>
    </w:p>
    <w:p w14:paraId="0A470529" w14:textId="77777777" w:rsidR="00464BA4" w:rsidRDefault="00F35D48">
      <w:pPr>
        <w:pStyle w:val="Heading2"/>
        <w:spacing w:before="0" w:after="100" w:line="240" w:lineRule="auto"/>
      </w:pPr>
      <w:bookmarkStart w:id="2" w:name="_Toc242728300"/>
      <w:r>
        <w:t>Q2(a): Descriptive statistics and outliers</w:t>
      </w:r>
      <w:bookmarkEnd w:id="2"/>
    </w:p>
    <w:p w14:paraId="619DB13C" w14:textId="77777777" w:rsidR="00464BA4" w:rsidRDefault="00F35D48">
      <w:pPr>
        <w:spacing w:before="0" w:after="100" w:line="240" w:lineRule="auto"/>
      </w:pPr>
      <w:r>
        <w:t>The first comparison asks whether work arrangement is associated with pay. Exact labels Remote and Hybrid retain 14,664 respondents; 5,648 other eligible respondents are outside Q2. Positive Remote − Hybrid differences indicate higher remote pay.</w:t>
      </w:r>
    </w:p>
    <w:p w14:paraId="79A5459A" w14:textId="77777777" w:rsidR="00464BA4" w:rsidRDefault="00F35D48">
      <w:pPr>
        <w:pStyle w:val="Caption"/>
        <w:spacing w:before="0" w:after="100" w:line="240" w:lineRule="auto"/>
      </w:pPr>
      <w:r>
        <w:t>Table 1. Original salaries. SD describes individual salary dispersion; all amounts are USD.</w:t>
      </w:r>
    </w:p>
    <w:tbl>
      <w:tblPr>
        <w:tblW w:w="0" w:type="auto"/>
        <w:tblLayout w:type="fixed"/>
        <w:tblLook w:val="04A0" w:firstRow="1" w:lastRow="0" w:firstColumn="1" w:lastColumn="0" w:noHBand="0" w:noVBand="1"/>
      </w:tblPr>
      <w:tblGrid>
        <w:gridCol w:w="1152"/>
        <w:gridCol w:w="936"/>
        <w:gridCol w:w="2448"/>
        <w:gridCol w:w="2304"/>
        <w:gridCol w:w="2520"/>
      </w:tblGrid>
      <w:tr w:rsidR="00464BA4" w14:paraId="4052FEDD" w14:textId="77777777">
        <w:trPr>
          <w:cantSplit/>
          <w:tblHeader/>
        </w:trPr>
        <w:tc>
          <w:tcPr>
            <w:tcW w:w="115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46C19FB" w14:textId="77777777" w:rsidR="00464BA4" w:rsidRDefault="00F35D48">
            <w:pPr>
              <w:spacing w:after="60" w:before="60"/>
            </w:pPr>
            <w:r>
              <w:rPr>
                <w:b/>
                <w:sz w:val="18"/>
              </w:rPr>
              <w:t>Group</w:t>
            </w:r>
          </w:p>
        </w:tc>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22DA7E5" w14:textId="77777777" w:rsidR="00464BA4" w:rsidRDefault="00F35D48">
            <w:pPr>
              <w:spacing w:after="60" w:before="60"/>
            </w:pPr>
            <w:r>
              <w:rPr>
                <w:b/>
                <w:sz w:val="18"/>
              </w:rPr>
              <w:t>n</w:t>
            </w:r>
          </w:p>
        </w:tc>
        <w:tc>
          <w:tcPr>
            <w:tcW w:w="244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C8EE3BE" w14:textId="77777777" w:rsidR="00464BA4" w:rsidRDefault="00F35D48">
            <w:pPr>
              <w:spacing w:after="60" w:before="60"/>
            </w:pPr>
            <w:r>
              <w:rPr>
                <w:b/>
                <w:sz w:val="18"/>
              </w:rPr>
              <w:t>Mean</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0C3CAE9" w14:textId="77777777" w:rsidR="00464BA4" w:rsidRDefault="00F35D48">
            <w:pPr>
              <w:spacing w:after="60" w:before="60"/>
            </w:pPr>
            <w:r>
              <w:rPr>
                <w:b/>
                <w:sz w:val="18"/>
              </w:rPr>
              <w:t>Median</w:t>
            </w:r>
          </w:p>
        </w:tc>
        <w:tc>
          <w:tcPr>
            <w:tcW w:w="2520"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24C3327" w14:textId="77777777" w:rsidR="00464BA4" w:rsidRDefault="00F35D48">
            <w:pPr>
              <w:spacing w:after="60" w:before="60"/>
            </w:pPr>
            <w:r>
              <w:rPr>
                <w:b/>
                <w:sz w:val="18"/>
              </w:rPr>
              <w:t>SD</w:t>
            </w:r>
          </w:p>
        </w:tc>
      </w:tr>
      <w:tr w:rsidR="00464BA4" w14:paraId="244B07DE" w14:textId="77777777">
        <w:trPr>
          <w:cantSplit/>
        </w:trPr>
        <w:tc>
          <w:tcPr>
            <w:tcW w:w="115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Remote</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6,888</w:t>
            </w:r>
          </w:p>
        </w:tc>
        <w:tc>
          <w:tcPr>
            <w:tcW w:w="244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118,666.90</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90,491.00</w:t>
            </w:r>
          </w:p>
        </w:tc>
        <w:tc>
          <w:tcPr>
            <w:tcW w:w="25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444,251.01</w:t>
            </w:r>
          </w:p>
        </w:tc>
      </w:tr>
      <w:tr w:rsidR="00464BA4" w14:paraId="16470B0B" w14:textId="77777777">
        <w:trPr>
          <w:cantSplit/>
        </w:trPr>
        <w:tc>
          <w:tcPr>
            <w:tcW w:w="115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Hybrid</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7,776</w:t>
            </w:r>
          </w:p>
        </w:tc>
        <w:tc>
          <w:tcPr>
            <w:tcW w:w="244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101,422.99</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77,730.00</w:t>
            </w:r>
          </w:p>
        </w:tc>
        <w:tc>
          <w:tcPr>
            <w:tcW w:w="25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346,625.92</w:t>
            </w:r>
          </w:p>
        </w:tc>
      </w:tr>
    </w:tbl>
    <w:p w14:paraId="3E7F6403" w14:textId="77777777" w:rsidR="00464BA4" w:rsidRDefault="00F35D48">
      <w:pPr>
        <w:spacing w:before="0" w:after="100" w:line="240" w:lineRule="auto"/>
      </w:pPr>
      <w:r>
        <w:t>The middle half of salaries spans $47,566.00–$150,000.00 for Remote and $47,492.25–$116,015.00 for Hybrid. Minimum values are $102.00 and $104.00.</w:t>
      </w:r>
    </w:p>
    <w:p w14:paraId="382C97B7" w14:textId="77777777" w:rsidR="00464BA4" w:rsidRDefault="00F35D48">
      <w:pPr>
        <w:spacing w:before="0" w:after="100" w:line="240" w:lineRule="auto"/>
      </w:pPr>
      <w:r>
        <w:t>The largest Hybrid and Remote salaries are $18,387,548.00 and $33,552,715.00, contributing 2.33% and 4.10% of their group salary totals. Size alone does not establish an error, so these remain in the selected population.</w:t>
      </w:r>
    </w:p>
    <w:p w14:paraId="21C50C0B" w14:textId="77777777" w:rsidR="00464BA4" w:rsidRDefault="00F35D48">
      <w:pPr>
        <w:spacing w:before="0" w:after="100" w:line="240" w:lineRule="auto"/>
      </w:pPr>
      <w:r>
        <w:t>A separate sensitivity check uses each group’s Q1 − 1.5×IQR and Q3 + 1.5×IQR fences. Upper limits are $303,651.00 and $218,799.12; both lower limits are negative. It removes 204 and 400, leaving 6,684 and 7,376. Means become $98,554.14 and $79,849.19; the gap is $18,704.95 (pooled p=2.364e-79). These truncated distributions answer a different question; the primary analyses retain salary extremes.</w:t>
      </w:r>
    </w:p>
    <w:p w14:paraId="1F6BBD31" w14:textId="77777777" w:rsidR="00464BA4" w:rsidRDefault="00F35D48">
      <w:pPr>
        <w:pStyle w:val="Heading2"/>
        <w:spacing w:before="0" w:after="100" w:line="240" w:lineRule="auto"/>
      </w:pPr>
      <w:bookmarkStart w:id="3" w:name="_Toc242728301"/>
      <w:r>
        <w:t>Q2(b): Two-sided pooled t-test</w:t>
      </w:r>
      <w:bookmarkEnd w:id="3"/>
    </w:p>
    <w:p w14:paraId="0345C750" w14:textId="77777777" w:rsidR="00464BA4" w:rsidRDefault="00F35D48">
      <w:pPr>
        <w:spacing w:before="0" w:after="100" w:line="240" w:lineRule="auto"/>
      </w:pPr>
      <w:r>
        <w:t>Is the mean gap consistent with equal population means? I test H₀: μR − μH = 0 against H₁: μR − μH ≠ 0 at α=0.05. Sample variances, using n−1, are 197,358,671,571.47 and 120,149,529,197.14 USD². The pooled calculation is:</w:t>
      </w:r>
    </w:p>
    <w:p w14:paraId="26FBF89E" w14:textId="77777777" w:rsidR="00464BA4" w:rsidRDefault="00F35D48">
      <w:pPr>
        <w:spacing w:before="0" w:after="100" w:line="240" w:lineRule="auto"/>
      </w:pPr>
      <m:oMathPara>
        <m:oMath>
          <m:r>
            <w:rPr>
              <w:rFonts w:ascii="Cambria Math" w:hAnsi="Cambria Math"/>
            </w:rPr>
            <m:t>sₚ² = [(nR - 1)sR² + (nH - 1)sH²] / (nR + nH - 2)</m:t>
          </m:r>
        </m:oMath>
      </m:oMathPara>
    </w:p>
    <w:p w14:paraId="2B7D93DA" w14:textId="77777777" w:rsidR="00464BA4" w:rsidRDefault="00F35D48">
      <w:pPr>
        <w:spacing w:before="0" w:after="100" w:line="240" w:lineRule="auto"/>
      </w:pPr>
      <m:oMathPara>
        <m:oMath>
          <m:r>
            <w:rPr>
              <w:rFonts w:ascii="Cambria Math" w:hAnsi="Cambria Math"/>
            </w:rPr>
            <m:t>SE = sₚ√(1/nR + 1/nH);   t = (x̄R - x̄H) / SE</m:t>
          </m:r>
        </m:oMath>
      </m:oMathPara>
    </w:p>
    <w:p w14:paraId="0B9DE37F" w14:textId="77777777" w:rsidR="00464BA4" w:rsidRDefault="00F35D48">
      <w:pPr>
        <w:spacing w:before="0" w:after="100" w:line="240" w:lineRule="auto"/>
      </w:pPr>
      <w:r>
        <w:t>Here n is group size, x̄ the mean, s² sample variance and sₚ pooled SD. Results are sₚ=$395,494.83 and SE=$6,543.99. SE describes uncertainty in the gap; SD describes variation between individuals.</w:t>
      </w:r>
    </w:p>
    <w:p w14:paraId="432D35AF" w14:textId="77777777" w:rsidR="00464BA4" w:rsidRDefault="00F35D48">
      <w:pPr>
        <w:pStyle w:val="Caption"/>
        <w:spacing w:before="0" w:after="100" w:line="240" w:lineRule="auto"/>
      </w:pPr>
      <w:r>
        <w:t>Table 2. Original-data tests of Remote − Hybrid.</w:t>
      </w:r>
    </w:p>
    <w:tbl>
      <w:tblPr>
        <w:tblW w:w="0" w:type="auto"/>
        <w:tblLayout w:type="fixed"/>
        <w:tblLook w:val="04A0" w:firstRow="1" w:lastRow="0" w:firstColumn="1" w:lastColumn="0" w:noHBand="0" w:noVBand="1"/>
      </w:tblPr>
      <w:tblGrid>
        <w:gridCol w:w="3168"/>
        <w:gridCol w:w="1728"/>
        <w:gridCol w:w="2304"/>
        <w:gridCol w:w="2160"/>
      </w:tblGrid>
      <w:tr w:rsidR="00464BA4" w14:paraId="1B78B364" w14:textId="77777777">
        <w:trPr>
          <w:cantSplit/>
          <w:tblHeader/>
        </w:trPr>
        <w:tc>
          <w:tcPr>
            <w:tcW w:w="316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8715D68" w14:textId="77777777" w:rsidR="00464BA4" w:rsidRDefault="00F35D48">
            <w:pPr>
              <w:spacing w:after="60" w:before="60"/>
            </w:pPr>
            <w:r>
              <w:rPr>
                <w:b/>
                <w:sz w:val="18"/>
              </w:rPr>
              <w:t>Method</w:t>
            </w:r>
          </w:p>
        </w:tc>
        <w:tc>
          <w:tcPr>
            <w:tcW w:w="172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701928A8" w14:textId="77777777" w:rsidR="00464BA4" w:rsidRDefault="00F35D48">
            <w:pPr>
              <w:spacing w:after="60" w:before="60"/>
            </w:pPr>
            <w:r>
              <w:rPr>
                <w:b/>
                <w:sz w:val="18"/>
              </w:rPr>
              <w:t>t</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1039B8FC" w14:textId="77777777" w:rsidR="00464BA4" w:rsidRDefault="00F35D48">
            <w:pPr>
              <w:spacing w:after="60" w:before="60"/>
            </w:pPr>
            <w:proofErr w:type="spellStart"/>
            <w:r>
              <w:rPr>
                <w:b/>
                <w:sz w:val="18"/>
              </w:rPr>
              <w:t>df</w:t>
            </w:r>
            <w:proofErr w:type="spellEnd"/>
          </w:p>
        </w:tc>
        <w:tc>
          <w:tcPr>
            <w:tcW w:w="2160"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117A4A15" w14:textId="77777777" w:rsidR="00464BA4" w:rsidRDefault="00F35D48">
            <w:pPr>
              <w:spacing w:after="60" w:before="60"/>
            </w:pPr>
            <w:r>
              <w:rPr>
                <w:b/>
                <w:sz w:val="18"/>
              </w:rPr>
              <w:t>Two-sided p</w:t>
            </w:r>
          </w:p>
        </w:tc>
      </w:tr>
      <w:tr w:rsidR="00464BA4" w14:paraId="5D75E1D9"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Manual pooled</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2.63508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14,662</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0.008421</w:t>
            </w:r>
          </w:p>
        </w:tc>
      </w:tr>
      <w:tr w:rsidR="00464BA4" w14:paraId="6988C8E7"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SciPy pooled</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2.63508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14,662</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0.008421</w:t>
            </w:r>
          </w:p>
        </w:tc>
      </w:tr>
      <w:tr w:rsidR="00464BA4" w14:paraId="12FD0B8F" w14:textId="77777777">
        <w:trPr>
          <w:cantSplit/>
        </w:trPr>
        <w:tc>
          <w:tcPr>
            <w:tcW w:w="31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Welch supplement</w:t>
            </w:r>
          </w:p>
        </w:tc>
        <w:tc>
          <w:tcPr>
            <w:tcW w:w="172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2.59655</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12,975.28</w:t>
            </w:r>
          </w:p>
        </w:tc>
        <w:tc>
          <w:tcPr>
            <w:tcW w:w="216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0.009427</w:t>
            </w:r>
          </w:p>
        </w:tc>
      </w:tr>
    </w:tbl>
    <w:p w14:paraId="10B133C2" w14:textId="77777777" w:rsidR="00464BA4" w:rsidRDefault="00F35D48">
      <w:pPr>
        <w:spacing w:before="0" w:after="100" w:line="240" w:lineRule="auto"/>
      </w:pPr>
      <w:r>
        <w:t>Manual and built-in results agree and reject H₀ at 0.05. The $17,243.91 gap is 17.0% of the Hybrid mean, but this test cannot explain why it exists.</w:t>
      </w:r>
    </w:p>
    <w:p w14:paraId="791B65E6" w14:textId="77777777" w:rsidR="00464BA4" w:rsidRDefault="00F35D48">
      <w:pPr>
        <w:spacing w:before="0" w:after="100" w:line="240" w:lineRule="auto"/>
      </w:pPr>
      <w:r>
        <w:t>Independence is unverified, and skew may weaken normal approximations. The variance ratio is 1.64 (median-centered Levene p=0.01435). Welch’s test allows unequal variances and also rejects. A p-value is not the probability that H₀ is true.</w:t>
      </w:r>
    </w:p>
    <w:p w14:paraId="2B213340" w14:textId="77777777" w:rsidR="00464BA4" w:rsidRDefault="00F35D48">
      <w:pPr>
        <w:pStyle w:val="Heading2"/>
        <w:pageBreakBefore/>
        <w:spacing w:before="0" w:after="100" w:line="240" w:lineRule="auto"/>
      </w:pPr>
      <w:bookmarkStart w:id="4" w:name="_Toc242728302"/>
      <w:r>
        <w:lastRenderedPageBreak/>
        <w:t>Q2(c): Bootstrap analysis</w:t>
      </w:r>
      <w:bookmarkEnd w:id="4"/>
    </w:p>
    <w:p w14:paraId="33B7DA1E" w14:textId="77777777" w:rsidR="00464BA4" w:rsidRDefault="00F35D48">
      <w:pPr>
        <w:spacing w:before="0" w:after="100" w:line="240" w:lineRule="auto"/>
      </w:pPr>
      <w:r>
        <w:t>Bootstrapping offers a second view of uncertainty. Within each group, I resample with replacement, retaining 6,888 Remote and 7,776 Hybrid salaries per draw. With 10,000 replications, seed 16242026 and separate named NumPy streams, the mean SEs are $5,362.02 and $3,890.15; the difference SE is $6,605.63. These describe uncertainty in means, not dispersion between individual salaries.</w:t>
      </w:r>
    </w:p>
    <w:p w14:paraId="2F378FC2" w14:textId="77777777" w:rsidR="00464BA4" w:rsidRDefault="00F35D48">
      <w:pPr>
        <w:keepNext/>
        <w:spacing w:after="100" w:before="0" w:line="240" w:lineRule="auto"/>
      </w:pPr>
      <w:r>
        <w:drawing>
          <wp:inline xmlns:a="http://schemas.openxmlformats.org/drawingml/2006/main" xmlns:pic="http://schemas.openxmlformats.org/drawingml/2006/picture">
            <wp:extent cx="5943600" cy="1737360"/>
            <wp:docPr id="8" name="Picture 8"/>
            <wp:cNvGraphicFramePr>
              <a:graphicFrameLocks noChangeAspect="1"/>
            </wp:cNvGraphicFramePr>
            <a:graphic>
              <a:graphicData uri="http://schemas.openxmlformats.org/drawingml/2006/picture">
                <pic:pic>
                  <pic:nvPicPr>
                    <pic:cNvPr id="0" name="q2.png"/>
                    <pic:cNvPicPr/>
                  </pic:nvPicPr>
                  <pic:blipFill>
                    <a:blip r:embed="rId22"/>
                    <a:stretch>
                      <a:fillRect/>
                    </a:stretch>
                  </pic:blipFill>
                  <pic:spPr>
                    <a:xfrm>
                      <a:off x="0" y="0"/>
                      <a:ext cx="5943600" cy="1737360"/>
                    </a:xfrm>
                    <a:prstGeom prst="rect"/>
                  </pic:spPr>
                </pic:pic>
              </a:graphicData>
            </a:graphic>
          </wp:inline>
        </w:drawing>
      </w:r>
    </w:p>
    <w:p w14:paraId="0192DDAC" w14:textId="77777777" w:rsidR="00464BA4" w:rsidRDefault="00F35D48">
      <w:pPr>
        <w:pStyle w:val="Caption"/>
        <w:spacing w:before="0" w:after="100" w:line="240" w:lineRule="auto"/>
      </w:pPr>
      <w:r>
        <w:t>Figures 4–6 move from bootstrap means to Remote − Hybrid differences and standardized differences. Vertical axes show probability density; Figure 5 marks zero. All simulated ranges are retained.</w:t>
      </w:r>
    </w:p>
    <w:p w14:paraId="7A4EBAF1" w14:textId="77777777" w:rsidR="00464BA4" w:rsidRDefault="00000000">
      <w:pPr>
        <w:spacing w:before="0" w:after="100" w:line="240" w:lineRule="auto"/>
      </w:pPr>
      <m:oMathPara>
        <m:oMath>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R</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H</m:t>
              </m:r>
            </m:sub>
            <m:sup>
              <m:r>
                <w:rPr>
                  <w:rFonts w:ascii="Cambria Math" w:hAnsi="Cambria Math"/>
                </w:rPr>
                <m:t>*</m:t>
              </m:r>
            </m:sup>
          </m:sSubSup>
          <m:r>
            <w:rPr>
              <w:rFonts w:ascii="Cambria Math" w:hAnsi="Cambria Math"/>
            </w:rPr>
            <m:t>;   z = (</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xml:space="preserve"> - mean(</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 / SD(</m:t>
          </m:r>
          <m:sSup>
            <m:sSupPr>
              <m:ctrlPr>
                <w:rPr>
                  <w:rFonts w:ascii="Cambria Math" w:hAnsi="Cambria Math"/>
                </w:rPr>
              </m:ctrlPr>
            </m:sSupPr>
            <m:e>
              <m:r>
                <w:rPr>
                  <w:rFonts w:ascii="Cambria Math" w:hAnsi="Cambria Math"/>
                </w:rPr>
                <m:t>Δ</m:t>
              </m:r>
            </m:e>
            <m:sup>
              <m:r>
                <w:rPr>
                  <w:rFonts w:ascii="Cambria Math" w:hAnsi="Cambria Math"/>
                </w:rPr>
                <m:t>*</m:t>
              </m:r>
            </m:sup>
          </m:sSup>
          <m:r>
            <w:rPr>
              <w:rFonts w:ascii="Cambria Math" w:hAnsi="Cambria Math"/>
            </w:rPr>
            <m:t>)</m:t>
          </m:r>
        </m:oMath>
      </m:oMathPara>
    </w:p>
    <w:p w14:paraId="396696E1" w14:textId="77777777" w:rsidR="00464BA4" w:rsidRDefault="00F35D48">
      <w:pPr>
        <w:spacing w:before="0" w:after="100" w:line="240" w:lineRule="auto"/>
      </w:pPr>
      <w:r>
        <w:t>Figure 6 subtracts the bootstrap mean and divides by the sample SD, using B − 1. Its mean is therefore zero and its SD one. This standardization helps compare shapes but does not impose or test equal population means.</w:t>
      </w:r>
    </w:p>
    <w:p w14:paraId="2FB70756" w14:textId="77777777" w:rsidR="00464BA4" w:rsidRDefault="00F35D48">
      <w:pPr>
        <w:pStyle w:val="Heading2"/>
        <w:spacing w:before="0" w:after="100" w:line="240" w:lineRule="auto"/>
      </w:pPr>
      <w:bookmarkStart w:id="5" w:name="_Toc242728303"/>
      <w:r>
        <w:t>Q2(d): T-test using bootstrapped data</w:t>
      </w:r>
      <w:bookmarkEnd w:id="5"/>
    </w:p>
    <w:p w14:paraId="1BA140AA" w14:textId="77777777" w:rsidR="00464BA4" w:rsidRDefault="00F35D48">
      <w:pPr>
        <w:spacing w:before="0" w:after="100" w:line="240" w:lineRule="auto"/>
      </w:pPr>
      <w:r>
        <w:t>The required pooled t-test on two arrays of 10,000 unshifted bootstrap means gives t=258.685, df=19,998 and p below floating-point resolution. It rejects, but simulations reuse the same respondents. The nominal SE falls as 1/√B; more replications can reduce p without adding population evidence.</w:t>
      </w:r>
    </w:p>
    <w:p w14:paraId="143A8C1B" w14:textId="77777777" w:rsidR="00464BA4" w:rsidRDefault="00F35D48">
      <w:pPr>
        <w:spacing w:before="0" w:after="100" w:line="240" w:lineRule="auto"/>
      </w:pPr>
      <w:r>
        <w:t>For a separate null test, each group is shifted to the combined mean, preserving shape and variance. Resamples retain original sizes and recalculate the pooled SE. Comparing |T₀*|=|(Δ*−Δ̂)/SE*| with |2.63508| yields 50 extreme draws: p=(50+1)/10,001=0.005099. This rejects under an approximate null calibration; empirical tails and simulation error affect the result.</w:t>
      </w:r>
    </w:p>
    <w:p w14:paraId="251DB330" w14:textId="77777777" w:rsidR="00464BA4" w:rsidRDefault="00F35D48">
      <w:pPr>
        <w:pStyle w:val="Heading2"/>
        <w:spacing w:before="0" w:after="100" w:line="240" w:lineRule="auto"/>
      </w:pPr>
      <w:bookmarkStart w:id="6" w:name="_Toc242728304"/>
      <w:r>
        <w:t>Q2(e): Confidence intervals for the mean difference</w:t>
      </w:r>
      <w:bookmarkEnd w:id="6"/>
    </w:p>
    <w:p w14:paraId="7F7007EF" w14:textId="77777777" w:rsidR="00464BA4" w:rsidRDefault="00F35D48">
      <w:pPr>
        <w:pStyle w:val="Caption"/>
        <w:spacing w:before="0" w:after="100" w:line="240" w:lineRule="auto"/>
      </w:pPr>
      <w:r>
        <w:t>Table 3. 95% intervals for Remote − Hybrid (USD).</w:t>
      </w:r>
    </w:p>
    <w:tbl>
      <w:tblPr>
        <w:tblW w:w="0" w:type="auto"/>
        <w:tblLayout w:type="fixed"/>
        <w:tblLook w:val="04A0" w:firstRow="1" w:lastRow="0" w:firstColumn="1" w:lastColumn="0" w:noHBand="0" w:noVBand="1"/>
      </w:tblPr>
      <w:tblGrid>
        <w:gridCol w:w="3312"/>
        <w:gridCol w:w="2016"/>
        <w:gridCol w:w="2016"/>
        <w:gridCol w:w="2016"/>
      </w:tblGrid>
      <w:tr w:rsidR="00464BA4" w14:paraId="11AAF3B9" w14:textId="77777777">
        <w:trPr>
          <w:cantSplit/>
          <w:tblHeader/>
        </w:trPr>
        <w:tc>
          <w:tcPr>
            <w:tcW w:w="331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7ED5151" w14:textId="77777777" w:rsidR="00464BA4" w:rsidRDefault="00F35D48">
            <w:pPr>
              <w:spacing w:after="60" w:before="60"/>
            </w:pPr>
            <w:r>
              <w:rPr>
                <w:b/>
                <w:sz w:val="18"/>
              </w:rPr>
              <w:t>Method</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6553CB6" w14:textId="77777777" w:rsidR="00464BA4" w:rsidRDefault="00F35D48">
            <w:pPr>
              <w:spacing w:after="60" w:before="60"/>
            </w:pPr>
            <w:r>
              <w:rPr>
                <w:b/>
                <w:sz w:val="18"/>
              </w:rPr>
              <w:t>Lower</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7F06D300" w14:textId="77777777" w:rsidR="00464BA4" w:rsidRDefault="00F35D48">
            <w:pPr>
              <w:spacing w:after="60" w:before="60"/>
            </w:pPr>
            <w:r>
              <w:rPr>
                <w:b/>
                <w:sz w:val="18"/>
              </w:rPr>
              <w:t>Upper</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3D9B2BE" w14:textId="77777777" w:rsidR="00464BA4" w:rsidRDefault="00F35D48">
            <w:pPr>
              <w:spacing w:after="60" w:before="60"/>
            </w:pPr>
            <w:r>
              <w:rPr>
                <w:b/>
                <w:sz w:val="18"/>
              </w:rPr>
              <w:t>Width</w:t>
            </w:r>
          </w:p>
        </w:tc>
      </w:tr>
      <w:tr w:rsidR="00464BA4" w14:paraId="44D47717" w14:textId="77777777">
        <w:trPr>
          <w:cantSplit/>
        </w:trPr>
        <w:tc>
          <w:tcPr>
            <w:tcW w:w="331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Pooled t</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4,416.88</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30,070.95</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25,654.07</w:t>
            </w:r>
          </w:p>
        </w:tc>
      </w:tr>
      <w:tr w:rsidR="00464BA4" w14:paraId="28917802" w14:textId="77777777">
        <w:trPr>
          <w:cantSplit/>
        </w:trPr>
        <w:tc>
          <w:tcPr>
            <w:tcW w:w="331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Bootstrap percentile</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5,247.87</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31,125.76</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25,877.88</w:t>
            </w:r>
          </w:p>
        </w:tc>
      </w:tr>
    </w:tbl>
    <w:p w14:paraId="6FB5B8A5" w14:textId="77777777" w:rsidR="00464BA4" w:rsidRDefault="00F35D48">
      <w:pPr>
        <w:spacing w:before="0" w:after="100" w:line="240" w:lineRule="auto"/>
      </w:pPr>
      <w:r>
        <w:t>Both 95% intervals exclude zero, supporting a positive mean gap. The pooled interval is $17,243.91 ± $12,827.04, using t(0.975, 14,662). The bootstrap interval uses the 2.5th and 97.5th percentiles of unshifted differences; it is $223.81 wider and asymmetric. Under their assumptions, these procedures target 95% coverage across repeated samples, not a 95% probability for the fixed population gap. Percentile intervals and t-tests need not always agree.</w:t>
      </w:r>
    </w:p>
    <w:p w14:paraId="29798AF4" w14:textId="77777777" w:rsidR="00464BA4" w:rsidRDefault="00F35D48">
      <w:pPr>
        <w:pStyle w:val="Heading2"/>
        <w:pageBreakBefore/>
        <w:spacing w:before="0" w:after="100" w:line="240" w:lineRule="auto"/>
      </w:pPr>
      <w:bookmarkStart w:id="7" w:name="_Toc242728305"/>
      <w:r>
        <w:lastRenderedPageBreak/>
        <w:t>Q2(f): Median comparison</w:t>
      </w:r>
      <w:bookmarkEnd w:id="7"/>
    </w:p>
    <w:p w14:paraId="36D4739B" w14:textId="77777777" w:rsidR="00464BA4" w:rsidRDefault="00F35D48">
      <w:pPr>
        <w:spacing w:before="0" w:after="100" w:line="240" w:lineRule="auto"/>
      </w:pPr>
      <w:r>
        <w:t>Does the advantage persist for a typical salary? Remote and Hybrid medians are $90,491 and $77,730, a gap of $12,761. Mood’s test counts values above versus at/below the pooled median of $81,870; ties (11 Remote, 5 Hybrid) go below. With Yates correction, χ²(1)=109.1245, p=1.524e-25, rejecting equal medians at 0.05.</w:t>
      </w:r>
    </w:p>
    <w:p w14:paraId="0F63C74B" w14:textId="77777777" w:rsidR="00464BA4" w:rsidRDefault="00F35D48">
      <w:pPr>
        <w:spacing w:before="0" w:after="100" w:line="240" w:lineRule="auto"/>
      </w:pPr>
      <w:r>
        <w:t>I bootstrap the median difference 10,000 times at original group sizes. Shifting each group to the pooled median is equivalent to subtracting the observed gap from each simulated gap. There are 0 extreme absolute null gaps; plus-one p=9.999e-05. The 95% Monte Carlo upper bound is 0.0003688. A zero exceedance count identifies the simulation floor, not a precise population tail probability.</w:t>
      </w:r>
    </w:p>
    <w:p w14:paraId="01E154C1" w14:textId="77777777" w:rsidR="00464BA4" w:rsidRDefault="00F35D48">
      <w:pPr>
        <w:spacing w:before="0" w:after="100" w:line="240" w:lineRule="auto"/>
      </w:pPr>
      <w:r>
        <w:t>The two methods agree on the direction of the result despite measuring evidence differently. Mood’s test uses threshold counts and a chi-square approximation; the bootstrap uses dollar-valued gaps and empirical distributions. Because medians are less sensitive to extremes, this agreement shows that the remote advantage is also present at the center of these samples.</w:t>
      </w:r>
    </w:p>
    <w:p w14:paraId="3C7D0EAF" w14:textId="77777777" w:rsidR="00464BA4" w:rsidRDefault="00F35D48">
      <w:pPr>
        <w:pStyle w:val="Heading1"/>
        <w:spacing w:before="0" w:after="100" w:line="240" w:lineRule="auto"/>
      </w:pPr>
      <w:bookmarkStart w:id="8" w:name="_Toc242728306"/>
      <w:r>
        <w:t>Q3 Education and salary</w:t>
      </w:r>
      <w:bookmarkEnd w:id="8"/>
    </w:p>
    <w:p w14:paraId="24A92D9D" w14:textId="77777777" w:rsidR="00464BA4" w:rsidRDefault="00F35D48">
      <w:pPr>
        <w:pStyle w:val="Heading2"/>
        <w:spacing w:before="0" w:after="100" w:line="240" w:lineRule="auto"/>
      </w:pPr>
      <w:bookmarkStart w:id="9" w:name="_Toc242728307"/>
      <w:r>
        <w:t>Q3(a): Population and descriptive statistics</w:t>
      </w:r>
      <w:bookmarkEnd w:id="9"/>
    </w:p>
    <w:p w14:paraId="0947A8F2" w14:textId="77777777" w:rsidR="00464BA4" w:rsidRDefault="00F35D48">
      <w:pPr>
        <w:spacing w:before="0" w:after="100" w:line="240" w:lineRule="auto"/>
      </w:pPr>
      <w:r>
        <w:t>Education provides a second perspective. The selected sample contains 5,413 US/Canada respondents; exact Bachelor’s, Master’s and Professional degree labels retain 4,316. B, M and P denote these groups below. Professional is used as supplied, without inferring its qualifications. All salaries in these eligible groups remain.</w:t>
      </w:r>
    </w:p>
    <w:p w14:paraId="1D28F547" w14:textId="77777777" w:rsidR="00464BA4" w:rsidRDefault="00F35D48">
      <w:pPr>
        <w:pStyle w:val="Caption"/>
        <w:spacing w:before="0" w:after="100" w:line="240" w:lineRule="auto"/>
      </w:pPr>
      <w:r>
        <w:t>Table 4. US/Canada salaries by degree (USD).</w:t>
      </w:r>
    </w:p>
    <w:tbl>
      <w:tblPr>
        <w:tblW w:w="0" w:type="auto"/>
        <w:tblLayout w:type="fixed"/>
        <w:tblLook w:val="04A0" w:firstRow="1" w:lastRow="0" w:firstColumn="1" w:lastColumn="0" w:noHBand="0" w:noVBand="1"/>
      </w:tblPr>
      <w:tblGrid>
        <w:gridCol w:w="936"/>
        <w:gridCol w:w="936"/>
        <w:gridCol w:w="2592"/>
        <w:gridCol w:w="2304"/>
        <w:gridCol w:w="2592"/>
      </w:tblGrid>
      <w:tr w:rsidR="00464BA4" w14:paraId="4B57E43C" w14:textId="77777777">
        <w:trPr>
          <w:cantSplit/>
          <w:tblHeader/>
        </w:trPr>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7566275" w14:textId="77777777" w:rsidR="00464BA4" w:rsidRDefault="00F35D48">
            <w:pPr>
              <w:spacing w:after="60" w:before="60"/>
            </w:pPr>
            <w:r>
              <w:rPr>
                <w:b/>
                <w:sz w:val="18"/>
              </w:rPr>
              <w:t>Degree</w:t>
            </w:r>
          </w:p>
        </w:tc>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80C0F26" w14:textId="77777777" w:rsidR="00464BA4" w:rsidRDefault="00F35D48">
            <w:pPr>
              <w:spacing w:after="60" w:before="60"/>
            </w:pPr>
            <w:r>
              <w:rPr>
                <w:b/>
                <w:sz w:val="18"/>
              </w:rPr>
              <w:t>n</w:t>
            </w:r>
          </w:p>
        </w:tc>
        <w:tc>
          <w:tcPr>
            <w:tcW w:w="259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1AE0D2E" w14:textId="77777777" w:rsidR="00464BA4" w:rsidRDefault="00F35D48">
            <w:pPr>
              <w:spacing w:after="60" w:before="60"/>
            </w:pPr>
            <w:r>
              <w:rPr>
                <w:b/>
                <w:sz w:val="18"/>
              </w:rPr>
              <w:t>Mean</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D3C7886" w14:textId="77777777" w:rsidR="00464BA4" w:rsidRDefault="00F35D48">
            <w:pPr>
              <w:spacing w:after="60" w:before="60"/>
            </w:pPr>
            <w:r>
              <w:rPr>
                <w:b/>
                <w:sz w:val="18"/>
              </w:rPr>
              <w:t>Median</w:t>
            </w:r>
          </w:p>
        </w:tc>
        <w:tc>
          <w:tcPr>
            <w:tcW w:w="259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43E88C37" w14:textId="77777777" w:rsidR="00464BA4" w:rsidRDefault="00F35D48">
            <w:pPr>
              <w:spacing w:after="60" w:before="60"/>
            </w:pPr>
            <w:r>
              <w:rPr>
                <w:b/>
                <w:sz w:val="18"/>
              </w:rPr>
              <w:t>SD</w:t>
            </w:r>
          </w:p>
        </w:tc>
      </w:tr>
      <w:tr w:rsidR="00464BA4" w14:paraId="00C257A1"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B</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2,954</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161,010.57</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140,000.00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114,048.10</w:t>
            </w:r>
          </w:p>
        </w:tc>
      </w:tr>
      <w:tr w:rsidR="00464BA4" w14:paraId="0C2E70CB"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M</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1,067</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183,133.08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160,000.00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162,860.32</w:t>
            </w:r>
          </w:p>
        </w:tc>
      </w:tr>
      <w:tr w:rsidR="00464BA4" w14:paraId="21A9C701"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P</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295</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199,595.75</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160,000.00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pPr>
              <w:spacing w:after="60" w:before="60"/>
            </w:pPr>
            <w:r>
              <w:rPr>
                <w:sz w:val="18"/>
              </w:rPr>
              <w:t>196,280.64</w:t>
            </w:r>
          </w:p>
        </w:tc>
      </w:tr>
    </w:tbl>
    <w:p w14:paraId="09442ECF" w14:textId="77777777" w:rsidR="00464BA4" w:rsidRDefault="00F35D48">
      <w:pPr>
        <w:spacing w:before="0" w:after="100" w:line="240" w:lineRule="auto"/>
      </w:pPr>
      <w:r>
        <w:t>The degree means rise from B to P, but are they driven by the upper tail? A separate 1.5×IQR sensitivity check flags 151/54/21 salaries, leaving 2,803/1,013/274. Means fall to $142,251.76/$160,662.59/$160,710.76: the P–M gap narrows to just $48.17. Restricted ANOVA remains significant (p=9.382e-16). Thus the broad pattern survives, while the apparent separation of the two higher degree means is sensitive to extreme salaries.</w:t>
      </w:r>
    </w:p>
    <w:p w14:paraId="17C46C94" w14:textId="77777777" w:rsidR="00464BA4" w:rsidRDefault="00F35D48">
      <w:pPr>
        <w:pStyle w:val="Heading2"/>
        <w:spacing w:before="0" w:after="100" w:line="240" w:lineRule="auto"/>
      </w:pPr>
      <w:bookmarkStart w:id="10" w:name="_Toc242728308"/>
      <w:r>
        <w:t>Q3(b): Original-data ANOVA</w:t>
      </w:r>
      <w:bookmarkEnd w:id="10"/>
    </w:p>
    <w:p w14:paraId="65863823" w14:textId="77777777" w:rsidR="00464BA4" w:rsidRDefault="00F35D48">
      <w:pPr>
        <w:spacing w:before="0" w:after="100" w:line="240" w:lineRule="auto"/>
      </w:pPr>
      <w:r>
        <w:t>To test the overall pattern, H₀: μB=μM=μP is compared with the alternative that at least one mean differs. ANOVA gives F(2, 4,313)=18.7362, p=7.909e-09. The exact reference assumes independence, normal errors and equal variances. A variance ratio of 2.96 and Levene p=1.626e-05 warrant caution; Welch ANOVA also rejects, F(2, 682.27)=12.9764, p=2.944e-06. Neither omnibus result identifies significant pairs.</w:t>
      </w:r>
    </w:p>
    <w:p w14:paraId="692496C4" w14:textId="77777777" w:rsidR="00464BA4" w:rsidRDefault="00F35D48">
      <w:pPr>
        <w:pStyle w:val="Heading2"/>
        <w:pageBreakBefore/>
        <w:spacing w:before="0" w:after="100" w:line="240" w:lineRule="auto"/>
      </w:pPr>
      <w:bookmarkStart w:id="11" w:name="_Toc242728309"/>
      <w:r>
        <w:lastRenderedPageBreak/>
        <w:t>Q3(c): Bootstrap means and pairwise differences</w:t>
      </w:r>
      <w:bookmarkEnd w:id="11"/>
    </w:p>
    <w:p w14:paraId="3BB8C74D" w14:textId="77777777" w:rsidR="00464BA4" w:rsidRDefault="00F35D48">
      <w:pPr>
        <w:spacing w:before="0" w:after="100" w:line="240" w:lineRule="auto"/>
      </w:pPr>
      <w:r>
        <w:t>The bootstrap reveals why the degree means have unequal precision. Across 10,000 resamples of sizes 2,954/1,067/295 (B/M/P), mean SEs are $2,100.56/$5,000.74/$11,546.91. The smaller Professional group is much less precise. Separate streams use seed 16242026; shared group draws preserve dependence between contrasts. Observed B−M, B−P and M−P gaps are −$22,122.51, −$38,585.18 and −$16,462.67.</w:t>
      </w:r>
    </w:p>
    <w:p w14:paraId="3AC2B69B" w14:textId="77777777" w:rsidR="00464BA4" w:rsidRDefault="00F35D48">
      <w:pPr>
        <w:keepNext/>
        <w:spacing w:after="100" w:before="0" w:line="240" w:lineRule="auto"/>
      </w:pPr>
      <w:r>
        <w:drawing>
          <wp:inline xmlns:a="http://schemas.openxmlformats.org/drawingml/2006/main" xmlns:pic="http://schemas.openxmlformats.org/drawingml/2006/picture">
            <wp:extent cx="5943600" cy="1737360"/>
            <wp:docPr id="9" name="Picture 9"/>
            <wp:cNvGraphicFramePr>
              <a:graphicFrameLocks noChangeAspect="1"/>
            </wp:cNvGraphicFramePr>
            <a:graphic>
              <a:graphicData uri="http://schemas.openxmlformats.org/drawingml/2006/picture">
                <pic:pic>
                  <pic:nvPicPr>
                    <pic:cNvPr id="0" name="q3.png"/>
                    <pic:cNvPicPr/>
                  </pic:nvPicPr>
                  <pic:blipFill>
                    <a:blip r:embed="rId23"/>
                    <a:stretch>
                      <a:fillRect/>
                    </a:stretch>
                  </pic:blipFill>
                  <pic:spPr>
                    <a:xfrm>
                      <a:off x="0" y="0"/>
                      <a:ext cx="5943600" cy="1737360"/>
                    </a:xfrm>
                    <a:prstGeom prst="rect"/>
                  </pic:spPr>
                </pic:pic>
              </a:graphicData>
            </a:graphic>
          </wp:inline>
        </w:drawing>
      </w:r>
    </w:p>
    <w:p w14:paraId="5AE425C8" w14:textId="77777777" w:rsidR="00464BA4" w:rsidRDefault="00F35D48">
      <w:pPr>
        <w:pStyle w:val="Caption"/>
        <w:spacing w:before="0" w:after="100" w:line="240" w:lineRule="auto"/>
      </w:pPr>
      <w:r>
        <w:t>Figures 7–9 show degree means, pairwise differences and standardized differences as probability densities. Each contrast is centered and scaled using its own bootstrap mean and SD. These plots describe uncertainty; they are neither null distributions nor formal post-hoc tests.</w:t>
      </w:r>
    </w:p>
    <w:p w14:paraId="7D8A62D0" w14:textId="77777777" w:rsidR="00464BA4" w:rsidRDefault="00F35D48">
      <w:pPr>
        <w:pStyle w:val="Heading2"/>
        <w:spacing w:before="0" w:after="100" w:line="240" w:lineRule="auto"/>
      </w:pPr>
      <w:bookmarkStart w:id="12" w:name="_Toc242728310"/>
      <w:r>
        <w:t>Q3(d): ANOVA using bootstrapped data</w:t>
      </w:r>
      <w:bookmarkEnd w:id="12"/>
    </w:p>
    <w:p w14:paraId="40FDBAC0" w14:textId="77777777" w:rsidR="00464BA4" w:rsidRDefault="00F35D48">
      <w:pPr>
        <w:spacing w:before="0" w:after="100" w:line="240" w:lineRule="auto"/>
      </w:pPr>
      <w:r>
        <w:t>ANOVA on the three arrays of 10,000 unshifted bootstrap means gives F(2, 29,997)=69,977.6132; its p-value underflows numerically. Although it rejects, increasing B adds simulations rather than respondents. As in Q2, this calculation supplies no independent confirmation and identifies no significant pair.</w:t>
      </w:r>
    </w:p>
    <w:p w14:paraId="60F234E2" w14:textId="77777777" w:rsidR="00464BA4" w:rsidRDefault="00F35D48">
      <w:pPr>
        <w:spacing w:before="0" w:after="100" w:line="240" w:lineRule="auto"/>
      </w:pPr>
      <w:r>
        <w:t>For a separate test under equal means, I shift each degree group to the combined mean and resample at its original size, preserving empirical variances and shapes. None of 10,000 null F* values reaches the observed statistic: plus-one p=1/10,001=0.000100. This approximate calibration also rejects, but the simulation floor is not a precise tail estimate. No formal post-hoc tests were performed.</w:t>
      </w:r>
    </w:p>
    <w:p w14:paraId="46E3B9D6" w14:textId="77777777" w:rsidR="00464BA4" w:rsidRDefault="00F35D48">
      <w:pPr>
        <w:pStyle w:val="Heading1"/>
        <w:spacing w:before="0" w:after="100" w:line="240" w:lineRule="auto"/>
      </w:pPr>
      <w:bookmarkStart w:id="13" w:name="_Toc242728311"/>
      <w:r>
        <w:t>Conclusions and limitations</w:t>
      </w:r>
      <w:bookmarkEnd w:id="13"/>
    </w:p>
    <w:p w14:paraId="295D2AA0" w14:textId="77777777" w:rsidR="00464BA4" w:rsidRDefault="00F35D48">
      <w:pPr>
        <w:spacing w:before="0" w:after="100" w:line="240" w:lineRule="auto"/>
      </w:pPr>
      <w:r>
        <w:t>The evidence tells a consistent but qualified story: remote respondents have higher mean and median pay, and US/Canada degree groups differ overall. Median and sensitivity results show that the remote advantage is not solely an extreme-salary phenomenon; degree-tail sensitivity and unequal bootstrap precision qualify the education ranking. These associations cannot isolate effects of work mode or education from country, occupation and experience. The selected sample is not a verified employed-only population. Self-report, survey selection and uncertain independence limit generalization; bootstrapping cannot repair them. Eight identical rows remain because respondent identities are unverified, and no overall multiplicity correction was applied.</w:t>
      </w:r>
    </w:p>
    <w:p w14:paraId="7638F478" w14:textId="77777777" w:rsidR="00464BA4" w:rsidRDefault="00F35D48">
      <w:pPr>
        <w:pStyle w:val="Heading1"/>
        <w:spacing w:before="0" w:after="100" w:line="240" w:lineRule="auto"/>
      </w:pPr>
      <w:bookmarkStart w:id="14" w:name="_Toc242728312"/>
      <w:r>
        <w:t>AI-use appendix and references</w:t>
      </w:r>
      <w:bookmarkEnd w:id="14"/>
    </w:p>
    <w:p w14:paraId="02079037" w14:textId="77777777" w:rsidR="00464BA4" w:rsidRDefault="00F35D48">
      <w:pPr>
        <w:spacing w:before="0" w:after="100" w:line="240" w:lineRule="auto"/>
      </w:pPr>
      <w:r>
        <w:t>OpenAI Codex assisted with analysis, drafting and revision. Prompts included “Create the written report”, “reduce it to 5 page”, and the current request to apply population criteria while preserving the narrative. Notebook checks cover manual/library agreement, selection and bootstrap calculations; all 28 code cells completed without errors. Independent student review and Colab execution remain unverified.</w:t>
      </w:r>
    </w:p>
    <w:p w14:paraId="773441C1" w14:textId="00602FA2" w:rsidR="00464BA4" w:rsidRDefault="00F35D48">
      <w:pPr>
        <w:spacing w:before="0" w:after="100" w:line="240" w:lineRule="auto"/>
      </w:pPr>
      <w:r>
        <w:t>Sources: supplied CSV and executed notebook; SciPy test documentation and Shalizi, The Bootstrap §5.2.4 (links in notebook).</w:t>
      </w:r>
    </w:p>
    <w:sectPr w:rsidR="00464BA4" w:rsidSect="00034616">
      <w:headerReference w:type="default" r:id="rId16"/>
      <w:footerReference w:type="default" r:id="rId17"/>
      <w:pgSz w:w="12240" w:h="15840"/>
      <w:pgMar w:top="1440" w:right="1440" w:bottom="1440" w:left="144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FA5F" w14:textId="77777777" w:rsidR="00D81BC1" w:rsidRDefault="00D81BC1">
      <w:pPr>
        <w:spacing w:after="0"/>
      </w:pPr>
      <w:r>
        <w:separator/>
      </w:r>
    </w:p>
  </w:endnote>
  <w:endnote w:type="continuationSeparator" w:id="0">
    <w:p w14:paraId="4E7D0D93" w14:textId="77777777" w:rsidR="00D81BC1" w:rsidRDefault="00D81B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09DF" w14:textId="77777777" w:rsidR="00464BA4" w:rsidRDefault="00F35D48">
    <w:pPr>
      <w:pStyle w:val="Footer"/>
      <w:jc w:val="right"/>
    </w:pPr>
    <w:r>
      <w:t xml:space="preserve">Julian Peinado · 1012953314  |  </w:t>
    </w:r>
    <w:r>
      <w:fldChar w:fldCharType="begin"/>
    </w:r>
    <w:r>
      <w:instrText>PAGE</w:instrText>
    </w:r>
    <w:r>
      <w:fldChar w:fldCharType="separate"/>
    </w:r>
    <w:r w:rsidR="00947B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6B8A" w14:textId="77777777" w:rsidR="00D81BC1" w:rsidRDefault="00D81BC1">
      <w:pPr>
        <w:spacing w:after="0"/>
      </w:pPr>
      <w:r>
        <w:separator/>
      </w:r>
    </w:p>
  </w:footnote>
  <w:footnote w:type="continuationSeparator" w:id="0">
    <w:p w14:paraId="165D0F06" w14:textId="77777777" w:rsidR="00D81BC1" w:rsidRDefault="00D81B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9C0E" w14:textId="75C48EE7" w:rsidR="00FE371B" w:rsidRDefault="00FE371B">
    <w:pPr>
      <w:pStyle w:val="Header"/>
    </w:pPr>
    <w:r>
      <w:rPr>
        <w:noProof/>
      </w:rPr>
      <w:drawing>
        <wp:inline distT="0" distB="0" distL="0" distR="0" wp14:anchorId="10AB1D1F" wp14:editId="03CE7439">
          <wp:extent cx="1080655" cy="5048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148069" cy="5363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821879">
    <w:abstractNumId w:val="8"/>
  </w:num>
  <w:num w:numId="2" w16cid:durableId="1066999899">
    <w:abstractNumId w:val="6"/>
  </w:num>
  <w:num w:numId="3" w16cid:durableId="1408457495">
    <w:abstractNumId w:val="5"/>
  </w:num>
  <w:num w:numId="4" w16cid:durableId="1138109425">
    <w:abstractNumId w:val="4"/>
  </w:num>
  <w:num w:numId="5" w16cid:durableId="1947040458">
    <w:abstractNumId w:val="7"/>
  </w:num>
  <w:num w:numId="6" w16cid:durableId="1641349787">
    <w:abstractNumId w:val="3"/>
  </w:num>
  <w:num w:numId="7" w16cid:durableId="2028752692">
    <w:abstractNumId w:val="2"/>
  </w:num>
  <w:num w:numId="8" w16cid:durableId="1444156575">
    <w:abstractNumId w:val="1"/>
  </w:num>
  <w:num w:numId="9" w16cid:durableId="55989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49B"/>
    <w:rsid w:val="0029074D"/>
    <w:rsid w:val="0029639D"/>
    <w:rsid w:val="00326F90"/>
    <w:rsid w:val="003A2D98"/>
    <w:rsid w:val="00464BA4"/>
    <w:rsid w:val="00714C9C"/>
    <w:rsid w:val="00731667"/>
    <w:rsid w:val="00831B35"/>
    <w:rsid w:val="0088205F"/>
    <w:rsid w:val="00930E39"/>
    <w:rsid w:val="00947B5A"/>
    <w:rsid w:val="009F2083"/>
    <w:rsid w:val="00AA1D8D"/>
    <w:rsid w:val="00B47730"/>
    <w:rsid w:val="00C34DDE"/>
    <w:rsid w:val="00CB0664"/>
    <w:rsid w:val="00D5674A"/>
    <w:rsid w:val="00D81BC1"/>
    <w:rsid w:val="00DD7AE4"/>
    <w:rsid w:val="00ED0379"/>
    <w:rsid w:val="00F35D48"/>
    <w:rsid w:val="00FC693F"/>
    <w:rsid w:val="00FE37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BC87C"/>
  <w14:defaultImageDpi w14:val="300"/>
  <w15:docId w15:val="{C0C1BF28-F029-4C9B-A858-B2E00D23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Calibri" w:hAnsi="Calibri"/>
      <w:color w:val="000000"/>
      <w:sz w:val="19"/>
    </w:rPr>
  </w:style>
  <w:style w:type="paragraph" w:styleId="Heading1">
    <w:name w:val="heading 1"/>
    <w:basedOn w:val="Normal"/>
    <w:next w:val="Normal"/>
    <w:link w:val="Heading1Char"/>
    <w:uiPriority w:val="9"/>
    <w:qFormat/>
    <w:rsid w:val="00FC693F"/>
    <w:pPr>
      <w:keepNext/>
      <w:keepLines/>
      <w:spacing w:before="100" w:after="100" w:line="240"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100" w:line="240" w:lineRule="auto"/>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00" w:after="100" w:line="240" w:lineRule="auto"/>
      <w:contextualSpacing/>
    </w:pPr>
    <w:rPr>
      <w:rFonts w:asciiTheme="majorHAnsi" w:eastAsiaTheme="majorEastAsia" w:hAnsiTheme="majorHAnsi" w:cstheme="majorBidi" w:ascii="Calibri" w:hAnsi="Calibr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pPr>
    <w:rPr>
      <w:rFonts w:ascii="Calibri" w:hAnsi="Calibri"/>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Calibri" w:hAnsi="Calibri"/>
      <w:color w:val="000000"/>
    </w:rPr>
  </w:style>
  <w:style w:type="paragraph" w:customStyle="1" w:styleId="TOC21">
    <w:name w:val="TOC 21"/>
    <w:pPr>
      <w:spacing w:after="0" w:line="240" w:lineRule="auto"/>
    </w:pPr>
    <w:rPr>
      <w:rFonts w:ascii="Calibri" w:hAnsi="Calibri"/>
      <w:color w:val="000000"/>
    </w:rPr>
  </w:style>
  <w:style w:type="paragraph" w:styleId="TOC1">
    <w:name w:val="toc 1"/>
    <w:basedOn w:val="Normal"/>
    <w:next w:val="Normal"/>
    <w:autoRedefine/>
    <w:uiPriority w:val="39"/>
    <w:unhideWhenUsed/>
    <w:rsid w:val="00947B5A"/>
    <w:pPr>
      <w:spacing w:after="100"/>
    </w:pPr>
  </w:style>
  <w:style w:type="paragraph" w:styleId="TOC2">
    <w:name w:val="toc 2"/>
    <w:basedOn w:val="Normal"/>
    <w:next w:val="Normal"/>
    <w:autoRedefine/>
    <w:uiPriority w:val="39"/>
    <w:unhideWhenUsed/>
    <w:rsid w:val="00947B5A"/>
    <w:pPr>
      <w:spacing w:after="100"/>
      <w:ind w:left="220"/>
    </w:pPr>
  </w:style>
  <w:style w:type="character" w:styleId="Hyperlink">
    <w:name w:val="Hyperlink"/>
    <w:basedOn w:val="DefaultParagraphFont"/>
    <w:uiPriority w:val="99"/>
    <w:unhideWhenUsed/>
    <w:rsid w:val="00947B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compensation-peinado.bronzemoon5.chatgpt.site" TargetMode="External"/><Relationship Id="rId13" Type="http://schemas.openxmlformats.org/officeDocument/2006/relationships/hyperlink" Target="https://docs.scipy.org/doc/scipy/reference/stats.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hang.eeb.utoronto.ca/uoft_logo-svg/"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tat.cmu.edu/~cshalizi/uADA/12/lectures/ch05.pdf"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1379</TotalTime>
  <Pages>5</Pages>
  <Words>1911</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compensation and statistical uncertainty</dc:title>
  <dc:subject>MIE1624 Assignment 1 Questions 1–3</dc:subject>
  <dc:creator>Julian Peinado</dc:creator>
  <cp:keywords/>
  <dc:description>generated by python-docx</dc:description>
  <cp:lastModifiedBy>Julian Peinado Mendez</cp:lastModifiedBy>
  <cp:revision>6</cp:revision>
  <dcterms:created xsi:type="dcterms:W3CDTF">2013-12-23T23:15:00Z</dcterms:created>
  <dcterms:modified xsi:type="dcterms:W3CDTF">2026-10-15T00:24:00Z</dcterms:modified>
  <cp:category/>
</cp:coreProperties>
</file>