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pPr>
      <w:r>
        <w:t>Informe técnico y cierre de release estratégico</w:t>
      </w:r>
    </w:p>
    <w:p>
      <w:r>
        <w:t>P&amp;Pmis Construction AI. Capital Portfolio &amp; Investment Governance. Corte del 14 de octubre de 2026.</w:t>
      </w:r>
    </w:p>
    <w:p>
      <w:r>
        <w:t>La decisión de liberación permanece NO_GO hasta completar los criterios técnicos obligatorios. La aceptación de negocio exige firmas autorizadas y no se presume a partir de regresiones parciales.</w:t>
      </w:r>
    </w:p>
    <w:p>
      <w:r>
        <w:t>La aceptación de negocio requiere firmas de representantes autorizados. Una prueba técnica aprobada o un inventario de código no constituye esa aceptación.</w:t>
      </w:r>
    </w:p>
    <w:p>
      <w:pPr>
        <w:pStyle w:val="Heading1"/>
      </w:pPr>
      <w:r>
        <w:t>Conclusión ejecutiva</w:t>
      </w:r>
    </w:p>
    <w:p>
      <w:r>
        <w:t>Decisión: NO_GO. Estado exacto: NOT_VALIDATED. Próximo incremento recomendado: B. REMEDIATE STRATEGIC UAT BLOCKERS.</w:t>
      </w:r>
    </w:p>
    <w:p>
      <w:pPr>
        <w:pStyle w:val="Heading1"/>
      </w:pPr>
      <w:r>
        <w:t>Baseline de validación</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48"/>
        <w:gridCol w:w="7718"/>
      </w:tblGrid>
      <w:tr>
        <w:trPr>
          <w:tblHeader w:val="true"/>
        </w:trPr>
        <w:tc>
          <w:tcPr>
            <w:tcW w:type="dxa" w:w="2448"/>
            <w:shd w:fill="17324D"/>
            <w:tcMar>
              <w:top w:w="100" w:type="dxa"/>
              <w:start w:w="100" w:type="dxa"/>
              <w:bottom w:w="100" w:type="dxa"/>
              <w:end w:w="100" w:type="dxa"/>
            </w:tcMar>
            <w:vAlign w:val="center"/>
          </w:tcPr>
          <w:p>
            <w:pPr>
              <w:jc w:val="left"/>
            </w:pPr>
            <w:r>
              <w:rPr>
                <w:rFonts w:ascii="Aptos" w:hAnsi="Aptos" w:eastAsia="Aptos"/>
                <w:b/>
                <w:color w:val="FFFFFF"/>
                <w:sz w:val="19"/>
              </w:rPr>
              <w:t>Control</w:t>
            </w:r>
          </w:p>
        </w:tc>
        <w:tc>
          <w:tcPr>
            <w:tcW w:type="dxa" w:w="7718"/>
            <w:shd w:fill="17324D"/>
            <w:tcMar>
              <w:top w:w="100" w:type="dxa"/>
              <w:start w:w="100" w:type="dxa"/>
              <w:bottom w:w="100" w:type="dxa"/>
              <w:end w:w="100" w:type="dxa"/>
            </w:tcMar>
            <w:vAlign w:val="center"/>
          </w:tcPr>
          <w:p>
            <w:pPr>
              <w:jc w:val="left"/>
            </w:pPr>
            <w:r>
              <w:rPr>
                <w:rFonts w:ascii="Aptos" w:hAnsi="Aptos" w:eastAsia="Aptos"/>
                <w:b/>
                <w:color w:val="FFFFFF"/>
                <w:sz w:val="19"/>
              </w:rPr>
              <w:t>Valor registrado</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Rama y commit inicial</w:t>
            </w:r>
          </w:p>
        </w:tc>
        <w:tc>
          <w:tcPr>
            <w:tcW w:type="dxa" w:w="7718"/>
            <w:tcMar>
              <w:top w:w="100" w:type="dxa"/>
              <w:start w:w="100" w:type="dxa"/>
              <w:bottom w:w="100" w:type="dxa"/>
              <w:end w:w="100" w:type="dxa"/>
            </w:tcMar>
            <w:vAlign w:val="center"/>
          </w:tcPr>
          <w:p>
            <w:pPr>
              <w:spacing w:after="20" w:line="250" w:lineRule="auto"/>
            </w:pPr>
            <w:r>
              <w:rPr>
                <w:rFonts w:ascii="Aptos" w:hAnsi="Aptos" w:eastAsia="Aptos"/>
                <w:color w:val="202A33"/>
                <w:sz w:val="19"/>
              </w:rPr>
              <w:t>main / a9a62de3258b0fe86c7b4f2a580da72762a8f557</w:t>
            </w:r>
          </w:p>
        </w:tc>
      </w:tr>
      <w:tr>
        <w:trPr>
          <w:cantSplit/>
        </w:trPr>
        <w:tc>
          <w:tcPr>
            <w:tcW w:type="dxa" w:w="244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Working tree</w:t>
            </w:r>
          </w:p>
        </w:tc>
        <w:tc>
          <w:tcPr>
            <w:tcW w:type="dxa" w:w="771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Limpio antes de este incremento; se conservan los cambios actuales sin commit ni push del agente</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Alembic requerido</w:t>
            </w:r>
          </w:p>
        </w:tc>
        <w:tc>
          <w:tcPr>
            <w:tcW w:type="dxa" w:w="7718"/>
            <w:tcMar>
              <w:top w:w="100" w:type="dxa"/>
              <w:start w:w="100" w:type="dxa"/>
              <w:bottom w:w="100" w:type="dxa"/>
              <w:end w:w="100" w:type="dxa"/>
            </w:tcMar>
            <w:vAlign w:val="center"/>
          </w:tcPr>
          <w:p>
            <w:pPr>
              <w:spacing w:after="20" w:line="250" w:lineRule="auto"/>
            </w:pPr>
            <w:r>
              <w:rPr>
                <w:rFonts w:ascii="Aptos" w:hAnsi="Aptos" w:eastAsia="Aptos"/>
                <w:color w:val="202A33"/>
                <w:sz w:val="19"/>
              </w:rPr>
              <w:t>20261011_0068, una sola cabeza</w:t>
            </w:r>
          </w:p>
        </w:tc>
      </w:tr>
      <w:tr>
        <w:trPr>
          <w:cantSplit/>
        </w:trPr>
        <w:tc>
          <w:tcPr>
            <w:tcW w:type="dxa" w:w="244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Release vinculante</w:t>
            </w:r>
          </w:p>
        </w:tc>
        <w:tc>
          <w:tcPr>
            <w:tcW w:type="dxa" w:w="771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QRA_RESULT_EVIDENCE_POLICY_INTEGRATION_RELEASE_VALIDATED</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Registro de resultados</w:t>
            </w:r>
          </w:p>
        </w:tc>
        <w:tc>
          <w:tcPr>
            <w:tcW w:type="dxa" w:w="7718"/>
            <w:tcMar>
              <w:top w:w="100" w:type="dxa"/>
              <w:start w:w="100" w:type="dxa"/>
              <w:bottom w:w="100" w:type="dxa"/>
              <w:end w:w="100" w:type="dxa"/>
            </w:tcMar>
            <w:vAlign w:val="center"/>
          </w:tcPr>
          <w:p>
            <w:pPr>
              <w:spacing w:after="20" w:line="250" w:lineRule="auto"/>
            </w:pPr>
            <w:r>
              <w:rPr>
                <w:rFonts w:ascii="Aptos" w:hAnsi="Aptos" w:eastAsia="Aptos"/>
                <w:color w:val="202A33"/>
                <w:sz w:val="19"/>
              </w:rPr>
              <w:t>14 de octubre de 2026 America Bogota</w:t>
            </w:r>
          </w:p>
        </w:tc>
      </w:tr>
      <w:tr>
        <w:trPr>
          <w:cantSplit/>
        </w:trPr>
        <w:tc>
          <w:tcPr>
            <w:tcW w:type="dxa" w:w="244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Estado de release</w:t>
            </w:r>
          </w:p>
        </w:tc>
        <w:tc>
          <w:tcPr>
            <w:tcW w:type="dxa" w:w="771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NOT_VALIDATED</w:t>
            </w:r>
          </w:p>
        </w:tc>
      </w:tr>
      <w:tr>
        <w:trPr>
          <w:cantSplit/>
        </w:trPr>
        <w:tc>
          <w:tcPr>
            <w:tcW w:type="dxa" w:w="2448"/>
            <w:tcMar>
              <w:top w:w="100" w:type="dxa"/>
              <w:start w:w="100" w:type="dxa"/>
              <w:bottom w:w="100" w:type="dxa"/>
              <w:end w:w="100" w:type="dxa"/>
            </w:tcMar>
            <w:vAlign w:val="center"/>
          </w:tcPr>
          <w:p>
            <w:pPr>
              <w:spacing w:after="20" w:line="250" w:lineRule="auto"/>
            </w:pPr>
            <w:r>
              <w:rPr>
                <w:rFonts w:ascii="Aptos" w:hAnsi="Aptos" w:eastAsia="Aptos"/>
                <w:color w:val="202A33"/>
                <w:sz w:val="19"/>
              </w:rPr>
              <w:t>Decisión</w:t>
            </w:r>
          </w:p>
        </w:tc>
        <w:tc>
          <w:tcPr>
            <w:tcW w:type="dxa" w:w="7718"/>
            <w:tcMar>
              <w:top w:w="100" w:type="dxa"/>
              <w:start w:w="100" w:type="dxa"/>
              <w:bottom w:w="100" w:type="dxa"/>
              <w:end w:w="100" w:type="dxa"/>
            </w:tcMar>
            <w:vAlign w:val="center"/>
          </w:tcPr>
          <w:p>
            <w:pPr>
              <w:spacing w:after="20" w:line="250" w:lineRule="auto"/>
            </w:pPr>
            <w:r>
              <w:rPr>
                <w:rFonts w:ascii="Aptos" w:hAnsi="Aptos" w:eastAsia="Aptos"/>
                <w:color w:val="202A33"/>
                <w:sz w:val="19"/>
              </w:rPr>
              <w:t>NO_GO</w:t>
            </w:r>
          </w:p>
        </w:tc>
      </w:tr>
    </w:tbl>
    <w:p>
      <w:pPr>
        <w:spacing w:after="20"/>
      </w:pPr>
    </w:p>
    <w:p>
      <w:r>
        <w:t>No se descarta trabajo local ni se reescribe una migración histórica. La existencia de tablas Project operacionales heredadas no constituye una segunda identidad estratégica: Project Workspace se identifica en enterprise_workspaces con tipo PROJECT.</w:t>
      </w:r>
    </w:p>
    <w:p>
      <w:pPr>
        <w:pStyle w:val="Heading1"/>
      </w:pPr>
      <w:r>
        <w:t>Flujo validado y límites de la evidencia</w:t>
      </w:r>
    </w:p>
    <w:p>
      <w:r>
        <w:t>La ruta HTTP nueva crea Idea, evaluación, Business Analysis con revisión independiente, Proposal y Strategic Gate APPROVE y materializa un Project canónico pending con intake. Las rutas CONTRACTOR_DELIVERY y DIRECT_INTERNAL completan solicitud, revisión, aprobación independiente, materialización, inicialización y activación sin exigir FID ni membership de Portfolio. Son pruebas ejecutadas, no una ruta A0 a A31 única. La fixture QRA reutiliza fuentes y kernel reales, pero adapta Five Case a fuentes disponibles y no acredita la preparación empresarial completa.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64"/>
        <w:gridCol w:w="1224"/>
        <w:gridCol w:w="8078"/>
      </w:tblGrid>
      <w:tr>
        <w:trPr>
          <w:tblHeader w:val="true"/>
        </w:trPr>
        <w:tc>
          <w:tcPr>
            <w:tcW w:type="dxa" w:w="864"/>
            <w:shd w:fill="17324D"/>
            <w:tcMar>
              <w:top w:w="100" w:type="dxa"/>
              <w:start w:w="100" w:type="dxa"/>
              <w:bottom w:w="100" w:type="dxa"/>
              <w:end w:w="100" w:type="dxa"/>
            </w:tcMar>
            <w:vAlign w:val="center"/>
          </w:tcPr>
          <w:p>
            <w:pPr>
              <w:keepNext/>
              <w:jc w:val="left"/>
            </w:pPr>
            <w:r>
              <w:rPr>
                <w:rFonts w:ascii="Aptos" w:hAnsi="Aptos" w:eastAsia="Aptos"/>
                <w:b/>
                <w:color w:val="FFFFFF"/>
                <w:sz w:val="19"/>
              </w:rPr>
              <w:t>Caso</w:t>
            </w:r>
          </w:p>
        </w:tc>
        <w:tc>
          <w:tcPr>
            <w:tcW w:type="dxa" w:w="1224"/>
            <w:shd w:fill="17324D"/>
            <w:tcMar>
              <w:top w:w="100" w:type="dxa"/>
              <w:start w:w="100" w:type="dxa"/>
              <w:bottom w:w="100" w:type="dxa"/>
              <w:end w:w="100" w:type="dxa"/>
            </w:tcMar>
            <w:vAlign w:val="center"/>
          </w:tcPr>
          <w:p>
            <w:pPr>
              <w:keepNext/>
              <w:jc w:val="left"/>
            </w:pPr>
            <w:r>
              <w:rPr>
                <w:rFonts w:ascii="Aptos" w:hAnsi="Aptos" w:eastAsia="Aptos"/>
                <w:b/>
                <w:color w:val="FFFFFF"/>
                <w:sz w:val="19"/>
              </w:rPr>
              <w:t>Estado</w:t>
            </w:r>
          </w:p>
        </w:tc>
        <w:tc>
          <w:tcPr>
            <w:tcW w:type="dxa" w:w="8078"/>
            <w:shd w:fill="17324D"/>
            <w:tcMar>
              <w:top w:w="100" w:type="dxa"/>
              <w:start w:w="100" w:type="dxa"/>
              <w:bottom w:w="100" w:type="dxa"/>
              <w:end w:w="100" w:type="dxa"/>
            </w:tcMar>
            <w:vAlign w:val="center"/>
          </w:tcPr>
          <w:p>
            <w:pPr>
              <w:keepNext/>
              <w:jc w:val="left"/>
            </w:pPr>
            <w:r>
              <w:rPr>
                <w:rFonts w:ascii="Aptos" w:hAnsi="Aptos" w:eastAsia="Aptos"/>
                <w:b/>
                <w:color w:val="FFFFFF"/>
                <w:sz w:val="19"/>
              </w:rPr>
              <w:t>Resultado y alcance</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A3</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Idea, evaluación y Business Analysis independiente completados por HTTP real; alcance upstream, no toda la ruta A</w:t>
            </w:r>
          </w:p>
        </w:tc>
      </w:tr>
      <w:tr>
        <w:trPr>
          <w:cantSplit/>
        </w:trPr>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A4</w:t>
            </w:r>
          </w:p>
        </w:tc>
        <w:tc>
          <w:tcPr>
            <w:tcW w:type="dxa" w:w="12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c>
          <w:tcPr>
            <w:tcW w:type="dxa" w:w="80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Proposal desde Idea y BA reales; independiente del ensayo heredado que siembra propuestas</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A5</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Strategic Gate APPROVE con actor independiente produce handoff y materialización pending; outcomes negativos se informan por su regresión, no por esta ruta feliz</w:t>
            </w:r>
          </w:p>
        </w:tc>
      </w:tr>
      <w:tr>
        <w:trPr>
          <w:cantSplit/>
        </w:trPr>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A6</w:t>
            </w:r>
          </w:p>
        </w:tc>
        <w:tc>
          <w:tcPr>
            <w:tcW w:type="dxa" w:w="12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Fresh local SQLite upstream proof materialized canonical CAPITAL_OWNER pending Project 5 and ACTIVE STRATEGIC_INTAKE membership through normal HTTP. Case remains BLOCKED/PARTIAL because its wider initialization timing / extra membership boundary assertions were not all executed by this new upstream test.</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A14</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Not executed as this increment's end-to-end business case by scenario coverage auditor. Source/test definitions reviewed; prior release assertions are historical only.</w:t>
            </w:r>
          </w:p>
        </w:tc>
      </w:tr>
      <w:tr>
        <w:trPr>
          <w:cantSplit/>
        </w:trPr>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A26</w:t>
            </w:r>
          </w:p>
        </w:tc>
        <w:tc>
          <w:tcPr>
            <w:tcW w:type="dxa" w:w="12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Not executed as this increment's end-to-end business case by scenario coverage auditor. Source/test definitions reviewed; prior release assertions are historical only.</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A29</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Not executed as this increment's end-to-end business case by scenario coverage auditor. Source/test definitions reviewed; prior release assertions are historical only.</w:t>
            </w:r>
          </w:p>
        </w:tc>
      </w:tr>
      <w:tr>
        <w:trPr>
          <w:cantSplit/>
        </w:trPr>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A30</w:t>
            </w:r>
          </w:p>
        </w:tc>
        <w:tc>
          <w:tcPr>
            <w:tcW w:type="dxa" w:w="12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El ensayo FID heredado no completa el BC por BA Benefits Commercial Permit FEL FIN requeridos; no se acredita Gate07K FID nuevo empresarial</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A31</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Not executed as this increment's end-to-end business case by scenario coverage auditor. Source/test definitions reviewed; prior release assertions are historical only.</w:t>
            </w:r>
          </w:p>
        </w:tc>
      </w:tr>
      <w:tr>
        <w:trPr>
          <w:cantSplit/>
        </w:trPr>
        <w:tc>
          <w:tcPr>
            <w:tcW w:type="dxa" w:w="86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B1</w:t>
            </w:r>
          </w:p>
        </w:tc>
        <w:tc>
          <w:tcPr>
            <w:tcW w:type="dxa" w:w="12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PASS</w:t>
            </w:r>
          </w:p>
        </w:tc>
        <w:tc>
          <w:tcPr>
            <w:tcW w:type="dxa" w:w="8078"/>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CONTRACTOR_DELIVERY contrato a solicitud revisada, materialización pending, rechazo de activación prematura, inicialización e independiente ACTIVATED sin FID ni Portfolio membership</w:t>
            </w:r>
          </w:p>
        </w:tc>
      </w:tr>
      <w:tr>
        <w:trPr>
          <w:cantSplit/>
        </w:trPr>
        <w:tc>
          <w:tcPr>
            <w:tcW w:type="dxa" w:w="864"/>
            <w:tcMar>
              <w:top w:w="100" w:type="dxa"/>
              <w:start w:w="100" w:type="dxa"/>
              <w:bottom w:w="100" w:type="dxa"/>
              <w:end w:w="100" w:type="dxa"/>
            </w:tcMar>
            <w:vAlign w:val="center"/>
          </w:tcPr>
          <w:p>
            <w:pPr>
              <w:spacing w:after="20" w:line="250" w:lineRule="auto"/>
            </w:pPr>
            <w:r>
              <w:rPr>
                <w:rFonts w:ascii="Aptos" w:hAnsi="Aptos" w:eastAsia="Aptos"/>
                <w:color w:val="202A33"/>
                <w:sz w:val="19"/>
              </w:rPr>
              <w:t>C1</w:t>
            </w:r>
          </w:p>
        </w:tc>
        <w:tc>
          <w:tcPr>
            <w:tcW w:type="dxa" w:w="1224"/>
            <w:tcMar>
              <w:top w:w="100" w:type="dxa"/>
              <w:start w:w="100" w:type="dxa"/>
              <w:bottom w:w="100" w:type="dxa"/>
              <w:end w:w="100" w:type="dxa"/>
            </w:tcMar>
            <w:vAlign w:val="center"/>
          </w:tcPr>
          <w:p>
            <w:pPr>
              <w:spacing w:after="20" w:line="250" w:lineRule="auto"/>
            </w:pPr>
            <w:r>
              <w:rPr>
                <w:rFonts w:ascii="Aptos" w:hAnsi="Aptos" w:eastAsia="Aptos"/>
                <w:color w:val="202A33"/>
                <w:sz w:val="19"/>
              </w:rPr>
              <w:t>PASS</w:t>
            </w:r>
          </w:p>
        </w:tc>
        <w:tc>
          <w:tcPr>
            <w:tcW w:type="dxa" w:w="8078"/>
            <w:tcMar>
              <w:top w:w="100" w:type="dxa"/>
              <w:start w:w="100" w:type="dxa"/>
              <w:bottom w:w="100" w:type="dxa"/>
              <w:end w:w="100" w:type="dxa"/>
            </w:tcMar>
            <w:vAlign w:val="center"/>
          </w:tcPr>
          <w:p>
            <w:pPr>
              <w:spacing w:after="20" w:line="250" w:lineRule="auto"/>
            </w:pPr>
            <w:r>
              <w:rPr>
                <w:rFonts w:ascii="Aptos" w:hAnsi="Aptos" w:eastAsia="Aptos"/>
                <w:color w:val="202A33"/>
                <w:sz w:val="19"/>
              </w:rPr>
              <w:t>DIRECT_INTERNAL autorización directa a solicitud revisada, materialización pending, inicialización e independiente ACTIVATED sin FID ni Portfolio membership</w:t>
            </w:r>
          </w:p>
        </w:tc>
      </w:tr>
    </w:tbl>
    <w:p>
      <w:pPr>
        <w:spacing w:after="20"/>
      </w:pPr>
    </w:p>
    <w:p>
      <w:pPr>
        <w:pStyle w:val="Heading1"/>
      </w:pPr>
      <w:r>
        <w:t>Auditoría ADMIN y USER</w:t>
      </w:r>
    </w:p>
    <w:p>
      <w:r>
        <w:t>El inventario estático contiene 787 endpoints en 36 módulos. Clasificación: ADMIN MODE=229; READ-ONLY SHARED CONTEXT=272; USER MODE=286. La clasificación GET como contexto compartido no prueba ausencia de side effects heredados ni sustituye pruebas HTTP de denegación.</w:t>
      </w:r>
    </w:p>
    <w:p>
      <w:r>
        <w:t>Se sustituyó Composition Rules heredado por el editor ADMIN reutilizable existente. Se bloquean creación PROJECT y cambios de lifecycle por comandos ADMIN genéricos y por revisiones CORE vivas. El clone CORE reconcilia en draft hechos Project live del tenant y revoca aprobación anterior si cambian, sin tocar historial ni lifecycle. El formulario jerárquico legacy aún muestra Project y estados que el backend rechaza: el navegador solo prueba ausencia de ese formulario en Composition Rules. El endpoint /projects operacional legacy permanece fuera de la identidad estratégica y de este cambio.</w:t>
      </w:r>
    </w:p>
    <w:p>
      <w:pPr>
        <w:pStyle w:val="Heading1"/>
      </w:pPr>
      <w:r>
        <w:t>Navegación y reutilización del frontend</w:t>
      </w:r>
    </w:p>
    <w:p>
      <w:r>
        <w:t>Se revisaron 227 nodos y 197 rutas canónicas. La autoridad de navegación sigue en strategicNavigationBlueprint.ts. Hay 30 alias de landing, que no se consideran pantallas duplicadas por sí solos.</w:t>
      </w:r>
    </w:p>
    <w:p>
      <w:r>
        <w:t>197 rutas canónicas, 160 USER y 37 ADMIN, 227 nodos. Review USER se mueve después de Convergence en el blueprint único; ADMIN conserva su configuración como prerrequisito. Composition Rules respeta initialTab rules tras carga. App.tsx no se amplía. Dos pantallas placeholder explícitas se registran sin atribuirles una capacidad terminada.</w:t>
      </w:r>
    </w:p>
    <w:p>
      <w:pPr>
        <w:pStyle w:val="Heading1"/>
      </w:pPr>
      <w:r>
        <w:t>Estadísticas de UAT y regresión estratégica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192"/>
        <w:gridCol w:w="3974"/>
      </w:tblGrid>
      <w:tr>
        <w:trPr>
          <w:tblHeader w:val="true"/>
        </w:trPr>
        <w:tc>
          <w:tcPr>
            <w:tcW w:type="dxa" w:w="6192"/>
            <w:shd w:fill="17324D"/>
            <w:tcMar>
              <w:top w:w="100" w:type="dxa"/>
              <w:start w:w="100" w:type="dxa"/>
              <w:bottom w:w="100" w:type="dxa"/>
              <w:end w:w="100" w:type="dxa"/>
            </w:tcMar>
            <w:vAlign w:val="center"/>
          </w:tcPr>
          <w:p>
            <w:pPr>
              <w:jc w:val="left"/>
            </w:pPr>
            <w:r>
              <w:rPr>
                <w:rFonts w:ascii="Aptos" w:hAnsi="Aptos" w:eastAsia="Aptos"/>
                <w:b/>
                <w:color w:val="FFFFFF"/>
                <w:sz w:val="19"/>
              </w:rPr>
              <w:t>Registro</w:t>
            </w:r>
          </w:p>
        </w:tc>
        <w:tc>
          <w:tcPr>
            <w:tcW w:type="dxa" w:w="3974"/>
            <w:shd w:fill="17324D"/>
            <w:tcMar>
              <w:top w:w="100" w:type="dxa"/>
              <w:start w:w="100" w:type="dxa"/>
              <w:bottom w:w="100" w:type="dxa"/>
              <w:end w:w="100" w:type="dxa"/>
            </w:tcMar>
            <w:vAlign w:val="center"/>
          </w:tcPr>
          <w:p>
            <w:pPr>
              <w:jc w:val="left"/>
            </w:pPr>
            <w:r>
              <w:rPr>
                <w:rFonts w:ascii="Aptos" w:hAnsi="Aptos" w:eastAsia="Aptos"/>
                <w:b/>
                <w:color w:val="FFFFFF"/>
                <w:sz w:val="19"/>
              </w:rPr>
              <w:t>Valor</w:t>
            </w:r>
          </w:p>
        </w:tc>
      </w:tr>
      <w:tr>
        <w:trPr>
          <w:cantSplit/>
        </w:trPr>
        <w:tc>
          <w:tcPr>
            <w:tcW w:type="dxa" w:w="6192"/>
            <w:tcMar>
              <w:top w:w="100" w:type="dxa"/>
              <w:start w:w="100" w:type="dxa"/>
              <w:bottom w:w="100" w:type="dxa"/>
              <w:end w:w="100" w:type="dxa"/>
            </w:tcMar>
            <w:vAlign w:val="center"/>
          </w:tcPr>
          <w:p>
            <w:pPr>
              <w:spacing w:after="20" w:line="250" w:lineRule="auto"/>
            </w:pPr>
            <w:r>
              <w:rPr>
                <w:rFonts w:ascii="Aptos" w:hAnsi="Aptos" w:eastAsia="Aptos"/>
                <w:color w:val="202A33"/>
                <w:sz w:val="19"/>
              </w:rPr>
              <w:t>Procesos</w:t>
            </w:r>
          </w:p>
        </w:tc>
        <w:tc>
          <w:tcPr>
            <w:tcW w:type="dxa" w:w="3974"/>
            <w:tcMar>
              <w:top w:w="100" w:type="dxa"/>
              <w:start w:w="100" w:type="dxa"/>
              <w:bottom w:w="100" w:type="dxa"/>
              <w:end w:w="100" w:type="dxa"/>
            </w:tcMar>
            <w:vAlign w:val="center"/>
          </w:tcPr>
          <w:p>
            <w:pPr>
              <w:spacing w:after="20" w:line="250" w:lineRule="auto"/>
            </w:pPr>
            <w:r>
              <w:rPr>
                <w:rFonts w:ascii="Aptos" w:hAnsi="Aptos" w:eastAsia="Aptos"/>
                <w:color w:val="202A33"/>
                <w:sz w:val="19"/>
              </w:rPr>
              <w:t>44</w:t>
            </w:r>
          </w:p>
        </w:tc>
      </w:tr>
      <w:tr>
        <w:trPr>
          <w:cantSplit/>
        </w:trPr>
        <w:tc>
          <w:tcPr>
            <w:tcW w:type="dxa" w:w="61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Casos</w:t>
            </w:r>
          </w:p>
        </w:tc>
        <w:tc>
          <w:tcPr>
            <w:tcW w:type="dxa" w:w="397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51</w:t>
            </w:r>
          </w:p>
        </w:tc>
      </w:tr>
      <w:tr>
        <w:trPr>
          <w:cantSplit/>
        </w:trPr>
        <w:tc>
          <w:tcPr>
            <w:tcW w:type="dxa" w:w="6192"/>
            <w:tcMar>
              <w:top w:w="100" w:type="dxa"/>
              <w:start w:w="100" w:type="dxa"/>
              <w:bottom w:w="100" w:type="dxa"/>
              <w:end w:w="100" w:type="dxa"/>
            </w:tcMar>
            <w:vAlign w:val="center"/>
          </w:tcPr>
          <w:p>
            <w:pPr>
              <w:spacing w:after="20" w:line="250" w:lineRule="auto"/>
            </w:pPr>
            <w:r>
              <w:rPr>
                <w:rFonts w:ascii="Aptos" w:hAnsi="Aptos" w:eastAsia="Aptos"/>
                <w:color w:val="202A33"/>
                <w:sz w:val="19"/>
              </w:rPr>
              <w:t>PASS técnicos por caso</w:t>
            </w:r>
          </w:p>
        </w:tc>
        <w:tc>
          <w:tcPr>
            <w:tcW w:type="dxa" w:w="3974"/>
            <w:tcMar>
              <w:top w:w="100" w:type="dxa"/>
              <w:start w:w="100" w:type="dxa"/>
              <w:bottom w:w="100" w:type="dxa"/>
              <w:end w:w="100" w:type="dxa"/>
            </w:tcMar>
            <w:vAlign w:val="center"/>
          </w:tcPr>
          <w:p>
            <w:pPr>
              <w:spacing w:after="20" w:line="250" w:lineRule="auto"/>
            </w:pPr>
            <w:r>
              <w:rPr>
                <w:rFonts w:ascii="Aptos" w:hAnsi="Aptos" w:eastAsia="Aptos"/>
                <w:color w:val="202A33"/>
                <w:sz w:val="19"/>
              </w:rPr>
              <w:t>5</w:t>
            </w:r>
          </w:p>
        </w:tc>
      </w:tr>
      <w:tr>
        <w:trPr>
          <w:cantSplit/>
        </w:trPr>
        <w:tc>
          <w:tcPr>
            <w:tcW w:type="dxa" w:w="61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FAIL</w:t>
            </w:r>
          </w:p>
        </w:tc>
        <w:tc>
          <w:tcPr>
            <w:tcW w:type="dxa" w:w="397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r>
      <w:tr>
        <w:trPr>
          <w:cantSplit/>
        </w:trPr>
        <w:tc>
          <w:tcPr>
            <w:tcW w:type="dxa" w:w="6192"/>
            <w:tcMar>
              <w:top w:w="100" w:type="dxa"/>
              <w:start w:w="100" w:type="dxa"/>
              <w:bottom w:w="100" w:type="dxa"/>
              <w:end w:w="100" w:type="dxa"/>
            </w:tcMar>
            <w:vAlign w:val="center"/>
          </w:tcPr>
          <w:p>
            <w:pPr>
              <w:spacing w:after="20" w:line="250" w:lineRule="auto"/>
            </w:pPr>
            <w:r>
              <w:rPr>
                <w:rFonts w:ascii="Aptos" w:hAnsi="Aptos" w:eastAsia="Aptos"/>
                <w:color w:val="202A33"/>
                <w:sz w:val="19"/>
              </w:rPr>
              <w:t>BLOCKED</w:t>
            </w:r>
          </w:p>
        </w:tc>
        <w:tc>
          <w:tcPr>
            <w:tcW w:type="dxa" w:w="3974"/>
            <w:tcMar>
              <w:top w:w="100" w:type="dxa"/>
              <w:start w:w="100" w:type="dxa"/>
              <w:bottom w:w="100" w:type="dxa"/>
              <w:end w:w="100" w:type="dxa"/>
            </w:tcMar>
            <w:vAlign w:val="center"/>
          </w:tcPr>
          <w:p>
            <w:pPr>
              <w:spacing w:after="20" w:line="250" w:lineRule="auto"/>
            </w:pPr>
            <w:r>
              <w:rPr>
                <w:rFonts w:ascii="Aptos" w:hAnsi="Aptos" w:eastAsia="Aptos"/>
                <w:color w:val="202A33"/>
                <w:sz w:val="19"/>
              </w:rPr>
              <w:t>46</w:t>
            </w:r>
          </w:p>
        </w:tc>
      </w:tr>
      <w:tr>
        <w:trPr>
          <w:cantSplit/>
        </w:trPr>
        <w:tc>
          <w:tcPr>
            <w:tcW w:type="dxa" w:w="619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Capital Owner fresco completo</w:t>
            </w:r>
          </w:p>
        </w:tc>
        <w:tc>
          <w:tcPr>
            <w:tcW w:type="dxa" w:w="397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NOT_PROVEN como una sola ruta fresca A0 a A31</w:t>
            </w:r>
          </w:p>
        </w:tc>
      </w:tr>
      <w:tr>
        <w:trPr>
          <w:cantSplit/>
        </w:trPr>
        <w:tc>
          <w:tcPr>
            <w:tcW w:type="dxa" w:w="6192"/>
            <w:tcMar>
              <w:top w:w="100" w:type="dxa"/>
              <w:start w:w="100" w:type="dxa"/>
              <w:bottom w:w="100" w:type="dxa"/>
              <w:end w:w="100" w:type="dxa"/>
            </w:tcMar>
            <w:vAlign w:val="center"/>
          </w:tcPr>
          <w:p>
            <w:pPr>
              <w:spacing w:after="20" w:line="250" w:lineRule="auto"/>
            </w:pPr>
            <w:r>
              <w:rPr>
                <w:rFonts w:ascii="Aptos" w:hAnsi="Aptos" w:eastAsia="Aptos"/>
                <w:color w:val="202A33"/>
                <w:sz w:val="19"/>
              </w:rPr>
              <w:t>Aceptación humana</w:t>
            </w:r>
          </w:p>
        </w:tc>
        <w:tc>
          <w:tcPr>
            <w:tcW w:type="dxa" w:w="3974"/>
            <w:tcMar>
              <w:top w:w="100" w:type="dxa"/>
              <w:start w:w="100" w:type="dxa"/>
              <w:bottom w:w="100" w:type="dxa"/>
              <w:end w:w="100" w:type="dxa"/>
            </w:tcMar>
            <w:vAlign w:val="center"/>
          </w:tcPr>
          <w:p>
            <w:pPr>
              <w:spacing w:after="20" w:line="250" w:lineRule="auto"/>
            </w:pPr>
            <w:r>
              <w:rPr>
                <w:rFonts w:ascii="Aptos" w:hAnsi="Aptos" w:eastAsia="Aptos"/>
                <w:color w:val="202A33"/>
                <w:sz w:val="19"/>
              </w:rPr>
              <w:t>PENDING sin firmas autorizadas</w:t>
            </w:r>
          </w:p>
        </w:tc>
      </w:tr>
    </w:tbl>
    <w:p>
      <w:pPr>
        <w:spacing w:after="20"/>
      </w:pPr>
    </w:p>
    <w:p>
      <w:pPr>
        <w:pStyle w:val="Heading2"/>
      </w:pPr>
      <w:r>
        <w:t>Regresión final reconciliada</w:t>
      </w:r>
    </w:p>
    <w:p>
      <w:r>
        <w:t>Estado: FAIL. Resultado: 960 casos únicos: 944 PASS, 1 FAIL, 15 SKIP, 0 ERROR; 1021 ejecuciones en ocho JUnit. Entorno: Regresión SQLite y módulos aislados en Docker, con precedencia final por classname y nombre parametrizado.</w:t>
      </w:r>
    </w:p>
    <w:p>
      <w:r>
        <w:t>Evidencia: outputs/.qa/strategic-final-uat/backend-reconciled-final.json SHA256 2A5A5D5F632ED5F5029229338A3CC5E7B423245BC1E3E34F5E8F3C35E4147A63. El único fallo fue confirmado en una base nueva: BUSINESS_CASE_NOT_READY del ensayo FID. Los 15 SKIP incluyen concurrencia PostgreSQL y perfiles opt in; no se presentan todos como opcionales ni se suma el rerun como casos nuevos.</w:t>
      </w:r>
    </w:p>
    <w:p>
      <w:pPr>
        <w:pStyle w:val="Heading2"/>
      </w:pPr>
      <w:r>
        <w:t>Protecciones ADMIN y CORE finales</w:t>
      </w:r>
    </w:p>
    <w:p>
      <w:r>
        <w:t>Estado: PASS. Resultado: 78 PASS, 227.566 segundos; 32 protecciones ADMIN y 46 CORE. Entorno: Pruebas aisladas de autoridad, identidad y snapshots con SQLite y mocks según el caso.</w:t>
      </w:r>
    </w:p>
    <w:p>
      <w:r>
        <w:t>Evidencia: outputs/.qa/strategic-final-uat/backend-authority-guard-final.xml SHA256 354BD9FC4D1C23DFBA50FB6A68A36385C3F324E4DC5C25DD0D36722E6F1A52F6. Incluye ocho casos nuevos de adopción en draft, con estado live, invalidación de aprobación e independencia de tenant. Un primer ensayo con 45 PASS y un FAIL detectó un error del nuevo fixture al intentar editar historia inmutable: se corrigió solo la preparación de prueba, luego aprobaron ocho pruebas y las 78 del conjunto final en bases nuevas. Se conserva el XML fallido original y no se suma como casos nuevos. No es ensayo PostgreSQL de concurrencia.</w:t>
      </w:r>
    </w:p>
    <w:p>
      <w:pPr>
        <w:pStyle w:val="Heading2"/>
      </w:pPr>
      <w:r>
        <w:t>Regresión estratégica amplia</w:t>
      </w:r>
    </w:p>
    <w:p>
      <w:r>
        <w:t>Estado: FAIL. Resultado: 914 casos: 889 PASS, 6 FAIL, 3 ERROR, 16 SKIP; 3011.673 segundos. Entorno: Docker SQLite aislado, 61 archivos, backend readonly y temporales tmpfs.</w:t>
      </w:r>
    </w:p>
    <w:p>
      <w:r>
        <w:t>Evidencia: outputs/.qa/strategic-final-uat/backend-strategic-regression.xml. Se conserva este resultado original. Reruns por módulo no se cuentan como casos nuevos ni convierten esta ejecución en un global verde.</w:t>
      </w:r>
    </w:p>
    <w:p>
      <w:pPr>
        <w:pStyle w:val="Heading2"/>
      </w:pPr>
      <w:r>
        <w:t>Rutas de negocio PostgreSQL</w:t>
      </w:r>
    </w:p>
    <w:p>
      <w:r>
        <w:t>Estado: PASS. Resultado: 3 PASS, cero FAIL ERROR SKIP, 239.293 segundos. Entorno: PostgreSQL qra_evidence_browser descartable y TestClient HTTP real.</w:t>
      </w:r>
    </w:p>
    <w:p>
      <w:r>
        <w:t>Evidencia: outputs/.qa/strategic-final-uat/routes-postgresql-final.xml. B y C hasta ACTIVATED y A upstream hasta Project pending. La primera ejecución tuvo error de harnés ALLOWED_HOSTS que se corrigió; no se presenta como fallo de negocio.</w:t>
      </w:r>
    </w:p>
    <w:p>
      <w:pPr>
        <w:pStyle w:val="Heading2"/>
      </w:pPr>
      <w:r>
        <w:t>Rutas de negocio SQLite</w:t>
      </w:r>
    </w:p>
    <w:p>
      <w:r>
        <w:t>Estado: PASS. Resultado: 3 PASS, 116.38 segundos. Entorno: SQLite aislado con actores y revisores independientes.</w:t>
      </w:r>
    </w:p>
    <w:p>
      <w:r>
        <w:t>Evidencia: docs/validation/strategic-final-uat/scenario-routes-sqlite-junit.xml. Project14 no existe en esta fixture; ausente a ausente no acredita preservación del registro operacional.</w:t>
      </w:r>
    </w:p>
    <w:p>
      <w:pPr>
        <w:pStyle w:val="Heading2"/>
      </w:pPr>
      <w:r>
        <w:t>Frontend enfocado posterior a corrección</w:t>
      </w:r>
    </w:p>
    <w:p>
      <w:r>
        <w:t>Estado: PASS. Resultado: 44 PASS en cinco archivos, 72.42 segundos. Entorno: Vitest de blueprint, outlet, landing, navigation y Enterprise Structure real.</w:t>
      </w:r>
    </w:p>
    <w:p>
      <w:r>
        <w:t>Evidencia: docs/validation/strategic-final-uat/frontend_focused_after_tests.json. No equivale a Chromium ni a una nueva ejecución completa de todas las pruebas frontend.</w:t>
      </w:r>
    </w:p>
    <w:p>
      <w:pPr>
        <w:pStyle w:val="Heading2"/>
      </w:pPr>
      <w:r>
        <w:t>Chromium real sin mocks de rutas</w:t>
      </w:r>
    </w:p>
    <w:p>
      <w:r>
        <w:t>Estado: PASS. Resultado: 4 PASS, 0 FAIL, 0 ERROR y 0 SKIP; 218.578 segundos de suite. Entorno: Vite en puerto 5533 y API en 8830 con PostgreSQL aislado con fixture QRA real y disposable-only.</w:t>
      </w:r>
    </w:p>
    <w:p>
      <w:r>
        <w:t>Evidencia: outputs/.qa/strategic-final-uat/browser-final.xml y performance/browser-evidence-audit.json. Ocho capturas y cuatro trazas. El árbol Explorer no se esperó hasta hidratarse; editor Policy terminó en draft. No acredita toda la ruta A ni aceptación empresarial ni el bloqueo visual del editor publicado.</w:t>
      </w:r>
    </w:p>
    <w:p>
      <w:pPr>
        <w:pStyle w:val="Heading2"/>
      </w:pPr>
      <w:r>
        <w:t>TypeScript y ESLint</w:t>
      </w:r>
    </w:p>
    <w:p>
      <w:r>
        <w:t>Estado: PASS. Resultado: TypeScript sin diagnósticos; ESLint sin errores y con nueve warnings preexistentes. Entorno: Frontend completo con runtimes actuales y --max-warnings 10.</w:t>
      </w:r>
    </w:p>
    <w:p>
      <w:r>
        <w:t>Evidencia: outputs/.qa/strategic-final-uat/frontend-static-final.json. Las nueve advertencias pertenecen al BimIfcModelViewer sin cambios; no se ocultaron aumentando el umbral.</w:t>
      </w:r>
    </w:p>
    <w:p>
      <w:pPr>
        <w:pStyle w:val="Heading2"/>
      </w:pPr>
      <w:r>
        <w:t>Roundtrip última migración QRA</w:t>
      </w:r>
    </w:p>
    <w:p>
      <w:r>
        <w:t>Estado: PASS. Resultado: 2 PASS, 0 FAIL, 0 ERROR y 0 SKIP; 224.51 segundos. Entorno: SQLite y PostgreSQL qra_engine_migration descartable.</w:t>
      </w:r>
    </w:p>
    <w:p>
      <w:r>
        <w:t>Evidencia: outputs/.qa/strategic-final-uat/migration-roundtrip.xml. 0067→0068→0067→0068 con preservación histórica y triggers; no es roundtrip de toda la historia Alembic ni de la base operacional.</w:t>
      </w:r>
    </w:p>
    <w:p>
      <w:pPr>
        <w:pStyle w:val="Heading1"/>
      </w:pPr>
      <w:r>
        <w:t>Seguridad e integridad de datos</w:t>
      </w:r>
    </w:p>
    <w:p>
      <w:r>
        <w:t>Los guards nuevos rechazan sin DML creación PROJECT, transición de estado y materialización CORE alternativa; conservan identidad tenant-scoped, external_key e ID de snapshot. La regresión de independencia y permisos se informa por ejecución, no por presencia de botones. La herramienta de reconciliación/importación CORE histórica de tenant1 y plantilla exacta se conserva como compatibilidad histórica y no se presenta como nueva ruta USER.</w:t>
      </w:r>
    </w:p>
    <w:p>
      <w:r>
        <w:t>Lectura operacional posterior al recreado local mediante BEGIN READ ONLY y ROLLBACK: 31 Workspaces, 95 configuraciones publicadas, cinco Evidence Policies con hashes sin cambios y cero QRA runs. Workspace 14 permanece PRJ-PPMIS, external_key PRJ-PYP-PPMIS, Record Code 01.03.01.02.01, active, versión 1, MD5 ef67b78a4d4902d2dc6db3efb017b80b igual al baseline. Se reconstruyen y recrean solo api, worker y beat locales con AUTO_CREATE_SCHEMA=false y SEED_DEMO_DATA=false mediante un override acotado. No se toca ningún volumen. El frontend usa su montaje de código existente. No se publica política operacional ni se ejecuta migración ni prueba destructiva contra ID 14. El despliegue local de correcciones no equivale a aprobación empresarial.</w:t>
      </w:r>
    </w:p>
    <w:p>
      <w:pPr>
        <w:pStyle w:val="Heading1"/>
      </w:pPr>
      <w:r>
        <w:t>Datos migraciones y catálogo persistente</w:t>
      </w:r>
    </w:p>
    <w:p>
      <w:r>
        <w:t>El inventario de fuente contiene 119 tablas: ACTIVE=91; CONFIGURATION=8; HISTORICAL_REQUIRED=14; TRANSIENT/COMMAND_RECEIPT=6. ACTIVE, CONFIGURATION, HISTORICAL_REQUIRED y TRANSIENT/COMMAND_RECEIPT describen retención; no autorizan borrar tablas o filas.</w:t>
      </w:r>
    </w:p>
    <w:p>
      <w:r>
        <w:t>Alembic conserva una sola cabeza 20261011_0068. Dos pruebas nuevas de upgrade de 0067 a 0068, downgrade a 0067 y reupgrade a 0068 aprobaron en SQLite y PostgreSQL descartables en 224.51 segundos. Verifican el último cambio QRA, no un ciclo de todas las migraciones estratégicas históricas. Nunca se ejecuta downgrade en la base operacional.</w:t>
      </w:r>
    </w:p>
    <w:p>
      <w:pPr>
        <w:pStyle w:val="Heading1"/>
      </w:pPr>
      <w:r>
        <w:t>Rendimiento accesibilidad y usabilidad</w:t>
      </w:r>
    </w:p>
    <w:p>
      <w:r>
        <w:t>Mediciones locales Chromium contra API aislada, una muestra por petición, no SLA ni prueba de escalabilidad. Navegación por teclado Review: 1450.523 ms; registro Review: 1194.694 ms; Explorer API: 1279.535 ms; registro Gate: 2038.848 ms y overview: 3817.519 ms; registro BC: 8097.034 ms y revisiones: 1564.800 ms; historia Policy: 1136.024 ms; preview real: 15772.844 ms; providers COST_QRA: 3068.335 ms y SCHEDULE_QRA: 1940.225 ms. Project Matrix no se midió porque no había sesión Review. Se conservan JSON de tiempos y trazas con las condiciones de la fixture.</w:t>
      </w:r>
    </w:p>
    <w:p>
      <w:r>
        <w:t>Cuatro pruebas Chromium aprobadas comprueban acceso por teclado, labels, breadcrumb, superficie ADMIN real, denegación al lector y POST 409 sin creación. No certifican WCAG ni aceptación humana. Ocho capturas revisadas muestran límites: Explorer aún CONSULTANDO no prueba árbol hidratado; el editor Policy quedó en draft y no prueba editor publicado bloqueado; la navegación mobile es extensa y el orden visual de columnas es confuso; Gate tiene texto desbordado. Se registran dos tickets S4 de presentación. La lectura histórica API conserva hashes y preview persisted=false. La revisión visual de Word y Excel es independiente de estos ensayos UI.</w:t>
      </w:r>
    </w:p>
    <w:p>
      <w:pPr>
        <w:pStyle w:val="Heading1"/>
      </w:pPr>
      <w:r>
        <w:t>Resumen de defectos por severidad</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2563"/>
        <w:gridCol w:w="2563"/>
      </w:tblGrid>
      <w:tr>
        <w:trPr>
          <w:tblHeader w:val="true"/>
        </w:trPr>
        <w:tc>
          <w:tcPr>
            <w:tcW w:type="dxa" w:w="5040"/>
            <w:shd w:fill="17324D"/>
            <w:tcMar>
              <w:top w:w="100" w:type="dxa"/>
              <w:start w:w="100" w:type="dxa"/>
              <w:bottom w:w="100" w:type="dxa"/>
              <w:end w:w="100" w:type="dxa"/>
            </w:tcMar>
            <w:vAlign w:val="center"/>
          </w:tcPr>
          <w:p>
            <w:pPr>
              <w:jc w:val="left"/>
            </w:pPr>
            <w:r>
              <w:rPr>
                <w:rFonts w:ascii="Aptos" w:hAnsi="Aptos" w:eastAsia="Aptos"/>
                <w:b/>
                <w:color w:val="FFFFFF"/>
                <w:sz w:val="19"/>
              </w:rPr>
              <w:t>Severidad</w:t>
            </w:r>
          </w:p>
        </w:tc>
        <w:tc>
          <w:tcPr>
            <w:tcW w:type="dxa" w:w="2563"/>
            <w:shd w:fill="17324D"/>
            <w:tcMar>
              <w:top w:w="100" w:type="dxa"/>
              <w:start w:w="100" w:type="dxa"/>
              <w:bottom w:w="100" w:type="dxa"/>
              <w:end w:w="100" w:type="dxa"/>
            </w:tcMar>
            <w:vAlign w:val="center"/>
          </w:tcPr>
          <w:p>
            <w:pPr>
              <w:jc w:val="left"/>
            </w:pPr>
            <w:r>
              <w:rPr>
                <w:rFonts w:ascii="Aptos" w:hAnsi="Aptos" w:eastAsia="Aptos"/>
                <w:b/>
                <w:color w:val="FFFFFF"/>
                <w:sz w:val="19"/>
              </w:rPr>
              <w:t>Abiertos</w:t>
            </w:r>
          </w:p>
        </w:tc>
        <w:tc>
          <w:tcPr>
            <w:tcW w:type="dxa" w:w="2563"/>
            <w:shd w:fill="17324D"/>
            <w:tcMar>
              <w:top w:w="100" w:type="dxa"/>
              <w:start w:w="100" w:type="dxa"/>
              <w:bottom w:w="100" w:type="dxa"/>
              <w:end w:w="100" w:type="dxa"/>
            </w:tcMar>
            <w:vAlign w:val="center"/>
          </w:tcPr>
          <w:p>
            <w:pPr>
              <w:jc w:val="left"/>
            </w:pPr>
            <w:r>
              <w:rPr>
                <w:rFonts w:ascii="Aptos" w:hAnsi="Aptos" w:eastAsia="Aptos"/>
                <w:b/>
                <w:color w:val="FFFFFF"/>
                <w:sz w:val="19"/>
              </w:rPr>
              <w:t>Cerrados</w:t>
            </w:r>
          </w:p>
        </w:tc>
      </w:tr>
      <w:tr>
        <w:trPr>
          <w:cantSplit/>
        </w:trPr>
        <w:tc>
          <w:tcPr>
            <w:tcW w:type="dxa" w:w="5040"/>
            <w:tcMar>
              <w:top w:w="100" w:type="dxa"/>
              <w:start w:w="100" w:type="dxa"/>
              <w:bottom w:w="100" w:type="dxa"/>
              <w:end w:w="100" w:type="dxa"/>
            </w:tcMar>
            <w:vAlign w:val="center"/>
          </w:tcPr>
          <w:p>
            <w:pPr>
              <w:spacing w:after="20" w:line="250" w:lineRule="auto"/>
            </w:pPr>
            <w:r>
              <w:rPr>
                <w:rFonts w:ascii="Aptos" w:hAnsi="Aptos" w:eastAsia="Aptos"/>
                <w:color w:val="202A33"/>
                <w:sz w:val="19"/>
              </w:rPr>
              <w:t>S1</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r>
      <w:tr>
        <w:trPr>
          <w:cantSplit/>
        </w:trPr>
        <w:tc>
          <w:tcPr>
            <w:tcW w:type="dxa" w:w="50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S2</w:t>
            </w:r>
          </w:p>
        </w:tc>
        <w:tc>
          <w:tcPr>
            <w:tcW w:type="dxa" w:w="256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1</w:t>
            </w:r>
          </w:p>
        </w:tc>
        <w:tc>
          <w:tcPr>
            <w:tcW w:type="dxa" w:w="256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2</w:t>
            </w:r>
          </w:p>
        </w:tc>
      </w:tr>
      <w:tr>
        <w:trPr>
          <w:cantSplit/>
        </w:trPr>
        <w:tc>
          <w:tcPr>
            <w:tcW w:type="dxa" w:w="5040"/>
            <w:tcMar>
              <w:top w:w="100" w:type="dxa"/>
              <w:start w:w="100" w:type="dxa"/>
              <w:bottom w:w="100" w:type="dxa"/>
              <w:end w:w="100" w:type="dxa"/>
            </w:tcMar>
            <w:vAlign w:val="center"/>
          </w:tcPr>
          <w:p>
            <w:pPr>
              <w:spacing w:after="20" w:line="250" w:lineRule="auto"/>
            </w:pPr>
            <w:r>
              <w:rPr>
                <w:rFonts w:ascii="Aptos" w:hAnsi="Aptos" w:eastAsia="Aptos"/>
                <w:color w:val="202A33"/>
                <w:sz w:val="19"/>
              </w:rPr>
              <w:t>S3</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2</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1</w:t>
            </w:r>
          </w:p>
        </w:tc>
      </w:tr>
      <w:tr>
        <w:trPr>
          <w:cantSplit/>
        </w:trPr>
        <w:tc>
          <w:tcPr>
            <w:tcW w:type="dxa" w:w="504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S4</w:t>
            </w:r>
          </w:p>
        </w:tc>
        <w:tc>
          <w:tcPr>
            <w:tcW w:type="dxa" w:w="256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5</w:t>
            </w:r>
          </w:p>
        </w:tc>
        <w:tc>
          <w:tcPr>
            <w:tcW w:type="dxa" w:w="2563"/>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0</w:t>
            </w:r>
          </w:p>
        </w:tc>
      </w:tr>
      <w:tr>
        <w:trPr>
          <w:cantSplit/>
        </w:trPr>
        <w:tc>
          <w:tcPr>
            <w:tcW w:type="dxa" w:w="5040"/>
            <w:tcMar>
              <w:top w:w="100" w:type="dxa"/>
              <w:start w:w="100" w:type="dxa"/>
              <w:bottom w:w="100" w:type="dxa"/>
              <w:end w:w="100" w:type="dxa"/>
            </w:tcMar>
            <w:vAlign w:val="center"/>
          </w:tcPr>
          <w:p>
            <w:pPr>
              <w:spacing w:after="20" w:line="250" w:lineRule="auto"/>
            </w:pPr>
            <w:r>
              <w:rPr>
                <w:rFonts w:ascii="Aptos" w:hAnsi="Aptos" w:eastAsia="Aptos"/>
                <w:color w:val="202A33"/>
                <w:sz w:val="19"/>
              </w:rPr>
              <w:t>S5</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c>
          <w:tcPr>
            <w:tcW w:type="dxa" w:w="2563"/>
            <w:tcMar>
              <w:top w:w="100" w:type="dxa"/>
              <w:start w:w="100" w:type="dxa"/>
              <w:bottom w:w="100" w:type="dxa"/>
              <w:end w:w="100" w:type="dxa"/>
            </w:tcMar>
            <w:vAlign w:val="center"/>
          </w:tcPr>
          <w:p>
            <w:pPr>
              <w:spacing w:after="20" w:line="250" w:lineRule="auto"/>
            </w:pPr>
            <w:r>
              <w:rPr>
                <w:rFonts w:ascii="Aptos" w:hAnsi="Aptos" w:eastAsia="Aptos"/>
                <w:color w:val="202A33"/>
                <w:sz w:val="19"/>
              </w:rPr>
              <w:t>0</w:t>
            </w:r>
          </w:p>
        </w:tc>
      </w:tr>
    </w:tbl>
    <w:p>
      <w:pPr>
        <w:spacing w:after="20"/>
      </w:pPr>
    </w:p>
    <w:p>
      <w:pPr>
        <w:pStyle w:val="Heading1"/>
      </w:pPr>
      <w:r>
        <w:t>Defectos y acciones abiertas</w:t>
      </w:r>
    </w:p>
    <w:p>
      <w:pPr>
        <w:pStyle w:val="Heading2"/>
      </w:pPr>
      <w:r>
        <w:t>UAT S2 001 Project creado o activado por comandos ADMIN genéricos</w:t>
      </w:r>
    </w:p>
    <w:p>
      <w:r>
        <w:t>Clasificación: DEFECT. Severidad: S2 CRITICAL. Estado: CLOSED_SCOPED_TESTS_PASS.</w:t>
      </w:r>
    </w:p>
    <w:p>
      <w:r>
        <w:t>Se rechazó PROJECT con 409 antes de DML y se preservaron las actualizaciones legítimas sin cambio de lifecycle.</w:t>
      </w:r>
    </w:p>
    <w:p>
      <w:r>
        <w:t>Acción: Usar Project Creation Process USER y lifecycle existente. Responsable: Equipo de desarrollo.</w:t>
      </w:r>
    </w:p>
    <w:p>
      <w:r>
        <w:t>Evidencia: backend-authority-guard-final.xml; browser-final.xml negativo: tres Workspaces antes y tres después</w:t>
      </w:r>
    </w:p>
    <w:p>
      <w:pPr>
        <w:pStyle w:val="Heading2"/>
      </w:pPr>
      <w:r>
        <w:t>UAT S2 002 Revisión CORE materializa Project nuevo activo o cambia estado fuera del lifecycle</w:t>
      </w:r>
    </w:p>
    <w:p>
      <w:r>
        <w:t>Clasificación: DEFECT. Severidad: S2 CRITICAL. Estado: CLOSED_SCOPED_TESTS_PASS.</w:t>
      </w:r>
    </w:p>
    <w:p>
      <w:r>
        <w:t>Preflight rechaza nueva identidad, conversión, omisión que archivaría y cambio de estado antes de materializar. La adopción existente requiere identidad tenant scoped.</w:t>
      </w:r>
    </w:p>
    <w:p>
      <w:r>
        <w:t>Acción: Adoptar solo identidades históricas existentes sin cambios de lifecycle. Responsable: Equipo de desarrollo.</w:t>
      </w:r>
    </w:p>
    <w:p>
      <w:r>
        <w:t>Evidencia: backend-authority-guard-final.xml y tests CORE de identidad; reproducción anterior conservada</w:t>
      </w:r>
    </w:p>
    <w:p>
      <w:pPr>
        <w:pStyle w:val="Heading2"/>
      </w:pPr>
      <w:r>
        <w:t>UAT S2 003 Capital Owner completo no acreditado y fixture FID sin fuentes Five Case requeridas</w:t>
      </w:r>
    </w:p>
    <w:p>
      <w:r>
        <w:t>Clasificación: CONFIGURATION GAP. Severidad: S2 CRITICAL. Estado: OPEN.</w:t>
      </w:r>
    </w:p>
    <w:p>
      <w:r>
        <w:t>Una base nueva reproduce BUSINESS_CASE_NOT_READY. El ensayo viejo no prepara las fuentes requeridas por Five Case vigente; no demuestra ausencia de módulos productivos.</w:t>
      </w:r>
    </w:p>
    <w:p>
      <w:r>
        <w:t>Acción: No liberar. Preparar fuentes BA Benefits Commercial Permit FEL y FIN por sus ciclos reales y repetir una sola cadena fresca. Responsable: Responsables UAT y administradores de dominios por designar.</w:t>
      </w:r>
    </w:p>
    <w:p>
      <w:r>
        <w:t>Evidencia: backend-full-fid-isolated-final.xml; no rebajar requisitos</w:t>
      </w:r>
    </w:p>
    <w:p>
      <w:pPr>
        <w:pStyle w:val="Heading2"/>
      </w:pPr>
      <w:r>
        <w:t>UAT S3 001 Review aparecía antes de Convergence</w:t>
      </w:r>
    </w:p>
    <w:p>
      <w:r>
        <w:t>Clasificación: UX/NAVIGATION GAP. Severidad: S3 MAJOR. Estado: CLOSED_SCOPED_TESTS_PASS.</w:t>
      </w:r>
    </w:p>
    <w:p>
      <w:r>
        <w:t>El blueprint único sitúa Review después de Convergence, conservando rutas y configuración ADMIN; orden y teclado comprobados.</w:t>
      </w:r>
    </w:p>
    <w:p>
      <w:r>
        <w:t>Acción: Orden del blueprint corregido con mismas rutas y nombres. Responsable: Equipo frontend.</w:t>
      </w:r>
    </w:p>
    <w:p>
      <w:r>
        <w:t>Evidencia: 44 pruebas frontend enfocadas; browser-final.xml</w:t>
      </w:r>
    </w:p>
    <w:p>
      <w:pPr>
        <w:pStyle w:val="Heading2"/>
      </w:pPr>
      <w:r>
        <w:t>UAT S3 002 Fixtures de regresión comparten estado e identificadores entre módulos</w:t>
      </w:r>
    </w:p>
    <w:p>
      <w:r>
        <w:t>Clasificación: CODE/TECHNICAL DEBT. Severidad: S3 MAJOR. Estado: OPEN_WORKAROUND_NOT_BUSINESS_APPROVED.</w:t>
      </w:r>
    </w:p>
    <w:p>
      <w:r>
        <w:t>El global conserva 6 FAIL y 3 ERROR. Reruns en DB independientes separan contaminación del único fallo FID confirmado. Falta integrar aislamiento estable en la suite.</w:t>
      </w:r>
    </w:p>
    <w:p>
      <w:r>
        <w:t>Acción: Importer con 12 casos, Enterprise con ocho, Portfolio Preview con dos y rutas con tres aprobaron en bases independientes. No afirmar global verde ni workaround ya aceptado. Responsable: Equipo de pruebas.</w:t>
      </w:r>
    </w:p>
    <w:p>
      <w:r>
        <w:t>Evidencia: backend-reconciled-final.json y regression-reconciliation-notes.md; resultado original conservado</w:t>
      </w:r>
    </w:p>
    <w:p>
      <w:pPr>
        <w:pStyle w:val="Heading2"/>
      </w:pPr>
      <w:r>
        <w:t>UAT S4 001 Aplicabilidad de gobernanza de navegación es metadata y no filtro runtime</w:t>
      </w:r>
    </w:p>
    <w:p>
      <w:r>
        <w:t>Clasificación: CODE/TECHNICAL DEBT. Severidad: S4 MINOR. Estado: OPEN.</w:t>
      </w:r>
    </w:p>
    <w:p>
      <w:r>
        <w:t>El menú puede mostrar rutas no aplicables; las acciones siguen sujetas a elegibilidad y permisos backend.</w:t>
      </w:r>
    </w:p>
    <w:p>
      <w:r>
        <w:t>Acción: Usar allowed_actions y elegibilidad backend; el menú no otorga autoridad. Responsable: Responsable frontend por designar.</w:t>
      </w:r>
    </w:p>
    <w:p>
      <w:r>
        <w:t>Evidencia: frontend_findings.json FE-S4-001</w:t>
      </w:r>
    </w:p>
    <w:p>
      <w:pPr>
        <w:pStyle w:val="Heading2"/>
      </w:pPr>
      <w:r>
        <w:t>UAT S4 002 Renderers BC legacy requieren decisión de deprecación</w:t>
      </w:r>
    </w:p>
    <w:p>
      <w:r>
        <w:t>Clasificación: CODE/TECHNICAL DEBT. Severidad: S4 MINOR. Estado: OPEN.</w:t>
      </w:r>
    </w:p>
    <w:p>
      <w:r>
        <w:t>Once renderers fuera del registro canónico podrían tener consumidores externos. No hay prueba suficiente de retiro seguro.</w:t>
      </w:r>
    </w:p>
    <w:p>
      <w:r>
        <w:t>Acción: Usar rutas canónicas Five Case; conservar históricos y enlaces externos hasta confirmar consumidores. Responsable: Responsable de compatibilidad por designar.</w:t>
      </w:r>
    </w:p>
    <w:p>
      <w:r>
        <w:t>Evidencia: frontend_legacy_renderers.json</w:t>
      </w:r>
    </w:p>
    <w:p>
      <w:pPr>
        <w:pStyle w:val="Heading2"/>
      </w:pPr>
      <w:r>
        <w:t>UAT S4 003 Explorer compartido también contiene acciones USER y su etiqueta metadata es incompleta</w:t>
      </w:r>
    </w:p>
    <w:p>
      <w:r>
        <w:t>Clasificación: DOCUMENTATION GAP. Severidad: S4 MINOR. Estado: OPEN.</w:t>
      </w:r>
    </w:p>
    <w:p>
      <w:r>
        <w:t>La clasificación READ_ONLY_SHARED no describe sus transacciones USER protegidas; no se usa la etiqueta como control de seguridad.</w:t>
      </w:r>
    </w:p>
    <w:p>
      <w:r>
        <w:t>Acción: Guías distinguen lectura compartida de transacciones USER protegidas. Responsable: Responsable de documentación por designar.</w:t>
      </w:r>
    </w:p>
    <w:p>
      <w:r>
        <w:t>Evidencia: frontend_findings.json FE-S4-003</w:t>
      </w:r>
    </w:p>
    <w:p>
      <w:pPr>
        <w:pStyle w:val="Heading2"/>
      </w:pPr>
      <w:r>
        <w:t>UAT S4 004 Texto largo y badges desbordan tarjetas Gate</w:t>
      </w:r>
    </w:p>
    <w:p>
      <w:r>
        <w:t>Clasificación: UX/NAVIGATION GAP. Severidad: S4 MINOR. Estado: OPEN.</w:t>
      </w:r>
    </w:p>
    <w:p>
      <w:r>
        <w:t>La captura Gate muestra FROZEN_HISTORICAL_SOURCE_PRESERVED cruzando tarjeta y etiqueta Decision Package recortada.</w:t>
      </w:r>
    </w:p>
    <w:p>
      <w:r>
        <w:t>Acción: Consultar evidencia histórica API y usar viewport amplio; corregir wrap/min-width antes de aceptación visual final. Responsable: Equipo frontend.</w:t>
      </w:r>
    </w:p>
    <w:p>
      <w:r>
        <w:t>Evidencia: performance/browser-evidence-audit.json y gate-frozen-historical-read.png</w:t>
      </w:r>
    </w:p>
    <w:p>
      <w:pPr>
        <w:pStyle w:val="Heading2"/>
      </w:pPr>
      <w:r>
        <w:t>UAT S4 005 Navegación expandida mobile demasiado extensa y orden visual confuso</w:t>
      </w:r>
    </w:p>
    <w:p>
      <w:r>
        <w:t>Clasificación: UX/NAVIGATION GAP. Severidad: S4 MINOR. Estado: OPEN.</w:t>
      </w:r>
    </w:p>
    <w:p>
      <w:r>
        <w:t>A 390 px la navegación ocupa aproximadamente 3700 px antes del contenido y las columnas muestran fase 5 por encima de fase 4.</w:t>
      </w:r>
    </w:p>
    <w:p>
      <w:r>
        <w:t>Acción: Colapsar navegación o usar escritorio; revisar una sola columna y acceso directo al contenido. Responsable: Equipo frontend.</w:t>
      </w:r>
    </w:p>
    <w:p>
      <w:r>
        <w:t>Evidencia: performance/browser-evidence-audit.json y user-review-mobile.png</w:t>
      </w:r>
    </w:p>
    <w:p>
      <w:pPr>
        <w:pStyle w:val="Heading2"/>
      </w:pPr>
      <w:r>
        <w:t>UAT S3 003 Adopción de Project exige padre live representado en CORE</w:t>
      </w:r>
    </w:p>
    <w:p>
      <w:r>
        <w:t>Clasificación: CONFIGURATION GAP. Severidad: S3 MAJOR. Estado: OPEN.</w:t>
      </w:r>
    </w:p>
    <w:p>
      <w:r>
        <w:t>Si el padre de un Project posterior no existe en el snapshot con ID exacto, clone devuelve 409 PROJECT_PARENT_RECONCILIATION_REQUIRED antes de DML. No hay un flujo de reconciliación completa de ancestros acreditado en esta UAT.</w:t>
      </w:r>
    </w:p>
    <w:p>
      <w:r>
        <w:t>Acción: Conservar el snapshot y detener publicación. Preparar reconciliación controlada de padres existentes sin inventar identidades ni modificar historia; no omitir el guard. Responsable: Responsables de Enterprise Structure y UAT.</w:t>
      </w:r>
    </w:p>
    <w:p>
      <w:r>
        <w:t>Evidencia: test_project_with_missing_core_parent_requires_reconciliation_before_any_draft_dml; backend-authority-guard-final.xml</w:t>
      </w:r>
    </w:p>
    <w:p>
      <w:r>
        <w:t>SCENARIO-GAP-01. No existing single fresh test proves A0-A31 across one realistic modern Capital Owner fixture. Do not claim full fresh Capital Owner E2E by adding separate historical/domain/partial executions.</w:t>
      </w:r>
    </w:p>
    <w:p>
      <w:r>
        <w:t>SCENARIO-GAP-02. Historical docker-compose.gate07m-fid-e2e.yml hardcodes head 20260902_0058 and validates that old expected head. Cannot run unchanged against required 20261011_0068 baseline; use dedicated new disposable harness with current migration verification.</w:t>
      </w:r>
    </w:p>
    <w:p>
      <w:r>
        <w:t>SCENARIO-GAP-03. test_contractor_and_direct_governance_models_remain_unaffected tests only CONTRACTOR_DELIVERY, not DIRECT_INTERNAL. Name is not evidence for both models.</w:t>
      </w:r>
    </w:p>
    <w:p>
      <w:r>
        <w:t>SCENARIO-GAP-04. gate07m-fid-real-stack browser consumes prebuilt downstream evidence; project-governance-multi-source browser is UI/policy/form coverage, not compact creation→activation. Historical real browser evidence must not be labeled full Capital Owner A0-A31 or compact B/C lifecycle.</w:t>
      </w:r>
    </w:p>
    <w:p>
      <w:r>
        <w:t>SCENARIO-NOTE-05. Actual modern Idea route includes conditional mandatory BA; Proposal stored status and readiness label differ. Guides must distinguish ACCEPTED/READY_FOR_BUSINESS_ANALYSIS/READY_FOR_PROJECT_PROPOSAL; READY_FOR_STRATEGIC_GATE stored vs READY_FOR_STRATEGIC_GATE_DECISION handoff.</w:t>
      </w:r>
    </w:p>
    <w:p>
      <w:r>
        <w:t>SCENARIO-NOTE-06. Final new SQLite suite 3 PASS; pytest cache writing reports Windows ACL warnings. No functional failing assertion; not evidence of zero runtime warnings.</w:t>
      </w:r>
    </w:p>
    <w:p>
      <w:pPr>
        <w:pStyle w:val="Heading1"/>
      </w:pPr>
      <w:r>
        <w:t>Revisión de limpieza y deuda técnica</w:t>
      </w:r>
    </w:p>
    <w:p>
      <w:r>
        <w:t>Se clasifican 18 candidatos backend y 77 frontend: REQUIRES_DEPRECATION=13; STILL_REFERENCED=13; HISTORICAL_COMPATIBILITY_REQUIRED=4; UNKNOWN=65. No encontrar un consumidor directo no demuestra código muerto. Requiere distinguir REQUIRES_DEPRECATION, STILL_REFERENCED, HISTORICAL_COMPATIBILITY_REQUIRED, SAFE_TO_REMOVE y UNKNOWN.</w:t>
      </w:r>
    </w:p>
    <w:p>
      <w:r>
        <w:t>Se inventariaron rutas, APIs, tablas, modelos, resolvers y candidatos legacy. No se elimina código por ausencia de consumidor directo. Once renderers BC legacy y métodos sin referencia estática permanecen clasificados para deprecación o investigación. No se elimina ninguna tabla ni snapshot histórico; los cambios son guards y reutilización de vistas existentes.</w:t>
      </w:r>
    </w:p>
    <w:p>
      <w:pPr>
        <w:pStyle w:val="Heading1"/>
      </w:pPr>
      <w:r>
        <w:t>Autoridades de negocio conservadas</w:t>
      </w:r>
    </w:p>
    <w:p>
      <w:r>
        <w:t>BR01. ADMIN configures reusable policy; USER executes live records.</w:t>
      </w:r>
    </w:p>
    <w:p>
      <w:r>
        <w:t>BR02. Idea belongs to eligible enterprise/business-unit/portfolio and is a strategic record, not a Workspace.</w:t>
      </w:r>
    </w:p>
    <w:p>
      <w:r>
        <w:t>BR03. Fresh CAPITAL_OWNER Idea may require independently completed Business Analysis before Proposal; do not silently use grandfathered snapshots.</w:t>
      </w:r>
    </w:p>
    <w:p>
      <w:r>
        <w:t>BR04. Project identity is enterprise_workspaces with workspace_type_code=project; materialization is single shared engine.</w:t>
      </w:r>
    </w:p>
    <w:p>
      <w:r>
        <w:t>BR05. Governance model and project_type are independent dimensions.</w:t>
      </w:r>
    </w:p>
    <w:p>
      <w:r>
        <w:t>BR06. Strategic Gate APPROVE authorizes Portfolio Intake, not Project creation, FID or activation; governed planning entry and materializer create identity.</w:t>
      </w:r>
    </w:p>
    <w:p>
      <w:r>
        <w:t>BR07. Every materialized Project starts pending; initialization and independent activation are separate.</w:t>
      </w:r>
    </w:p>
    <w:p>
      <w:r>
        <w:t>BR08. Portfolio Rank is contextual to membership/evaluation, not global per Project.</w:t>
      </w:r>
    </w:p>
    <w:p>
      <w:r>
        <w:t>BR09. Mixed monetary currencies without governed FX cannot be silently aggregated/comparable.</w:t>
      </w:r>
    </w:p>
    <w:p>
      <w:r>
        <w:t>BR10. Budget FROZEN is analytical immutability, not approved investment authority.</w:t>
      </w:r>
    </w:p>
    <w:p>
      <w:r>
        <w:t>BR11. Strategic Resource Scenario does not change Project dates, assign named staff or perform P6 leveling.</w:t>
      </w:r>
    </w:p>
    <w:p>
      <w:r>
        <w:t>BR12. Portfolio recommendation is not FID; infeasible/misaligned alternative cannot be recommended.</w:t>
      </w:r>
    </w:p>
    <w:p>
      <w:r>
        <w:t>BR13. HOLD_FOR_CAPACITY is a portfolio governance request, not Gate07K HOLD or automatic source write-back.</w:t>
      </w:r>
    </w:p>
    <w:p>
      <w:r>
        <w:t>BR14. FEL Stage is not Definition Maturity/PDRI; score cannot hide blocking gaps; Basic Data is separate.</w:t>
      </w:r>
    </w:p>
    <w:p>
      <w:r>
        <w:t>BR15. Owner Capability is not Resource Planning, Contractor Capability or Operational Readiness; maturity is not quality/confidence.</w:t>
      </w:r>
    </w:p>
    <w:p>
      <w:r>
        <w:t>BR16. Funding is not Budget; current confirmed coverage can stale when authority changes without rewriting frozen FIN/BC/Gate/FID.</w:t>
      </w:r>
    </w:p>
    <w:p>
      <w:r>
        <w:t>BR17. Completed immutable content may transition to SUPERSEDED only under controlled lifecycle; history must not be rewritten.</w:t>
      </w:r>
    </w:p>
    <w:p>
      <w:r>
        <w:t>BR18. QRA provider AVAILABLE is not a universal QRA mandate; effective policy controls model/project/type/value/stage applicability.</w:t>
      </w:r>
    </w:p>
    <w:p>
      <w:r>
        <w:t>BR19. Only accepted current QRA with matching analysis/scope/capability can satisfy required QRA evidence.</w:t>
      </w:r>
    </w:p>
    <w:p>
      <w:r>
        <w:t>BR20. Class A native provider requirement cannot be replaced by manual attachment.</w:t>
      </w:r>
    </w:p>
    <w:p>
      <w:r>
        <w:t>BR21. Consumer Gate/BC/FID never creates or executes QRA; no automatic contingency approval/Budget/schedule write-back.</w:t>
      </w:r>
    </w:p>
    <w:p>
      <w:r>
        <w:t>BR22. Gate07J prepares/freezes evidence and can hand off to decision, but has no FID authority; Gate07K sole formal investment decision authority.</w:t>
      </w:r>
    </w:p>
    <w:p>
      <w:r>
        <w:t>BR23. PYP-FFA+GO sets formal FID/full funds/investment authorization; GO selection is not FID and no decision auto-activates Project.</w:t>
      </w:r>
    </w:p>
    <w:p>
      <w:r>
        <w:t>BR24. Post-FID eligibility is not operational execution; existing active Project not reactivated.</w:t>
      </w:r>
    </w:p>
    <w:p>
      <w:r>
        <w:t>BR25. Contractor source authorization is mobilization_authorized or notice_to_proceed_date; Direct source authorization is authorization_approved; Capital Owner source activation requires execution_authorized.</w:t>
      </w:r>
    </w:p>
    <w:p>
      <w:r>
        <w:t>BR26. Contractor/Direct default route does not impose Idea/Portfolio/FEL/PDRI/FID; explicit opt-in policy can add context.</w:t>
      </w:r>
    </w:p>
    <w:p>
      <w:pPr>
        <w:pStyle w:val="Heading1"/>
      </w:pPr>
      <w:r>
        <w:t>Documentos y trazabilidad entregados</w:t>
      </w:r>
    </w:p>
    <w:p>
      <w:r>
        <w:t>El paquete contiene Business Process, User Guide, Admin Guide, UAT Plan and Results, UAT Traceability de ocho hojas y este Final Release Closeout. Las guías separan instrucciones de uso de resultados ejecutados y el workbook conserva campos de firma humana sin completar.</w:t>
      </w:r>
    </w:p>
    <w:p>
      <w:pPr>
        <w:pStyle w:val="Heading1"/>
      </w:pPr>
      <w:r>
        <w:t>Criterios de liberación y decisión</w:t>
      </w:r>
    </w:p>
    <w:p>
      <w:r>
        <w:t>RC01. Mapa y dependencias de procesos: PASS. 44 procesos clasificados con autoridad, RACI, entradas y salidas; precedencia no se fuerza toda a secuencia estricta</w:t>
      </w:r>
    </w:p>
    <w:p>
      <w:r>
        <w:t>RC02. Identidad Project canónica y timing: PASS. enterprise_workspaces PROJECT; materialización USER pending e inicialización y activación independientes</w:t>
      </w:r>
    </w:p>
    <w:p>
      <w:r>
        <w:t>RC03. Segregación ADMIN USER: PASS. Guards y pantallas corregidos con pruebas enfocadas; no se certifica toda autorización mediante inventario estático</w:t>
      </w:r>
    </w:p>
    <w:p>
      <w:r>
        <w:t>RC04. Capital Owner completo A0 a A31: BLOCKED. No existe una ejecución nueva única completa; no sumar upstream, downstream y fixtures adaptadas</w:t>
      </w:r>
    </w:p>
    <w:p>
      <w:r>
        <w:t>RC05. Contractor Delivery compacto: PASS. HTTP y PostgreSQL hasta ACTIVATED sin imponer FID</w:t>
      </w:r>
    </w:p>
    <w:p>
      <w:r>
        <w:t>RC06. Direct Internal compacto: PASS. HTTP y PostgreSQL hasta ACTIVATED sin imponer FID</w:t>
      </w:r>
    </w:p>
    <w:p>
      <w:r>
        <w:t>RC07. Gate FID con configuración empresarial completa: FAIL. Ensayo heredado se bloquea por fuentes Five Case faltantes; no modificar readiness ni reglas para pasar</w:t>
      </w:r>
    </w:p>
    <w:p>
      <w:r>
        <w:t>RC08. Proyecto protegido14: PASS. Fila e identidad y MD5 operacionales sin cambios</w:t>
      </w:r>
    </w:p>
    <w:p>
      <w:r>
        <w:t>RC09. Cabeza única Alembic: PASS. 20261011_0068 sin nueva migración</w:t>
      </w:r>
    </w:p>
    <w:p>
      <w:r>
        <w:t>RC10. Roundtrip última migración0068: PASS. Dos pruebas aprobadas en SQLite y PostgreSQL en 224.51 s: 0067→0068→0067→0068. No acredita roundtrip de todas las migraciones históricas ni se ejecuta en operacional</w:t>
      </w:r>
    </w:p>
    <w:p>
      <w:r>
        <w:t>RC11. Blueprint canónico y App sin expansión: PASS. 197 rutas y orden Review corregido; App.tsx intacto</w:t>
      </w:r>
    </w:p>
    <w:p>
      <w:r>
        <w:t>RC12. Inventarios y limpieza conservadora: PASS. 787 endpoints,119 tablas y clasificación explícita; ninguna eliminación no probada</w:t>
      </w:r>
    </w:p>
    <w:p>
      <w:r>
        <w:t>RC13. 0 S1 abiertos: PASS. No se reprodujo un S1 en el alcance ejecutado; no implica ausencia universal de defectos</w:t>
      </w:r>
    </w:p>
    <w:p>
      <w:r>
        <w:t>RC14. 0 S2 abiertos: FAIL. UAT-S2-003 permanece abierto</w:t>
      </w:r>
    </w:p>
    <w:p>
      <w:r>
        <w:t>RC15. Aceptación autorizada de negocio: BLOCKED. Quince áreas de firma sin representante, fecha ni evidencia; no registrar aceptación ficticia</w:t>
      </w:r>
    </w:p>
    <w:p>
      <w:r>
        <w:t>GO requiere cero S1 y S2 abiertos, ningún bloqueo material de flujo, segregación, autoridad, datos o seguridad, ruta Capital Owner completa, regresión Contractor/Direct y Gate/FID. CONDITIONAL_GO solo permite asuntos no bloqueantes aceptados con responsable y workaround. Sin esas pruebas no se declara estado técnico listo.</w:t>
      </w:r>
    </w:p>
    <w:p>
      <w:r>
        <w:t>Decisión final: NO_GO. Estado final: NOT_VALIDATED.</w:t>
      </w:r>
    </w:p>
    <w:p>
      <w:pPr>
        <w:pStyle w:val="Heading1"/>
      </w:pPr>
      <w:r>
        <w:t>Siguiente incremento y frontera de parada</w:t>
      </w:r>
    </w:p>
    <w:p>
      <w:r>
        <w:t>B. REMEDIATE STRATEGIC UAT BLOCKERS</w:t>
      </w:r>
    </w:p>
    <w:p>
      <w:r>
        <w:t>El alcance termina en la gobernanza posterior al FID y en la elegibilidad de inicialización y activación. No incluye Project Delivery, ejecución de compras, construcción, pagos, contabilidad, tesorería, operación de activos ni realización operativa de beneficios. QRA integrado y QRA avanzado no se liberan.</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14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y cierre de release estratégico</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1</cp:revision>
  <dcterms:created xsi:type="dcterms:W3CDTF">2013-12-23T23:15:00Z</dcterms:created>
  <dcterms:modified xsi:type="dcterms:W3CDTF">2013-12-23T23:15:00Z</dcterms:modified>
  <cp:category/>
</cp:coreProperties>
</file>