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" cy="494088"/>
            <wp:docPr id="1" name="Picture 1" title="P&amp;Pmis Construction AI" descr="Logotipo de P&amp;Pmis Construction A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pmis-construction-ai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494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Guía de uso del macroproceso estratégico</w:t>
      </w:r>
    </w:p>
    <w:p>
      <w:r>
        <w:t>P&amp;Pmis Construction AI. Capital Portfolio &amp; Investment Governance. Corte del 14 de octubre de 2026.</w:t>
      </w:r>
    </w:p>
    <w:p>
      <w:r>
        <w:t>Use esta guía para operar registros y decisiones en USER MODE. Cada proceso identifica su propósito, campos, pasos, estados, salida y límites. Las acciones disponibles dependen del permiso del actor y de la política efectiva del Workspace.</w:t>
      </w:r>
    </w:p>
    <w:p>
      <w:r>
        <w:t>La aceptación de negocio requiere firmas de representantes autorizados. Una prueba técnica aprobada o un inventario de código no constituye esa aceptación.</w:t>
      </w:r>
    </w:p>
    <w:p>
      <w:pPr>
        <w:pStyle w:val="Heading1"/>
      </w:pPr>
      <w:r>
        <w:t>Ingreso y contexto de trabajo</w:t>
      </w:r>
    </w:p>
    <w:p>
      <w:r>
        <w:t>Abra /app, seleccione USER MODE y confirme tenant y Workspace visibles antes de operar. Enterprise Explorer y Workspace Context comparten la identidad canónica. Para crear Project use las acciones Create Project, My Project Requests o My Project Workspaces dentro del Explorer. Las políticas reutilizables se configuran en ADMIN, no en estas transacciones.</w:t>
      </w:r>
    </w:p>
    <w:p>
      <w:r>
        <w:t>Si la API responde un conflicto de versión o fuente, vuelva a cargar y compare el cambio antes de repetir. No omita ETag, SoD o validaciones para hacer avanzar un estado. Solo utilice acciones que el backend habilite en allowed_actions.</w:t>
      </w:r>
    </w:p>
    <w:p>
      <w:pPr>
        <w:pStyle w:val="Heading1"/>
      </w:pPr>
      <w:r>
        <w:t>A1 Enterprise structure and Workspace context</w:t>
      </w:r>
    </w:p>
    <w:p>
      <w:r>
        <w:rPr>
          <w:b/>
        </w:rPr>
        <w:t xml:space="preserve">Propósito </w:t>
      </w:r>
      <w:r>
        <w:t>Consultar la estructura empresarial y el contexto del Workspace sin duplicar la identidad del Project. El registro canónico conserva workspace_type_code=project, external_key y Record Code.</w:t>
      </w:r>
    </w:p>
    <w:p>
      <w:r>
        <w:rPr>
          <w:b/>
        </w:rPr>
        <w:t xml:space="preserve">Cuándo y quién </w:t>
      </w:r>
      <w:r>
        <w:t>Cuando la ruta y política del contexto requieren esta actividad. Usuarios: Enterprise Administrator; Read-only Executive.</w:t>
      </w:r>
    </w:p>
    <w:p>
      <w:r>
        <w:rPr>
          <w:b/>
        </w:rPr>
        <w:t xml:space="preserve">Prerrequisitos </w:t>
      </w:r>
      <w:r>
        <w:t>Enterprise, Business Unit y Portfolio activos según el contexto autorizado; Workspace Types configurados y permisos de consulta para el alcance seleccionado.</w:t>
      </w:r>
    </w:p>
    <w:p>
      <w:r>
        <w:rPr>
          <w:b/>
        </w:rPr>
        <w:t xml:space="preserve">Entradas y campos </w:t>
      </w:r>
      <w:r>
        <w:t>Instance fields; Scoped identity. Campos principales: parent_id; workspace_type_code; code; external_key; record_code; name; status; version.</w:t>
      </w:r>
    </w:p>
    <w:p>
      <w:r>
        <w:rPr>
          <w:b/>
        </w:rPr>
        <w:t xml:space="preserve">Pantalla </w:t>
      </w:r>
      <w:r>
        <w:t>/app/strategy/enterprise-explorer.</w:t>
      </w:r>
    </w:p>
    <w:p>
      <w:r>
        <w:t>1. Abra Enterprise Explorer y espere a que termine la carga de la estructura autorizada.</w:t>
      </w:r>
    </w:p>
    <w:p>
      <w:r>
        <w:t>2. Localice el Workspace y consulte su jerarquía, Record Code y external_key; confirme que pertenece al contexto de trabajo previsto.</w:t>
      </w:r>
    </w:p>
    <w:p>
      <w:r>
        <w:t>3. Abra Workspace Context para consultar la identidad y sus límites de acceso. Para solicitar un Project nuevo, utilice Create Project; no trate de crearlo mediante una configuración genérica.</w:t>
      </w:r>
    </w:p>
    <w:p>
      <w:r>
        <w:rPr>
          <w:b/>
        </w:rPr>
        <w:t xml:space="preserve">Estados </w:t>
      </w:r>
      <w:r>
        <w:t>Workspace status active/pending (lowercase); PROJECT business label versus project stored code</w:t>
      </w:r>
    </w:p>
    <w:p>
      <w:r>
        <w:rPr>
          <w:b/>
        </w:rPr>
        <w:t xml:space="preserve">Reglas de negocio </w:t>
      </w:r>
      <w:r>
        <w:t>El Explorer no crea una segunda identidad Project ni otorga permisos por mostrar un nodo.</w:t>
      </w:r>
    </w:p>
    <w:p>
      <w:r>
        <w:rPr>
          <w:b/>
        </w:rPr>
        <w:t xml:space="preserve">Salida y siguiente paso </w:t>
      </w:r>
      <w:r>
        <w:t>Canonical Workspace hierarchy; Read-only shared context. Siguiente proceso: P03; P04.</w:t>
      </w:r>
    </w:p>
    <w:p>
      <w:r>
        <w:rPr>
          <w:b/>
        </w:rPr>
        <w:t xml:space="preserve">Errores frecuentes </w:t>
      </w:r>
      <w:r>
        <w:t>Revise el Workspace, la revisión de política, campos obligatorios, fuente actual y permisos del actor. Corrija el dominio responsable antes de repetir una transición rechazada.</w:t>
      </w:r>
    </w:p>
    <w:p>
      <w:r>
        <w:rPr>
          <w:b/>
        </w:rPr>
        <w:t xml:space="preserve">Lo que no hace </w:t>
      </w:r>
      <w:r>
        <w:t>El Explorer no crea una segunda identidad Project ni otorga permisos por mostrar un nodo.</w:t>
      </w:r>
    </w:p>
    <w:p>
      <w:pPr>
        <w:pStyle w:val="Heading1"/>
      </w:pPr>
      <w:r>
        <w:t>A2 Strategic capital demand cycles buckets and allocation</w:t>
      </w:r>
    </w:p>
    <w:p>
      <w:r>
        <w:rPr>
          <w:b/>
        </w:rPr>
        <w:t xml:space="preserve">Propósito </w:t>
      </w:r>
      <w:r>
        <w:t>Registrar la demanda estratégica y comparar las posiciones Target, Current, Recommended y Approved con trazabilidad. Una asignación de planificación no constituye autorización formal de inversión ni de fondos.</w:t>
      </w:r>
    </w:p>
    <w:p>
      <w:r>
        <w:rPr>
          <w:b/>
        </w:rPr>
        <w:t xml:space="preserve">Cuándo y quién </w:t>
      </w:r>
      <w:r>
        <w:t>Cuando la ruta y política del contexto requieren esta actividad. Usuarios: Capital Planning Administrator; Portfolio Manager; Project Sponsor.</w:t>
      </w:r>
    </w:p>
    <w:p>
      <w:r>
        <w:rPr>
          <w:b/>
        </w:rPr>
        <w:t xml:space="preserve">Prerrequisitos </w:t>
      </w:r>
      <w:r>
        <w:t>Configuración de planificación y buckets publicada y vigente para el alcance; Catálogos de objetivos y temas activos.</w:t>
      </w:r>
    </w:p>
    <w:p>
      <w:r>
        <w:rPr>
          <w:b/>
        </w:rPr>
        <w:t xml:space="preserve">Entradas y campos </w:t>
      </w:r>
      <w:r>
        <w:t>Horizon/scope/currency; Need/sponsor/themes/objectives/value range; Cycle/buckets/targets; Frozen/current governed sources. Campos principales: planning_cycle_id; scope_workspace_id; theme_codes; strategic_objective_codes; business_or_asset_need; indicative_capital_need; currency_code.</w:t>
      </w:r>
    </w:p>
    <w:p>
      <w:r>
        <w:rPr>
          <w:b/>
        </w:rPr>
        <w:t xml:space="preserve">Pantalla </w:t>
      </w:r>
      <w:r>
        <w:t>/app/strategy/capital-demand-pipeline.</w:t>
      </w:r>
    </w:p>
    <w:p>
      <w:r>
        <w:t>1. Seleccione el ciclo aplicable o cree uno cuando su permiso lo permita; complete la demanda, guarde el borrador y preséntelo para el respaldo correspondiente.</w:t>
      </w:r>
    </w:p>
    <w:p>
      <w:r>
        <w:t>2. Registre los objetivos de asignación y clasifique la demanda en los buckets configurados. Congele únicamente la revisión respaldada que corresponda conservar.</w:t>
      </w:r>
    </w:p>
    <w:p>
      <w:r>
        <w:t>3. Compare Target, Current, Recommended y Approved. Mantenga separadas las monedas no comparables y resuelva cualquier incompatibilidad antes de interpretar importes agregados.</w:t>
      </w:r>
    </w:p>
    <w:p>
      <w:r>
        <w:rPr>
          <w:b/>
        </w:rPr>
        <w:t xml:space="preserve">Estados </w:t>
      </w:r>
      <w:r>
        <w:t>Cycle DRAFT/OPEN/IN_REVIEW/CLOSED; Demand DRAFT/SUBMITTED/IN_REVIEW/RETURNED/ENDORSED/DEFERRED/CANCELLED/SUPERSEDED</w:t>
      </w:r>
    </w:p>
    <w:p>
      <w:r>
        <w:rPr>
          <w:b/>
        </w:rPr>
        <w:t xml:space="preserve">Reglas de negocio </w:t>
      </w:r>
      <w:r>
        <w:t>La asignación estratégica de capital no aprueba Budget, Funding ni una inversión.</w:t>
      </w:r>
    </w:p>
    <w:p>
      <w:r>
        <w:rPr>
          <w:b/>
        </w:rPr>
        <w:t xml:space="preserve">Salida y siguiente paso </w:t>
      </w:r>
      <w:r>
        <w:t>OPEN cycle; ENDORSED demand / optional Idea origin; Governed Target position; Comparable positions without auto-approval. Siguiente proceso: P05; P08; P07; P21.</w:t>
      </w:r>
    </w:p>
    <w:p>
      <w:r>
        <w:rPr>
          <w:b/>
        </w:rPr>
        <w:t xml:space="preserve">Errores frecuentes </w:t>
      </w:r>
      <w:r>
        <w:t>Revise el Workspace, la revisión de política, campos obligatorios, fuente actual y permisos del actor. Corrija el dominio responsable antes de repetir una transición rechazada.</w:t>
      </w:r>
    </w:p>
    <w:p>
      <w:r>
        <w:rPr>
          <w:b/>
        </w:rPr>
        <w:t xml:space="preserve">Lo que no hace </w:t>
      </w:r>
      <w:r>
        <w:t>La asignación estratégica de capital no aprueba Budget, Funding ni una inversión.</w:t>
      </w:r>
    </w:p>
    <w:p>
      <w:pPr>
        <w:pStyle w:val="Heading1"/>
      </w:pPr>
      <w:r>
        <w:t>A3 Idea evaluation and governed Business Analysis</w:t>
      </w:r>
    </w:p>
    <w:p>
      <w:r>
        <w:rPr>
          <w:b/>
        </w:rPr>
        <w:t xml:space="preserve">Propósito </w:t>
      </w:r>
      <w:r>
        <w:t>Evaluar una Idea y preparar su avance a Project Proposal. ACCEPTED no crea un Workspace: si la política exige Business Analysis, primero debe completarse esa evaluación independiente y obtenerse READY_FOR_PROJECT_PROPOSAL.</w:t>
      </w:r>
    </w:p>
    <w:p>
      <w:r>
        <w:rPr>
          <w:b/>
        </w:rPr>
        <w:t xml:space="preserve">Cuándo y quién </w:t>
      </w:r>
      <w:r>
        <w:t>Cuando la ruta y política del contexto requieren esta actividad. Usuarios: Investment Originator; Project Sponsor; independent Business Analysis Reviewer.</w:t>
      </w:r>
    </w:p>
    <w:p>
      <w:r>
        <w:rPr>
          <w:b/>
        </w:rPr>
        <w:t xml:space="preserve">Prerrequisitos </w:t>
      </w:r>
      <w:r>
        <w:t>Workspace de origen elegible y fuente CAPITAL_OWNER; Políticas de Idea y Business Analysis publicadas y aplicables.</w:t>
      </w:r>
    </w:p>
    <w:p>
      <w:r>
        <w:rPr>
          <w:b/>
        </w:rPr>
        <w:t xml:space="preserve">Entradas y campos </w:t>
      </w:r>
      <w:r>
        <w:t>Need/objectives/scope; Ratings/evidence; Accepted Idea/actual alternatives. Campos principales: title; description; idea_type; category; expected_benefit; estimated_value; currency_code; owning_workspace_id; target_portfolio_workspace_id; strategic_objective_codes; BA options; recommended_option_id; completion_hash.</w:t>
      </w:r>
    </w:p>
    <w:p>
      <w:r>
        <w:rPr>
          <w:b/>
        </w:rPr>
        <w:t xml:space="preserve">Pantalla </w:t>
      </w:r>
      <w:r>
        <w:t>/app/strategy/idea-lifecycle.</w:t>
      </w:r>
    </w:p>
    <w:p>
      <w:r>
        <w:t>1. Registre la Idea con necesidad, objetivos y alcance. Preséntela para que los actores autorizados realicen la clasificación, el enrutamiento y la asignación de responsable.</w:t>
      </w:r>
    </w:p>
    <w:p>
      <w:r>
        <w:t>2. Complete la evaluación del contexto y someta su aceptación al actor autorizado.</w:t>
      </w:r>
    </w:p>
    <w:p>
      <w:r>
        <w:t>3. Consulte la salida de disponibilidad. Si indica READY_FOR_BUSINESS_ANALYSIS, documente y evalúe las alternativas en Business Analysis y obtenga su revisión independiente antes de continuar a Project Proposal.</w:t>
      </w:r>
    </w:p>
    <w:p>
      <w:r>
        <w:rPr>
          <w:b/>
        </w:rPr>
        <w:t xml:space="preserve">Estados </w:t>
      </w:r>
      <w:r>
        <w:t>Idea DRAFT/SUBMITTED/SCREENING/OWNER_ASSIGNED/UNDER_EVALUATION/EVALUATED/ACCEPTED; BA DRAFT/SUBMITTED/IN_REVIEW/RETURNED/COMPLETED/SUPERSEDED/VOIDED</w:t>
      </w:r>
    </w:p>
    <w:p>
      <w:r>
        <w:rPr>
          <w:b/>
        </w:rPr>
        <w:t xml:space="preserve">Reglas de negocio </w:t>
      </w:r>
      <w:r>
        <w:t>Una Idea no es un Workspace. ACCEPTED no omite el Business Analysis requerido por la política.</w:t>
      </w:r>
    </w:p>
    <w:p>
      <w:r>
        <w:rPr>
          <w:b/>
        </w:rPr>
        <w:t xml:space="preserve">Salida y siguiente paso </w:t>
      </w:r>
      <w:r>
        <w:t>Submitted/screened owned Idea; Immutable evaluation and ACCEPTED Idea; Independently COMPLETED BA / READY_FOR_PROJECT_PROPOSAL. Siguiente proceso: P09; P10; P11.</w:t>
      </w:r>
    </w:p>
    <w:p>
      <w:r>
        <w:rPr>
          <w:b/>
        </w:rPr>
        <w:t xml:space="preserve">Errores frecuentes </w:t>
      </w:r>
      <w:r>
        <w:t>Si la Idea aceptada continúa en READY_FOR_BUSINESS_ANALYSIS, completar y revisar BA antes de crear Proposal.</w:t>
      </w:r>
    </w:p>
    <w:p>
      <w:r>
        <w:rPr>
          <w:b/>
        </w:rPr>
        <w:t xml:space="preserve">Lo que no hace </w:t>
      </w:r>
      <w:r>
        <w:t>Una Idea no es un Workspace. ACCEPTED no omite el Business Analysis requerido por la política.</w:t>
      </w:r>
    </w:p>
    <w:p>
      <w:pPr>
        <w:pStyle w:val="Heading1"/>
      </w:pPr>
      <w:r>
        <w:t>A4 Project Proposal</w:t>
      </w:r>
    </w:p>
    <w:p>
      <w:r>
        <w:rPr>
          <w:b/>
        </w:rPr>
        <w:t xml:space="preserve">Propósito </w:t>
      </w:r>
      <w:r>
        <w:t>Desarrollar una propuesta sustentada en la Idea y en las evaluaciones exigidas. El estado guardado READY_FOR_STRATEGIC_GATE y la salida READY_FOR_STRATEGIC_GATE_DECISION permiten identificar la preparación para el Strategic Gate; no autorizan la inversión.</w:t>
      </w:r>
    </w:p>
    <w:p>
      <w:r>
        <w:rPr>
          <w:b/>
        </w:rPr>
        <w:t xml:space="preserve">Cuándo y quién </w:t>
      </w:r>
      <w:r>
        <w:t>Cuando la ruta y política del contexto requieren esta actividad. Usuarios: Project Sponsor; Investment / Project Manager.</w:t>
      </w:r>
    </w:p>
    <w:p>
      <w:r>
        <w:rPr>
          <w:b/>
        </w:rPr>
        <w:t xml:space="preserve">Prerrequisitos </w:t>
      </w:r>
      <w:r>
        <w:t>Idea aceptada y elegible; Business Analysis completado y actual cuando sea obligatorio, o una referencia histórica legítimamente admitida por la política.</w:t>
      </w:r>
    </w:p>
    <w:p>
      <w:r>
        <w:rPr>
          <w:b/>
        </w:rPr>
        <w:t xml:space="preserve">Entradas y campos </w:t>
      </w:r>
      <w:r>
        <w:t>Scope/benefits/ROM/risks. Campos principales: source_idea_id; name; business_need; business_justification; preliminary_scope; expected_benefits; rom_cost; currency_code; target_start_date; target_finish_date; sponsor_user_id; proposal_owner_user_id.</w:t>
      </w:r>
    </w:p>
    <w:p>
      <w:r>
        <w:rPr>
          <w:b/>
        </w:rPr>
        <w:t xml:space="preserve">Pantalla </w:t>
      </w:r>
      <w:r>
        <w:t>/app/strategy/project-proposal.</w:t>
      </w:r>
    </w:p>
    <w:p>
      <w:r>
        <w:t>1. Cree Project Proposal a partir de la Idea elegible para conservar su referencia de origen.</w:t>
      </w:r>
    </w:p>
    <w:p>
      <w:r>
        <w:t>2. Complete alcance, necesidad y justificación, beneficios, estimación ROM, fechas, riesgos, supuestos y restricciones.</w:t>
      </w:r>
    </w:p>
    <w:p>
      <w:r>
        <w:t>3. Presente la propuesta y atienda la revisión y evaluación. Continúe al Strategic Gate únicamente cuando la aplicación indique que la propuesta está preparada.</w:t>
      </w:r>
    </w:p>
    <w:p>
      <w:r>
        <w:rPr>
          <w:b/>
        </w:rPr>
        <w:t xml:space="preserve">Estados </w:t>
      </w:r>
      <w:r>
        <w:t>DRAFT/SUBMITTED/UNDER_REVIEW/RETURNED/UNDER_EVALUATION/EVALUATED/READY_FOR_STRATEGIC_GATE/STRATEGIC_GATE_APPROVED/STRATEGIC_GATE_REJECTED/STRATEGIC_GATE_DEFERRED</w:t>
      </w:r>
    </w:p>
    <w:p>
      <w:r>
        <w:rPr>
          <w:b/>
        </w:rPr>
        <w:t xml:space="preserve">Reglas de negocio </w:t>
      </w:r>
      <w:r>
        <w:t>La Proposal no autoriza inversión y no sustituye el Strategic Gate.</w:t>
      </w:r>
    </w:p>
    <w:p>
      <w:r>
        <w:rPr>
          <w:b/>
        </w:rPr>
        <w:t xml:space="preserve">Salida y siguiente paso </w:t>
      </w:r>
      <w:r>
        <w:t>READY_FOR_STRATEGIC_GATE stored; readiness READY_FOR_STRATEGIC_GATE_DECISION. Siguiente proceso: P12.</w:t>
      </w:r>
    </w:p>
    <w:p>
      <w:r>
        <w:rPr>
          <w:b/>
        </w:rPr>
        <w:t xml:space="preserve">Errores frecuentes </w:t>
      </w:r>
      <w:r>
        <w:t>Distinguir el estado persistido READY_FOR_STRATEGIC_GATE del handoff READY_FOR_STRATEGIC_GATE_DECISION.</w:t>
      </w:r>
    </w:p>
    <w:p>
      <w:r>
        <w:rPr>
          <w:b/>
        </w:rPr>
        <w:t xml:space="preserve">Lo que no hace </w:t>
      </w:r>
      <w:r>
        <w:t>La Proposal no autoriza inversión y no sustituye el Strategic Gate.</w:t>
      </w:r>
    </w:p>
    <w:p>
      <w:pPr>
        <w:pStyle w:val="Heading1"/>
      </w:pPr>
      <w:r>
        <w:t>A5 Strategic Gate</w:t>
      </w:r>
    </w:p>
    <w:p>
      <w:r>
        <w:rPr>
          <w:b/>
        </w:rPr>
        <w:t xml:space="preserve">Propósito </w:t>
      </w:r>
      <w:r>
        <w:t>Registrar la decisión estratégica sobre una Project Proposal. APPROVE produce READY_FOR_PORTFOLIO_INTAKE; la creación posterior del Project, el FID y su activación son procesos distintos.</w:t>
      </w:r>
    </w:p>
    <w:p>
      <w:r>
        <w:rPr>
          <w:b/>
        </w:rPr>
        <w:t xml:space="preserve">Cuándo y quién </w:t>
      </w:r>
      <w:r>
        <w:t>Cuando la ruta y política del contexto requieren esta actividad. Usuarios: Gate Preparer; independent Strategic Decision Maker.</w:t>
      </w:r>
    </w:p>
    <w:p>
      <w:r>
        <w:rPr>
          <w:b/>
        </w:rPr>
        <w:t xml:space="preserve">Prerrequisitos </w:t>
      </w:r>
      <w:r>
        <w:t>Project Proposal preparada para Strategic Gate; Perfil de Strategic Gate publicado y autoridad de decisión válida e independiente.</w:t>
      </w:r>
    </w:p>
    <w:p>
      <w:r>
        <w:rPr>
          <w:b/>
        </w:rPr>
        <w:t xml:space="preserve">Entradas y campos </w:t>
      </w:r>
      <w:r>
        <w:t>Reviewed proposal snapshot. Campos principales: project_proposal_id; decision_maker_user_id; decision_reason; conditions; evidence_refs; decision_hash; readiness_hash.</w:t>
      </w:r>
    </w:p>
    <w:p>
      <w:r>
        <w:rPr>
          <w:b/>
        </w:rPr>
        <w:t xml:space="preserve">Pantalla </w:t>
      </w:r>
      <w:r>
        <w:t>/app/strategy/strategic-gate-decision.</w:t>
      </w:r>
    </w:p>
    <w:p>
      <w:r>
        <w:t>1. Previsualice la decisión y cree el registro vinculado a la Project Proposal correspondiente.</w:t>
      </w:r>
    </w:p>
    <w:p>
      <w:r>
        <w:t>2. Prepare y presente el expediente para revisión. El actor independiente autorizado registra la decisión y su justificación.</w:t>
      </w:r>
    </w:p>
    <w:p>
      <w:r>
        <w:t>3. Consulte la salida de la decisión. Continúe al intake si corresponde APPROVE; atienda RETURN, REJECT o DEFER según el resultado real, sin tratarlos como una aprobación.</w:t>
      </w:r>
    </w:p>
    <w:p>
      <w:r>
        <w:rPr>
          <w:b/>
        </w:rPr>
        <w:t xml:space="preserve">Estados </w:t>
      </w:r>
      <w:r>
        <w:t>DRAFT/SUBMITTED/IN_REVIEW/DECIDED; outcomes APPROVE/RETURN/REJECT/DEFER</w:t>
      </w:r>
    </w:p>
    <w:p>
      <w:r>
        <w:rPr>
          <w:b/>
        </w:rPr>
        <w:t xml:space="preserve">Reglas de negocio </w:t>
      </w:r>
      <w:r>
        <w:t>APPROVE no es FID ni activa Project. RETURN, REJECT y DEFER conservan efectos distintos.</w:t>
      </w:r>
    </w:p>
    <w:p>
      <w:r>
        <w:rPr>
          <w:b/>
        </w:rPr>
        <w:t xml:space="preserve">Salida y siguiente paso </w:t>
      </w:r>
      <w:r>
        <w:t>APPROVE→READY_FOR_PORTFOLIO_INTAKE. Siguiente proceso: P13.</w:t>
      </w:r>
    </w:p>
    <w:p>
      <w:r>
        <w:rPr>
          <w:b/>
        </w:rPr>
        <w:t xml:space="preserve">Errores frecuentes </w:t>
      </w:r>
      <w:r>
        <w:t>Revise el Workspace, la revisión de política, campos obligatorios, fuente actual y permisos del actor. Corrija el dominio responsable antes de repetir una transición rechazada.</w:t>
      </w:r>
    </w:p>
    <w:p>
      <w:r>
        <w:rPr>
          <w:b/>
        </w:rPr>
        <w:t xml:space="preserve">Lo que no hace </w:t>
      </w:r>
      <w:r>
        <w:t>APPROVE no es FID ni activa Project. RETURN, REJECT y DEFER conservan efectos distintos.</w:t>
      </w:r>
    </w:p>
    <w:p>
      <w:pPr>
        <w:pStyle w:val="Heading1"/>
      </w:pPr>
      <w:r>
        <w:t>A6 Project Workspace creation and initialization timing</w:t>
      </w:r>
    </w:p>
    <w:p>
      <w:r>
        <w:rPr>
          <w:b/>
        </w:rPr>
        <w:t xml:space="preserve">Propósito </w:t>
      </w:r>
      <w:r>
        <w:t>Crear una única identidad canónica de Project mediante la solicitud gobernada y conservar su trazabilidad de origen. El Project nace pending; inicializarlo no equivale a activarlo y la activación requiere la autorización de ejecución aplicable.</w:t>
      </w:r>
    </w:p>
    <w:p>
      <w:r>
        <w:rPr>
          <w:b/>
        </w:rPr>
        <w:t xml:space="preserve">Cuándo y quién </w:t>
      </w:r>
      <w:r>
        <w:t>Cuando la ruta y política del contexto requieren esta actividad. Usuarios: Investment / Project Manager; Project Workspace Initializer.</w:t>
      </w:r>
    </w:p>
    <w:p>
      <w:r>
        <w:rPr>
          <w:b/>
        </w:rPr>
        <w:t xml:space="preserve">Prerrequisitos </w:t>
      </w:r>
      <w:r>
        <w:t>Decisión APPROVE con salida de intake vigente; Plantilla exacta publicada, manager habilitado y Portfolio o Program padre elegible.</w:t>
      </w:r>
    </w:p>
    <w:p>
      <w:r>
        <w:rPr>
          <w:b/>
        </w:rPr>
        <w:t xml:space="preserve">Entradas y campos </w:t>
      </w:r>
      <w:r>
        <w:t>Strategic decision / template / manager; Approved creation request; Pending identity and checklist. Campos principales: project_parent_workspace_id; project_template_config_id; project_manager_user_id; expected_decision_hash; expected_readiness_hash; materialized_workspace_id.</w:t>
      </w:r>
    </w:p>
    <w:p>
      <w:r>
        <w:rPr>
          <w:b/>
        </w:rPr>
        <w:t xml:space="preserve">Pantalla </w:t>
      </w:r>
      <w:r>
        <w:t>/app/strategy/enterprise-explorer.</w:t>
      </w:r>
    </w:p>
    <w:p>
      <w:r>
        <w:t>1. Prepare la entrada de planificación estratégica con la decisión, la salida de disponibilidad y sus hashes actuales.</w:t>
      </w:r>
    </w:p>
    <w:p>
      <w:r>
        <w:t>2. Presente la solicitud compartida de creación; obtenga la aprobación independiente y ejecute la materialización solo cuando la aplicación la habilite.</w:t>
      </w:r>
    </w:p>
    <w:p>
      <w:r>
        <w:t>3. Consulte el Project pending y su lista de inicialización. Complete la preparación que corresponda y revise los bloqueos de activación; no adelante la activación de CAPITAL_OWNER por haber creado la identidad.</w:t>
      </w:r>
    </w:p>
    <w:p>
      <w:r>
        <w:rPr>
          <w:b/>
        </w:rPr>
        <w:t xml:space="preserve">Estados </w:t>
      </w:r>
      <w:r>
        <w:t>request draft/submitted/under_review/approved/materialized; Project pending; initialization NOT_STARTED/READY_FOR_ACTIVATION/ACTIVATED</w:t>
      </w:r>
    </w:p>
    <w:p>
      <w:r>
        <w:rPr>
          <w:b/>
        </w:rPr>
        <w:t xml:space="preserve">Reglas de negocio </w:t>
      </w:r>
      <w:r>
        <w:t>La materialización crea el PROJECT Workspace pending. Inicializar no equivale a activar.</w:t>
      </w:r>
    </w:p>
    <w:p>
      <w:r>
        <w:rPr>
          <w:b/>
        </w:rPr>
        <w:t xml:space="preserve">Salida y siguiente paso </w:t>
      </w:r>
      <w:r>
        <w:t>Shared ProjectCreationRequest CAPITAL_OWNER; One canonical pending Project identity; Initialized state and eligibility; capital activation authorization may block. Siguiente proceso: P14; P16; P42.</w:t>
      </w:r>
    </w:p>
    <w:p>
      <w:r>
        <w:rPr>
          <w:b/>
        </w:rPr>
        <w:t xml:space="preserve">Errores frecuentes </w:t>
      </w:r>
      <w:r>
        <w:t>Ante PROJECT_CREATION_PROCESS_REQUIRED usar Project Creation Process, no una API genérica de creación o status.</w:t>
      </w:r>
    </w:p>
    <w:p>
      <w:r>
        <w:rPr>
          <w:b/>
        </w:rPr>
        <w:t xml:space="preserve">Lo que no hace </w:t>
      </w:r>
      <w:r>
        <w:t>La materialización crea el PROJECT Workspace pending. Inicializar no equivale a activar.</w:t>
      </w:r>
    </w:p>
    <w:p>
      <w:pPr>
        <w:pStyle w:val="Heading1"/>
      </w:pPr>
      <w:r>
        <w:t>A7 Portfolio Intake and membership</w:t>
      </w:r>
    </w:p>
    <w:p>
      <w:r>
        <w:rPr>
          <w:b/>
        </w:rPr>
        <w:t xml:space="preserve">Propósito </w:t>
      </w:r>
      <w:r>
        <w:t>Incorporar el Project CAPITAL_OWNER correcto al Portfolio mediante su membership, sin crear una segunda identidad ni cambiar por ese motivo su padre canónico.</w:t>
      </w:r>
    </w:p>
    <w:p>
      <w:r>
        <w:rPr>
          <w:b/>
        </w:rPr>
        <w:t xml:space="preserve">Cuándo y quién </w:t>
      </w:r>
      <w:r>
        <w:t>Cuando la ruta y política del contexto requieren esta actividad. Usuarios: Portfolio Manager.</w:t>
      </w:r>
    </w:p>
    <w:p>
      <w:r>
        <w:rPr>
          <w:b/>
        </w:rPr>
        <w:t xml:space="preserve">Prerrequisitos </w:t>
      </w:r>
      <w:r>
        <w:t>Project CAPITAL_OWNER materializado; Intake estratégico aprobado para el Portfolio de destino.</w:t>
      </w:r>
    </w:p>
    <w:p>
      <w:r>
        <w:rPr>
          <w:b/>
        </w:rPr>
        <w:t xml:space="preserve">Entradas y campos </w:t>
      </w:r>
      <w:r>
        <w:t>Project and target portfolio. Campos principales: portfolio_workspace_id; project_workspace_id; membership_source; is_target_portfolio; status; planning_entry_hash.</w:t>
      </w:r>
    </w:p>
    <w:p>
      <w:r>
        <w:rPr>
          <w:b/>
        </w:rPr>
        <w:t xml:space="preserve">Pantalla </w:t>
      </w:r>
      <w:r>
        <w:t>/app/strategy/strategic-project-planning-entry.</w:t>
      </w:r>
    </w:p>
    <w:p>
      <w:r>
        <w:t>1. Consulte la entrada de planificación y confirme el Project y el Portfolio de destino.</w:t>
      </w:r>
    </w:p>
    <w:p>
      <w:r>
        <w:t>2. Compruebe que la membership aplicable está ACTIVE y que conserva STRATEGIC_INTAKE como fuente.</w:t>
      </w:r>
    </w:p>
    <w:p>
      <w:r>
        <w:t>3. Si el Project participa en otro Portfolio, consulte esa membership en su propio contexto. No duplique el Project ni cambie su padre canónico para representar una participación adicional.</w:t>
      </w:r>
    </w:p>
    <w:p>
      <w:r>
        <w:rPr>
          <w:b/>
        </w:rPr>
        <w:t xml:space="preserve">Estados </w:t>
      </w:r>
      <w:r>
        <w:t>READY_FOR_PORTFOLIO_PLANNING; membership ACTIVE</w:t>
      </w:r>
    </w:p>
    <w:p>
      <w:r>
        <w:rPr>
          <w:b/>
        </w:rPr>
        <w:t xml:space="preserve">Reglas de negocio </w:t>
      </w:r>
      <w:r>
        <w:t>Membership no otorga por sí solo aprobación de fondos ni autorización de ejecución.</w:t>
      </w:r>
    </w:p>
    <w:p>
      <w:r>
        <w:rPr>
          <w:b/>
        </w:rPr>
        <w:t xml:space="preserve">Salida y siguiente paso </w:t>
      </w:r>
      <w:r>
        <w:t>ACTIVE contextual membership. Siguiente proceso: P17.</w:t>
      </w:r>
    </w:p>
    <w:p>
      <w:r>
        <w:rPr>
          <w:b/>
        </w:rPr>
        <w:t xml:space="preserve">Errores frecuentes </w:t>
      </w:r>
      <w:r>
        <w:t>Revise el Workspace, la revisión de política, campos obligatorios, fuente actual y permisos del actor. Corrija el dominio responsable antes de repetir una transición rechazada.</w:t>
      </w:r>
    </w:p>
    <w:p>
      <w:r>
        <w:rPr>
          <w:b/>
        </w:rPr>
        <w:t xml:space="preserve">Lo que no hace </w:t>
      </w:r>
      <w:r>
        <w:t>Membership no otorga por sí solo aprobación de fondos ni autorización de ejecución.</w:t>
      </w:r>
    </w:p>
    <w:p>
      <w:pPr>
        <w:pStyle w:val="Heading1"/>
      </w:pPr>
      <w:r>
        <w:t>A8 Evaluation and Prioritization</w:t>
      </w:r>
    </w:p>
    <w:p>
      <w:r>
        <w:rPr>
          <w:b/>
        </w:rPr>
        <w:t xml:space="preserve">Propósito </w:t>
      </w:r>
      <w:r>
        <w:t>Evaluar y priorizar los Projects dentro de cada Portfolio. Portfolio Rank es contextual, excluye memberships inactivas y conserva las revisiones de evaluación completadas.</w:t>
      </w:r>
    </w:p>
    <w:p>
      <w:r>
        <w:rPr>
          <w:b/>
        </w:rPr>
        <w:t xml:space="preserve">Cuándo y quién </w:t>
      </w:r>
      <w:r>
        <w:t>Cuando la ruta y política del contexto requieren esta actividad. Usuarios: Portfolio Manager; Portfolio Evaluator.</w:t>
      </w:r>
    </w:p>
    <w:p>
      <w:r>
        <w:rPr>
          <w:b/>
        </w:rPr>
        <w:t xml:space="preserve">Prerrequisitos </w:t>
      </w:r>
      <w:r>
        <w:t>Membership de capital ACTIVE; Criterios de evaluación vigentes para el Portfolio.</w:t>
      </w:r>
    </w:p>
    <w:p>
      <w:r>
        <w:rPr>
          <w:b/>
        </w:rPr>
        <w:t xml:space="preserve">Entradas y campos </w:t>
      </w:r>
      <w:r>
        <w:t>Contextual ratings. Campos principales: portfolio_id; project_id; ratings; evaluation_version; total_score; assessment_hash; portfolio_rank.</w:t>
      </w:r>
    </w:p>
    <w:p>
      <w:r>
        <w:rPr>
          <w:b/>
        </w:rPr>
        <w:t xml:space="preserve">Pantalla </w:t>
      </w:r>
      <w:r>
        <w:t>/app/strategy/portfolio-evaluation.</w:t>
      </w:r>
    </w:p>
    <w:p>
      <w:r>
        <w:t>1. Seleccione el Portfolio y comience la evaluación contextual de sus Projects elegibles.</w:t>
      </w:r>
    </w:p>
    <w:p>
      <w:r>
        <w:t>2. Registre las calificaciones y complete la revisión de puntuación mediante las acciones habilitadas.</w:t>
      </w:r>
    </w:p>
    <w:p>
      <w:r>
        <w:t>3. Consulte Portfolio Rank y su revisión. Al cambiar de Portfolio, vuelva a revisar el contexto: una posición no representa un ranking global del Project.</w:t>
      </w:r>
    </w:p>
    <w:p>
      <w:r>
        <w:rPr>
          <w:b/>
        </w:rPr>
        <w:t xml:space="preserve">Estados </w:t>
      </w:r>
      <w:r>
        <w:t>Completed evaluation immutable; use effective DTO status rather than infer universal lifecycle</w:t>
      </w:r>
    </w:p>
    <w:p>
      <w:r>
        <w:rPr>
          <w:b/>
        </w:rPr>
        <w:t xml:space="preserve">Reglas de negocio </w:t>
      </w:r>
      <w:r>
        <w:t>El Portfolio Rank es contextual. No se produce un ranking global independiente del Portfolio.</w:t>
      </w:r>
    </w:p>
    <w:p>
      <w:r>
        <w:rPr>
          <w:b/>
        </w:rPr>
        <w:t xml:space="preserve">Salida y siguiente paso </w:t>
      </w:r>
      <w:r>
        <w:t>Immutable evaluation and Portfolio Rank. Siguiente proceso: P18.</w:t>
      </w:r>
    </w:p>
    <w:p>
      <w:r>
        <w:rPr>
          <w:b/>
        </w:rPr>
        <w:t xml:space="preserve">Errores frecuentes </w:t>
      </w:r>
      <w:r>
        <w:t>Revise el Workspace, la revisión de política, campos obligatorios, fuente actual y permisos del actor. Corrija el dominio responsable antes de repetir una transición rechazada.</w:t>
      </w:r>
    </w:p>
    <w:p>
      <w:r>
        <w:rPr>
          <w:b/>
        </w:rPr>
        <w:t xml:space="preserve">Lo que no hace </w:t>
      </w:r>
      <w:r>
        <w:t>El Portfolio Rank es contextual. No se produce un ranking global independiente del Portfolio.</w:t>
      </w:r>
    </w:p>
    <w:p>
      <w:pPr>
        <w:pStyle w:val="Heading1"/>
      </w:pPr>
      <w:r>
        <w:t>A9 Portfolio Analysis Investor Map Scorecard</w:t>
      </w:r>
    </w:p>
    <w:p>
      <w:r>
        <w:rPr>
          <w:b/>
        </w:rPr>
        <w:t xml:space="preserve">Propósito </w:t>
      </w:r>
      <w:r>
        <w:t>Consultar Portfolio Analysis, Investor Map y Scorecard a partir de la priorización existente, sin modificar Portfolio Rank ni convertir monedas de manera implícita. La disponibilidad de análisis de Budget y Resource se muestra por separado.</w:t>
      </w:r>
    </w:p>
    <w:p>
      <w:r>
        <w:rPr>
          <w:b/>
        </w:rPr>
        <w:t xml:space="preserve">Cuándo y quién </w:t>
      </w:r>
      <w:r>
        <w:t>Cuando la ruta y política del contexto requieren esta actividad. Usuarios: Portfolio Manager; Read-only Executive.</w:t>
      </w:r>
    </w:p>
    <w:p>
      <w:r>
        <w:rPr>
          <w:b/>
        </w:rPr>
        <w:t xml:space="preserve">Prerrequisitos </w:t>
      </w:r>
      <w:r>
        <w:t>Evaluaciones y ranking contextuales actuales; Catálogo de análisis publicado y aplicable.</w:t>
      </w:r>
    </w:p>
    <w:p>
      <w:r>
        <w:rPr>
          <w:b/>
        </w:rPr>
        <w:t xml:space="preserve">Entradas y campos </w:t>
      </w:r>
      <w:r>
        <w:t>Analysis source dataset. Campos principales: portfolio_id; analysis_hash; currency; investor_map; scorecard; branch readiness.</w:t>
      </w:r>
    </w:p>
    <w:p>
      <w:r>
        <w:rPr>
          <w:b/>
        </w:rPr>
        <w:t xml:space="preserve">Pantalla </w:t>
      </w:r>
      <w:r>
        <w:t>/app/strategy/portfolio-analysis.</w:t>
      </w:r>
    </w:p>
    <w:p>
      <w:r>
        <w:t>1. Abra Investor Map y Scorecard del Portfolio seleccionado.</w:t>
      </w:r>
    </w:p>
    <w:p>
      <w:r>
        <w:t>2. Revise el hash de la fuente y la disponibilidad de las ramas de análisis antes de utilizar sus conclusiones.</w:t>
      </w:r>
    </w:p>
    <w:p>
      <w:r>
        <w:t>3. Si hay monedas incompatibles, consulte qué rama monetaria queda bloqueada y corrija los datos en el dominio responsable. No mezcle monedas ni presuponga una conversión que la aplicación no haya definido.</w:t>
      </w:r>
    </w:p>
    <w:p>
      <w:r>
        <w:rPr>
          <w:b/>
        </w:rPr>
        <w:t xml:space="preserve">Estados </w:t>
      </w:r>
      <w:r>
        <w:t>Read-only derived analysis; stale expected_analysis_hash rejected</w:t>
      </w:r>
    </w:p>
    <w:p>
      <w:r>
        <w:rPr>
          <w:b/>
        </w:rPr>
        <w:t xml:space="preserve">Reglas de negocio </w:t>
      </w:r>
      <w:r>
        <w:t>El análisis no convierte monedas silenciosamente ni aprueba inversión.</w:t>
      </w:r>
    </w:p>
    <w:p>
      <w:r>
        <w:rPr>
          <w:b/>
        </w:rPr>
        <w:t xml:space="preserve">Salida y siguiente paso </w:t>
      </w:r>
      <w:r>
        <w:t>Branch readiness / map / scorecard. Siguiente proceso: P19/P20.</w:t>
      </w:r>
    </w:p>
    <w:p>
      <w:r>
        <w:rPr>
          <w:b/>
        </w:rPr>
        <w:t xml:space="preserve">Errores frecuentes </w:t>
      </w:r>
      <w:r>
        <w:t>Revisar incompatibilidad de moneda y expected_analysis_hash obsoleto antes de repetir el análisis.</w:t>
      </w:r>
    </w:p>
    <w:p>
      <w:r>
        <w:rPr>
          <w:b/>
        </w:rPr>
        <w:t xml:space="preserve">Lo que no hace </w:t>
      </w:r>
      <w:r>
        <w:t>El análisis no convierte monedas silenciosamente ni aprueba inversión.</w:t>
      </w:r>
    </w:p>
    <w:p>
      <w:pPr>
        <w:pStyle w:val="Heading1"/>
      </w:pPr>
      <w:r>
        <w:t>A10 Budget Planning and scenarios</w:t>
      </w:r>
    </w:p>
    <w:p>
      <w:r>
        <w:rPr>
          <w:b/>
        </w:rPr>
        <w:t xml:space="preserve">Propósito </w:t>
      </w:r>
      <w:r>
        <w:t>Preparar y comparar escenarios analíticos de Budget. FROZEN conserva una alternativa inmutable, pero no aprueba la inversión ni modifica el presupuesto fuente; un exceso sobre el objetivo se muestra como resultado del análisis.</w:t>
      </w:r>
    </w:p>
    <w:p>
      <w:r>
        <w:rPr>
          <w:b/>
        </w:rPr>
        <w:t xml:space="preserve">Cuándo y quién </w:t>
      </w:r>
      <w:r>
        <w:t>Cuando la ruta y política del contexto requieren esta actividad. Usuarios: Portfolio Manager; Project Controls; Cost / Finance Reviewer.</w:t>
      </w:r>
    </w:p>
    <w:p>
      <w:r>
        <w:rPr>
          <w:b/>
        </w:rPr>
        <w:t xml:space="preserve">Prerrequisitos </w:t>
      </w:r>
      <w:r>
        <w:t>Análisis actual del Portfolio; Configuración de Budget publicada y objetivo aplicable al contexto.</w:t>
      </w:r>
    </w:p>
    <w:p>
      <w:r>
        <w:rPr>
          <w:b/>
        </w:rPr>
        <w:t xml:space="preserve">Entradas y campos </w:t>
      </w:r>
      <w:r>
        <w:t>Published target/selection/time phasing. Campos principales: budget_currency; total_budget_target; periods; creation_mode; time_phasing_method; expected_analysis_hash; selection states.</w:t>
      </w:r>
    </w:p>
    <w:p>
      <w:r>
        <w:rPr>
          <w:b/>
        </w:rPr>
        <w:t xml:space="preserve">Pantalla </w:t>
      </w:r>
      <w:r>
        <w:t>/app/strategy/portfolio-budget-planning.</w:t>
      </w:r>
    </w:p>
    <w:p>
      <w:r>
        <w:t>1. Prepare el Budget Target con sus periodos y publíquelo cuando su permiso y las validaciones lo permitan.</w:t>
      </w:r>
    </w:p>
    <w:p>
      <w:r>
        <w:t>2. Cree las alternativas de escenario y revise selección, CAPEX/Expense, distribución temporal y Waterline.</w:t>
      </w:r>
    </w:p>
    <w:p>
      <w:r>
        <w:t>3. Congele la alternativa que deba conservar y compárela con las demás. Documente cualquier exceso sobre el objetivo; no interprete FROZEN como aprobación ni como actualización del presupuesto fuente.</w:t>
      </w:r>
    </w:p>
    <w:p>
      <w:r>
        <w:rPr>
          <w:b/>
        </w:rPr>
        <w:t xml:space="preserve">Estados </w:t>
      </w:r>
      <w:r>
        <w:t>Target publish; Scenario DRAFT/FROZEN; FROZEN ≠ approved</w:t>
      </w:r>
    </w:p>
    <w:p>
      <w:r>
        <w:rPr>
          <w:b/>
        </w:rPr>
        <w:t xml:space="preserve">Reglas de negocio </w:t>
      </w:r>
      <w:r>
        <w:t>FROZEN conserva un escenario. No significa aprobado y no modifica Funding.</w:t>
      </w:r>
    </w:p>
    <w:p>
      <w:r>
        <w:rPr>
          <w:b/>
        </w:rPr>
        <w:t xml:space="preserve">Salida y siguiente paso </w:t>
      </w:r>
      <w:r>
        <w:t>FROZEN analytical Budget Scenario. Siguiente proceso: P21.</w:t>
      </w:r>
    </w:p>
    <w:p>
      <w:r>
        <w:rPr>
          <w:b/>
        </w:rPr>
        <w:t xml:space="preserve">Errores frecuentes </w:t>
      </w:r>
      <w:r>
        <w:t>Revise el Workspace, la revisión de política, campos obligatorios, fuente actual y permisos del actor. Corrija el dominio responsable antes de repetir una transición rechazada.</w:t>
      </w:r>
    </w:p>
    <w:p>
      <w:r>
        <w:rPr>
          <w:b/>
        </w:rPr>
        <w:t xml:space="preserve">Lo que no hace </w:t>
      </w:r>
      <w:r>
        <w:t>FROZEN conserva un escenario. No significa aprobado y no modifica Funding.</w:t>
      </w:r>
    </w:p>
    <w:p>
      <w:pPr>
        <w:pStyle w:val="Heading1"/>
      </w:pPr>
      <w:r>
        <w:t>A11 Resource Planning and scenarios</w:t>
      </w:r>
    </w:p>
    <w:p>
      <w:r>
        <w:rPr>
          <w:b/>
        </w:rPr>
        <w:t xml:space="preserve">Propósito </w:t>
      </w:r>
      <w:r>
        <w:t>Analizar capacidad y demanda estratégicas por rol y periodo. Este proceso no asigna personas, no nivela recursos en P6 y no completa con datos inventados la demanda ausente.</w:t>
      </w:r>
    </w:p>
    <w:p>
      <w:r>
        <w:rPr>
          <w:b/>
        </w:rPr>
        <w:t xml:space="preserve">Cuándo y quién </w:t>
      </w:r>
      <w:r>
        <w:t>Cuando la ruta y política del contexto requieren esta actividad. Usuarios: Portfolio Manager; Project Controls.</w:t>
      </w:r>
    </w:p>
    <w:p>
      <w:r>
        <w:rPr>
          <w:b/>
        </w:rPr>
        <w:t xml:space="preserve">Prerrequisitos </w:t>
      </w:r>
      <w:r>
        <w:t>Capacity Plan publicado; Perfiles reales de demanda de los Projects y análisis actual.</w:t>
      </w:r>
    </w:p>
    <w:p>
      <w:r>
        <w:rPr>
          <w:b/>
        </w:rPr>
        <w:t xml:space="preserve">Entradas y campos </w:t>
      </w:r>
      <w:r>
        <w:t>Strategic capacity/demand. Campos principales: resource_role_key; period_key; capacity_value; demand_value; unit; planning_start; planning_finish; expected_analysis_hash.</w:t>
      </w:r>
    </w:p>
    <w:p>
      <w:r>
        <w:rPr>
          <w:b/>
        </w:rPr>
        <w:t xml:space="preserve">Pantalla </w:t>
      </w:r>
      <w:r>
        <w:t>/app/strategy/portfolio-resource-planning.</w:t>
      </w:r>
    </w:p>
    <w:p>
      <w:r>
        <w:t>1. Registre o consulte la capacidad por rol y periodo y la demanda de cada Project; publique los datos cuando corresponda a su función.</w:t>
      </w:r>
    </w:p>
    <w:p>
      <w:r>
        <w:t>2. Prepare escenarios y revise las sobrecargas, su distribución temporal y la comparación entre alternativas.</w:t>
      </w:r>
    </w:p>
    <w:p>
      <w:r>
        <w:t>3. Congele la alternativa que corresponda conservar. Resuelva la demanda faltante en su fuente; no interprete el escenario como asignación de personal ni como cambio de fechas del Project.</w:t>
      </w:r>
    </w:p>
    <w:p>
      <w:r>
        <w:rPr>
          <w:b/>
        </w:rPr>
        <w:t xml:space="preserve">Estados </w:t>
      </w:r>
      <w:r>
        <w:t>Published capacity/demand and DRAFT/FROZEN scenario</w:t>
      </w:r>
    </w:p>
    <w:p>
      <w:r>
        <w:rPr>
          <w:b/>
        </w:rPr>
        <w:t xml:space="preserve">Reglas de negocio </w:t>
      </w:r>
      <w:r>
        <w:t>La capacidad estratégica no asigna personas ni ejecuta resource leveling de P6 o cambios de fechas Project.</w:t>
      </w:r>
    </w:p>
    <w:p>
      <w:r>
        <w:rPr>
          <w:b/>
        </w:rPr>
        <w:t xml:space="preserve">Salida y siguiente paso </w:t>
      </w:r>
      <w:r>
        <w:t>FROZEN Resource Scenario / overloads. Siguiente proceso: P21.</w:t>
      </w:r>
    </w:p>
    <w:p>
      <w:r>
        <w:rPr>
          <w:b/>
        </w:rPr>
        <w:t xml:space="preserve">Errores frecuentes </w:t>
      </w:r>
      <w:r>
        <w:t>Revise el Workspace, la revisión de política, campos obligatorios, fuente actual y permisos del actor. Corrija el dominio responsable antes de repetir una transición rechazada.</w:t>
      </w:r>
    </w:p>
    <w:p>
      <w:r>
        <w:rPr>
          <w:b/>
        </w:rPr>
        <w:t xml:space="preserve">Lo que no hace </w:t>
      </w:r>
      <w:r>
        <w:t>La capacidad estratégica no asigna personas ni ejecuta resource leveling de P6 o cambios de fechas Project.</w:t>
      </w:r>
    </w:p>
    <w:p>
      <w:pPr>
        <w:pStyle w:val="Heading1"/>
      </w:pPr>
      <w:r>
        <w:t>A12 Scenario Convergence and Recommendation</w:t>
      </w:r>
    </w:p>
    <w:p>
      <w:r>
        <w:rPr>
          <w:b/>
        </w:rPr>
        <w:t xml:space="preserve">Propósito </w:t>
      </w:r>
      <w:r>
        <w:t>Emitir una recomendación de alternativa con referencias y hashes de sus escenarios fuente. La recomendación no constituye FID ni activa el Project.</w:t>
      </w:r>
    </w:p>
    <w:p>
      <w:r>
        <w:rPr>
          <w:b/>
        </w:rPr>
        <w:t xml:space="preserve">Cuándo y quién </w:t>
      </w:r>
      <w:r>
        <w:t>Cuando la ruta y política del contexto requieren esta actividad. Usuarios: Portfolio Manager.</w:t>
      </w:r>
    </w:p>
    <w:p>
      <w:r>
        <w:rPr>
          <w:b/>
        </w:rPr>
        <w:t xml:space="preserve">Prerrequisitos </w:t>
      </w:r>
      <w:r>
        <w:t>Alternativas Budget y Resource congeladas y compatibles cuando la configuración efectiva las exija.</w:t>
      </w:r>
    </w:p>
    <w:p>
      <w:r>
        <w:rPr>
          <w:b/>
        </w:rPr>
        <w:t xml:space="preserve">Entradas y campos </w:t>
      </w:r>
      <w:r>
        <w:t>Compatible branch scenarios. Campos principales: budget_scenario_id; resource_scenario_id; alternative name; recommendation rationale; source hashes.</w:t>
      </w:r>
    </w:p>
    <w:p>
      <w:r>
        <w:rPr>
          <w:b/>
        </w:rPr>
        <w:t xml:space="preserve">Pantalla </w:t>
      </w:r>
      <w:r>
        <w:t>/app/strategy/portfolio-scenario-convergence.</w:t>
      </w:r>
    </w:p>
    <w:p>
      <w:r>
        <w:t>1. Cree la convergencia y vincule cada alternativa con los escenarios Budget y Resource correspondientes.</w:t>
      </w:r>
    </w:p>
    <w:p>
      <w:r>
        <w:t>2. Evalúe su viabilidad conjunta y alineación; revise las incompatibilidades y conflictos que indique la aplicación.</w:t>
      </w:r>
    </w:p>
    <w:p>
      <w:r>
        <w:t>3. Recomiende únicamente una alternativa viable. Si las fuentes no coinciden o existe un conflicto bloqueante, corrija el origen y vuelva a evaluar; no fuerce la recomendación.</w:t>
      </w:r>
    </w:p>
    <w:p>
      <w:r>
        <w:rPr>
          <w:b/>
        </w:rPr>
        <w:t xml:space="preserve">Estados </w:t>
      </w:r>
      <w:r>
        <w:t>Draft alternatives → formal recommended revision; recommendation ≠ investment decision</w:t>
      </w:r>
    </w:p>
    <w:p>
      <w:r>
        <w:rPr>
          <w:b/>
        </w:rPr>
        <w:t xml:space="preserve">Reglas de negocio </w:t>
      </w:r>
      <w:r>
        <w:t>Una recomendación no es FID. Alternativas incompatibles o inviables no se fuerzan como recomendadas.</w:t>
      </w:r>
    </w:p>
    <w:p>
      <w:r>
        <w:rPr>
          <w:b/>
        </w:rPr>
        <w:t xml:space="preserve">Salida y siguiente paso </w:t>
      </w:r>
      <w:r>
        <w:t>Governed recommendation, not FID. Siguiente proceso: P22/P23/P36.</w:t>
      </w:r>
    </w:p>
    <w:p>
      <w:r>
        <w:rPr>
          <w:b/>
        </w:rPr>
        <w:t xml:space="preserve">Errores frecuentes </w:t>
      </w:r>
      <w:r>
        <w:t>Revise el Workspace, la revisión de política, campos obligatorios, fuente actual y permisos del actor. Corrija el dominio responsable antes de repetir una transición rechazada.</w:t>
      </w:r>
    </w:p>
    <w:p>
      <w:r>
        <w:rPr>
          <w:b/>
        </w:rPr>
        <w:t xml:space="preserve">Lo que no hace </w:t>
      </w:r>
      <w:r>
        <w:t>Una recomendación no es FID. Alternativas incompatibles o inviables no se fuerzan como recomendadas.</w:t>
      </w:r>
    </w:p>
    <w:p>
      <w:pPr>
        <w:pStyle w:val="Heading1"/>
      </w:pPr>
      <w:r>
        <w:t>A13 Periodic Portfolio Review actions</w:t>
      </w:r>
    </w:p>
    <w:p>
      <w:r>
        <w:rPr>
          <w:b/>
        </w:rPr>
        <w:t xml:space="preserve">Propósito </w:t>
      </w:r>
      <w:r>
        <w:t>Registrar revisiones periódicas del Portfolio y sus acciones de gobernanza preservando las fuentes históricas. HOLD_FOR_CAPACITY es una solicitud de acción del Portfolio y no equivale a HOLD de Gate07K.</w:t>
      </w:r>
    </w:p>
    <w:p>
      <w:r>
        <w:rPr>
          <w:b/>
        </w:rPr>
        <w:t xml:space="preserve">Cuándo y quién </w:t>
      </w:r>
      <w:r>
        <w:t>Cuando la ruta y política del contexto requieren esta actividad. Usuarios: Portfolio Manager; independent Portfolio Reviewer.</w:t>
      </w:r>
    </w:p>
    <w:p>
      <w:r>
        <w:rPr>
          <w:b/>
        </w:rPr>
        <w:t xml:space="preserve">Prerrequisitos </w:t>
      </w:r>
      <w:r>
        <w:t>Política de revisión aplicable; Fuentes de asignación, Budget, Resource y Gate disponibles cuando sean exigidas.</w:t>
      </w:r>
    </w:p>
    <w:p>
      <w:r>
        <w:rPr>
          <w:b/>
        </w:rPr>
        <w:t xml:space="preserve">Entradas y campos </w:t>
      </w:r>
      <w:r>
        <w:t>Snapshot / matrix / conclusions. Campos principales: review_type; review_date; agenda; portfolio_workspace_id; source_snapshot; conclusions; action_type; owner_user_id; due_date.</w:t>
      </w:r>
    </w:p>
    <w:p>
      <w:r>
        <w:rPr>
          <w:b/>
        </w:rPr>
        <w:t xml:space="preserve">Pantalla </w:t>
      </w:r>
      <w:r>
        <w:t>/app/strategy/portfolio-review-sessions.</w:t>
      </w:r>
    </w:p>
    <w:p>
      <w:r>
        <w:t>1. Prepare la sesión de revisión y previsualice o capture su snapshot; siga las acciones habilitadas para congelar y revisar el expediente.</w:t>
      </w:r>
    </w:p>
    <w:p>
      <w:r>
        <w:t>2. Consulte Project Matrix, las conclusiones y las referencias a las autoridades de origen.</w:t>
      </w:r>
    </w:p>
    <w:p>
      <w:r>
        <w:t>3. Registre la acción de gobernanza, su responsable y vencimiento. Trátela como una solicitud de seguimiento: no sustituye una decisión del dominio fuente ni reinterpreta una fuente congelada.</w:t>
      </w:r>
    </w:p>
    <w:p>
      <w:r>
        <w:rPr>
          <w:b/>
        </w:rPr>
        <w:t xml:space="preserve">Estados </w:t>
      </w:r>
      <w:r>
        <w:t>DRAFT/PREPARING/READY_FOR_REVIEW/IN_REVIEW/STALE/RETURNED/COMPLETED/CANCELLED/SUPERSEDED</w:t>
      </w:r>
    </w:p>
    <w:p>
      <w:r>
        <w:rPr>
          <w:b/>
        </w:rPr>
        <w:t xml:space="preserve">Reglas de negocio </w:t>
      </w:r>
      <w:r>
        <w:t>HOLD_FOR_CAPACITY es una solicitud de gobernanza Portfolio, no Gate07K HOLD ni escritura sobre las fuentes.</w:t>
      </w:r>
    </w:p>
    <w:p>
      <w:r>
        <w:rPr>
          <w:b/>
        </w:rPr>
        <w:t xml:space="preserve">Salida y siguiente paso </w:t>
      </w:r>
      <w:r>
        <w:t>Immutable completed review and request-only actions. Siguiente proceso: P23/P36.</w:t>
      </w:r>
    </w:p>
    <w:p>
      <w:r>
        <w:rPr>
          <w:b/>
        </w:rPr>
        <w:t xml:space="preserve">Errores frecuentes </w:t>
      </w:r>
      <w:r>
        <w:t>Revise el Workspace, la revisión de política, campos obligatorios, fuente actual y permisos del actor. Corrija el dominio responsable antes de repetir una transición rechazada.</w:t>
      </w:r>
    </w:p>
    <w:p>
      <w:r>
        <w:rPr>
          <w:b/>
        </w:rPr>
        <w:t xml:space="preserve">Lo que no hace </w:t>
      </w:r>
      <w:r>
        <w:t>HOLD_FOR_CAPACITY es una solicitud de gobernanza Portfolio, no Gate07K HOLD ni escritura sobre las fuentes.</w:t>
      </w:r>
    </w:p>
    <w:p>
      <w:pPr>
        <w:pStyle w:val="Heading1"/>
      </w:pPr>
      <w:r>
        <w:t>A14 Five Case Business Case</w:t>
      </w:r>
    </w:p>
    <w:p>
      <w:r>
        <w:rPr>
          <w:b/>
        </w:rPr>
        <w:t xml:space="preserve">Propósito </w:t>
      </w:r>
      <w:r>
        <w:t>Completar Five Case Business Case con referencias gobernadas y conservar cada revisión histórica. El vínculo con FIN debe identificar el modelo fuente exacto por ID, versión y hash.</w:t>
      </w:r>
    </w:p>
    <w:p>
      <w:r>
        <w:rPr>
          <w:b/>
        </w:rPr>
        <w:t xml:space="preserve">Cuándo y quién </w:t>
      </w:r>
      <w:r>
        <w:t>Cuando la ruta y política del contexto requieren esta actividad. Usuarios: Investment / Project Manager; Project Sponsor; independent Business Case Reviewer.</w:t>
      </w:r>
    </w:p>
    <w:p>
      <w:r>
        <w:rPr>
          <w:b/>
        </w:rPr>
        <w:t xml:space="preserve">Prerrequisitos </w:t>
      </w:r>
      <w:r>
        <w:t>Project de capital canónico con trazabilidad a Proposal y Business Analysis; Fuentes gobernadas actuales requeridas por la política.</w:t>
      </w:r>
    </w:p>
    <w:p>
      <w:r>
        <w:rPr>
          <w:b/>
        </w:rPr>
        <w:t xml:space="preserve">Entradas y campos </w:t>
      </w:r>
      <w:r>
        <w:t>Strategic/Economic/Commercial/Financial/Management. Campos principales: project_workspace_id; version_purpose; source_references_json; source_hashes_json; five_case; economic_financial_model_hash.</w:t>
      </w:r>
    </w:p>
    <w:p>
      <w:r>
        <w:rPr>
          <w:b/>
        </w:rPr>
        <w:t xml:space="preserve">Pantalla </w:t>
      </w:r>
      <w:r>
        <w:t>/app/strategy/business-case-my.</w:t>
      </w:r>
    </w:p>
    <w:p>
      <w:r>
        <w:t>1. Cree la revisión del Business Case a partir del conjunto real de fuentes del Project.</w:t>
      </w:r>
    </w:p>
    <w:p>
      <w:r>
        <w:t>2. Complete Strategic Case, Economic Case, Commercial Case, Financial Case y Management Case con sus referencias de evidencia.</w:t>
      </w:r>
    </w:p>
    <w:p>
      <w:r>
        <w:t>3. Presente la revisión y obtenga su finalización independiente. Para incorporar cambios posteriores, cree una revisión sucesora; no modifique una revisión COMPLETED.</w:t>
      </w:r>
    </w:p>
    <w:p>
      <w:r>
        <w:rPr>
          <w:b/>
        </w:rPr>
        <w:t xml:space="preserve">Estados </w:t>
      </w:r>
      <w:r>
        <w:t>DRAFT/IN_REVIEW/COMPLETED revisions; readiness READY/BLOCKED/STALE distinct</w:t>
      </w:r>
    </w:p>
    <w:p>
      <w:r>
        <w:rPr>
          <w:b/>
        </w:rPr>
        <w:t xml:space="preserve">Reglas de negocio </w:t>
      </w:r>
      <w:r>
        <w:t>Refresh crea una revisión nueva. No reescribe una revisión COMPLETED ni calcula el modelo FIN.</w:t>
      </w:r>
    </w:p>
    <w:p>
      <w:r>
        <w:rPr>
          <w:b/>
        </w:rPr>
        <w:t xml:space="preserve">Salida y siguiente paso </w:t>
      </w:r>
      <w:r>
        <w:t>Current completed BC revision and governed source/hash bundle. Siguiente proceso: P37.</w:t>
      </w:r>
    </w:p>
    <w:p>
      <w:r>
        <w:rPr>
          <w:b/>
        </w:rPr>
        <w:t xml:space="preserve">Errores frecuentes </w:t>
      </w:r>
      <w:r>
        <w:t>Si una fuente está STALE, actualizar el dominio fuente y crear una nueva revisión antes de volver a revisión independiente.</w:t>
      </w:r>
    </w:p>
    <w:p>
      <w:r>
        <w:rPr>
          <w:b/>
        </w:rPr>
        <w:t xml:space="preserve">Lo que no hace </w:t>
      </w:r>
      <w:r>
        <w:t>Refresh crea una revisión nueva. No reescribe una revisión COMPLETED ni calcula el modelo FIN.</w:t>
      </w:r>
    </w:p>
    <w:p>
      <w:pPr>
        <w:pStyle w:val="Heading1"/>
      </w:pPr>
      <w:r>
        <w:t>A15 Strategic Benefits</w:t>
      </w:r>
    </w:p>
    <w:p>
      <w:r>
        <w:rPr>
          <w:b/>
        </w:rPr>
        <w:t xml:space="preserve">Propósito </w:t>
      </w:r>
      <w:r>
        <w:t>Definir beneficios estratégicos, responsables y medidas trazables. Una línea base desconocida permanece sin valor y bloquea cuando sea obligatoria; este registro no ejecuta Benefits Realization.</w:t>
      </w:r>
    </w:p>
    <w:p>
      <w:r>
        <w:rPr>
          <w:b/>
        </w:rPr>
        <w:t xml:space="preserve">Cuándo y quién </w:t>
      </w:r>
      <w:r>
        <w:t>Cuando la ruta y política del contexto requieren esta actividad. Usuarios: Project Sponsor; Benefits Author; independent Benefits Reviewer.</w:t>
      </w:r>
    </w:p>
    <w:p>
      <w:r>
        <w:rPr>
          <w:b/>
        </w:rPr>
        <w:t xml:space="preserve">Prerrequisitos </w:t>
      </w:r>
      <w:r>
        <w:t>Project de capital y configuración de beneficios vigente; Referencias a los objetivos y fuentes que sustentan los beneficios.</w:t>
      </w:r>
    </w:p>
    <w:p>
      <w:r>
        <w:rPr>
          <w:b/>
        </w:rPr>
        <w:t xml:space="preserve">Entradas y campos </w:t>
      </w:r>
      <w:r>
        <w:t>Benefits/owners/measures. Campos principales: benefit_name; benefit_type; strategic_objective_refs; owner; measure_code; unit_of_measure; baseline_status; baseline_value; target_value; target_date.</w:t>
      </w:r>
    </w:p>
    <w:p>
      <w:r>
        <w:rPr>
          <w:b/>
        </w:rPr>
        <w:t xml:space="preserve">Pantalla </w:t>
      </w:r>
      <w:r>
        <w:t>/app/strategy/strategic-benefits-my.</w:t>
      </w:r>
    </w:p>
    <w:p>
      <w:r>
        <w:t>1. Cree el Plan o Register y registre cada beneficio con su identidad estable.</w:t>
      </w:r>
    </w:p>
    <w:p>
      <w:r>
        <w:t>2. Asigne el responsable y las medidas principales; documente la línea base y la meta con su unidad y fecha. Si la línea base es desconocida, no la reemplace por cero ni por un valor supuesto.</w:t>
      </w:r>
    </w:p>
    <w:p>
      <w:r>
        <w:t>3. Presente el registro para revisión y finalización. Consulte su disponibilidad e historia y atienda los requisitos obligatorios pendientes en la fuente correspondiente.</w:t>
      </w:r>
    </w:p>
    <w:p>
      <w:r>
        <w:rPr>
          <w:b/>
        </w:rPr>
        <w:t xml:space="preserve">Estados </w:t>
      </w:r>
      <w:r>
        <w:t>Plan/version DRAFT/IN_REVIEW/COMPLETED/SUPERSEDED/VOIDED; baseline KNOWN/UNKNOWN; readiness NOT_STARTED/IN_PROGRESS/READY/BLOCKED/STALE/NOT_APPLICABLE</w:t>
      </w:r>
    </w:p>
    <w:p>
      <w:r>
        <w:rPr>
          <w:b/>
        </w:rPr>
        <w:t xml:space="preserve">Reglas de negocio </w:t>
      </w:r>
      <w:r>
        <w:t>El plan y registro no ejecutan Benefits Realization.</w:t>
      </w:r>
    </w:p>
    <w:p>
      <w:r>
        <w:rPr>
          <w:b/>
        </w:rPr>
        <w:t xml:space="preserve">Salida y siguiente paso </w:t>
      </w:r>
      <w:r>
        <w:t>Completed Benefits evidence. Siguiente proceso: P23/P37.</w:t>
      </w:r>
    </w:p>
    <w:p>
      <w:r>
        <w:rPr>
          <w:b/>
        </w:rPr>
        <w:t xml:space="preserve">Errores frecuentes </w:t>
      </w:r>
      <w:r>
        <w:t>Revise el Workspace, la revisión de política, campos obligatorios, fuente actual y permisos del actor. Corrija el dominio responsable antes de repetir una transición rechazada.</w:t>
      </w:r>
    </w:p>
    <w:p>
      <w:r>
        <w:rPr>
          <w:b/>
        </w:rPr>
        <w:t xml:space="preserve">Lo que no hace </w:t>
      </w:r>
      <w:r>
        <w:t>El plan y registro no ejecutan Benefits Realization.</w:t>
      </w:r>
    </w:p>
    <w:p>
      <w:pPr>
        <w:pStyle w:val="Heading1"/>
      </w:pPr>
      <w:r>
        <w:t>A16 Commercial Contracting Strategy</w:t>
      </w:r>
    </w:p>
    <w:p>
      <w:r>
        <w:rPr>
          <w:b/>
        </w:rPr>
        <w:t xml:space="preserve">Propósito </w:t>
      </w:r>
      <w:r>
        <w:t>Preparar evidencia estratégica comercial y de contratación. Esta estrategia no adjudica contratos ni ejecuta compras o compromisos.</w:t>
      </w:r>
    </w:p>
    <w:p>
      <w:r>
        <w:rPr>
          <w:b/>
        </w:rPr>
        <w:t xml:space="preserve">Cuándo y quién </w:t>
      </w:r>
      <w:r>
        <w:t>Cuando la ruta y política del contexto requieren esta actividad. Usuarios: Commercial Reviewer; Investment / Project Manager.</w:t>
      </w:r>
    </w:p>
    <w:p>
      <w:r>
        <w:rPr>
          <w:b/>
        </w:rPr>
        <w:t xml:space="preserve">Prerrequisitos </w:t>
      </w:r>
      <w:r>
        <w:t>Marco comercial vigente y contexto real de fuentes del Project.</w:t>
      </w:r>
    </w:p>
    <w:p>
      <w:r>
        <w:rPr>
          <w:b/>
        </w:rPr>
        <w:t xml:space="preserve">Entradas y campos </w:t>
      </w:r>
      <w:r>
        <w:t>Delivery/packaging/contracting/risk allocation. Campos principales: project_workspace_id; content_json; fel_stage_code; reviewer_user_id; source_bundle_hash; commercial_strategy_hash.</w:t>
      </w:r>
    </w:p>
    <w:p>
      <w:r>
        <w:rPr>
          <w:b/>
        </w:rPr>
        <w:t xml:space="preserve">Pantalla </w:t>
      </w:r>
      <w:r>
        <w:t>/app/strategy/commercial-strategy-my.</w:t>
      </w:r>
    </w:p>
    <w:p>
      <w:r>
        <w:t>1. Cree una versión de la estrategia y documente entrega, paquetes, modelo comercial, contratación y asignación de riesgos según las opciones gobernadas.</w:t>
      </w:r>
    </w:p>
    <w:p>
      <w:r>
        <w:t>2. Revise su disponibilidad, la vigencia de las fuentes y las advertencias.</w:t>
      </w:r>
    </w:p>
    <w:p>
      <w:r>
        <w:t>3. Presente la estrategia para su finalización independiente. Conserve la versión terminada y utilice una revisión sucesora cuando deban incorporarse cambios.</w:t>
      </w:r>
    </w:p>
    <w:p>
      <w:r>
        <w:rPr>
          <w:b/>
        </w:rPr>
        <w:t xml:space="preserve">Estados </w:t>
      </w:r>
      <w:r>
        <w:t>DRAFT/IN_REVIEW/COMPLETED/SUPERSEDED/VOIDED; readiness NOT_STARTED/IN_PROGRESS/READY/BLOCKED/STALE/NOT_APPLICABLE</w:t>
      </w:r>
    </w:p>
    <w:p>
      <w:r>
        <w:rPr>
          <w:b/>
        </w:rPr>
        <w:t xml:space="preserve">Reglas de negocio </w:t>
      </w:r>
      <w:r>
        <w:t>La estrategia no ejecuta licitaciones, contratos, compromisos ni compras.</w:t>
      </w:r>
    </w:p>
    <w:p>
      <w:r>
        <w:rPr>
          <w:b/>
        </w:rPr>
        <w:t xml:space="preserve">Salida y siguiente paso </w:t>
      </w:r>
      <w:r>
        <w:t>Completed commercial evidence. Siguiente proceso: P23/P37.</w:t>
      </w:r>
    </w:p>
    <w:p>
      <w:r>
        <w:rPr>
          <w:b/>
        </w:rPr>
        <w:t xml:space="preserve">Errores frecuentes </w:t>
      </w:r>
      <w:r>
        <w:t>Revise el Workspace, la revisión de política, campos obligatorios, fuente actual y permisos del actor. Corrija el dominio responsable antes de repetir una transición rechazada.</w:t>
      </w:r>
    </w:p>
    <w:p>
      <w:r>
        <w:rPr>
          <w:b/>
        </w:rPr>
        <w:t xml:space="preserve">Lo que no hace </w:t>
      </w:r>
      <w:r>
        <w:t>La estrategia no ejecuta licitaciones, contratos, compromisos ni compras.</w:t>
      </w:r>
    </w:p>
    <w:p>
      <w:pPr>
        <w:pStyle w:val="Heading1"/>
      </w:pPr>
      <w:r>
        <w:t>A17 FEL and Definition Maturity PDRI compatible assessment</w:t>
      </w:r>
    </w:p>
    <w:p>
      <w:r>
        <w:rPr>
          <w:b/>
        </w:rPr>
        <w:t xml:space="preserve">Propósito </w:t>
      </w:r>
      <w:r>
        <w:t>Desarrollar la etapa FEL y evaluar su madurez de definición. La etapa del ciclo de vida y el puntaje PDRI son conceptos diferentes; un puntaje favorable no elimina brechas obligatorias.</w:t>
      </w:r>
    </w:p>
    <w:p>
      <w:r>
        <w:rPr>
          <w:b/>
        </w:rPr>
        <w:t xml:space="preserve">Cuándo y quién </w:t>
      </w:r>
      <w:r>
        <w:t>Cuando la ruta y política del contexto requieren esta actividad. Usuarios: Technical Assurance / FEL Reviewer; Investment / Project Manager.</w:t>
      </w:r>
    </w:p>
    <w:p>
      <w:r>
        <w:rPr>
          <w:b/>
        </w:rPr>
        <w:t xml:space="preserve">Prerrequisitos </w:t>
      </w:r>
      <w:r>
        <w:t>Marco de etapas vigente; Project canónico y condiciones de entrada a la etapa satisfechas.</w:t>
      </w:r>
    </w:p>
    <w:p>
      <w:r>
        <w:rPr>
          <w:b/>
        </w:rPr>
        <w:t xml:space="preserve">Entradas y campos </w:t>
      </w:r>
      <w:r>
        <w:t>Stage-specific definition work; Element scores/blocking gaps/actions. Campos principales: framework_configuration_id; stage_code; ProjectFELStatus; ratings; assessment_hash; blocking elements; actions.</w:t>
      </w:r>
    </w:p>
    <w:p>
      <w:r>
        <w:rPr>
          <w:b/>
        </w:rPr>
        <w:t xml:space="preserve">Pantalla </w:t>
      </w:r>
      <w:r>
        <w:t>/app/strategy/project-definition-fel.</w:t>
      </w:r>
    </w:p>
    <w:p>
      <w:r>
        <w:t>1. Inicie la etapa FEL que corresponda y complete la evaluación de madurez específica de esa etapa.</w:t>
      </w:r>
    </w:p>
    <w:p>
      <w:r>
        <w:t>2. Presente la evaluación para revisión y finalización independiente, respetando las condiciones de avance de etapa.</w:t>
      </w:r>
    </w:p>
    <w:p>
      <w:r>
        <w:t>3. Consulte los elementos bloqueantes, las acciones pendientes y la historia. Resuelva las brechas exigidas; no utilice el puntaje agregado para omitirlas.</w:t>
      </w:r>
    </w:p>
    <w:p>
      <w:r>
        <w:rPr>
          <w:b/>
        </w:rPr>
        <w:t xml:space="preserve">Estados </w:t>
      </w:r>
      <w:r>
        <w:t>FEL-1/FEL-2/FEL-3 are stages; assessment/review lifecycle is separate</w:t>
      </w:r>
    </w:p>
    <w:p>
      <w:r>
        <w:rPr>
          <w:b/>
        </w:rPr>
        <w:t xml:space="preserve">Reglas de negocio </w:t>
      </w:r>
      <w:r>
        <w:t>FEL Stage no equivale a Definition Maturity o PDRI. El puntaje no oculta gaps bloqueantes.</w:t>
      </w:r>
    </w:p>
    <w:p>
      <w:r>
        <w:rPr>
          <w:b/>
        </w:rPr>
        <w:t xml:space="preserve">Salida y siguiente paso </w:t>
      </w:r>
      <w:r>
        <w:t>Governed ProjectFELStatus / FEL stage; Immutable completed maturity evidence. Siguiente proceso: P27; P23/P37.</w:t>
      </w:r>
    </w:p>
    <w:p>
      <w:r>
        <w:rPr>
          <w:b/>
        </w:rPr>
        <w:t xml:space="preserve">Errores frecuentes </w:t>
      </w:r>
      <w:r>
        <w:t>Revise el Workspace, la revisión de política, campos obligatorios, fuente actual y permisos del actor. Corrija el dominio responsable antes de repetir una transición rechazada.</w:t>
      </w:r>
    </w:p>
    <w:p>
      <w:r>
        <w:rPr>
          <w:b/>
        </w:rPr>
        <w:t xml:space="preserve">Lo que no hace </w:t>
      </w:r>
      <w:r>
        <w:t>FEL Stage no equivale a Definition Maturity o PDRI. El puntaje no oculta gaps bloqueantes.</w:t>
      </w:r>
    </w:p>
    <w:p>
      <w:pPr>
        <w:pStyle w:val="Heading1"/>
      </w:pPr>
      <w:r>
        <w:t>A18 Basic Data Readiness</w:t>
      </w:r>
    </w:p>
    <w:p>
      <w:r>
        <w:rPr>
          <w:b/>
        </w:rPr>
        <w:t xml:space="preserve">Propósito </w:t>
      </w:r>
      <w:r>
        <w:t>Evaluar disponibilidad, validación, calidad, confianza y vigencia de los datos básicos. Basic Data Readiness es independiente de FEL/PDRI y un porcentaje global alto no compensa un dato crítico obligatorio ausente.</w:t>
      </w:r>
    </w:p>
    <w:p>
      <w:r>
        <w:rPr>
          <w:b/>
        </w:rPr>
        <w:t xml:space="preserve">Cuándo y quién </w:t>
      </w:r>
      <w:r>
        <w:t>Cuando la ruta y política del contexto requieren esta actividad. Usuarios: Technical Assurance / FEL Reviewer; Project Controls.</w:t>
      </w:r>
    </w:p>
    <w:p>
      <w:r>
        <w:rPr>
          <w:b/>
        </w:rPr>
        <w:t xml:space="preserve">Prerrequisitos </w:t>
      </w:r>
      <w:r>
        <w:t>Política y requisitos de Basic Data vigentes para la etapa del Project.</w:t>
      </w:r>
    </w:p>
    <w:p>
      <w:r>
        <w:rPr>
          <w:b/>
        </w:rPr>
        <w:t xml:space="preserve">Entradas y campos </w:t>
      </w:r>
      <w:r>
        <w:t>Availability/validation/quality/confidence/freshness. Campos principales: requirement_code; availability; quality; confidence; source_reference; source_date; expires_on; source_current; evidence_refs; validation_state.</w:t>
      </w:r>
    </w:p>
    <w:p>
      <w:r>
        <w:rPr>
          <w:b/>
        </w:rPr>
        <w:t xml:space="preserve">Pantalla </w:t>
      </w:r>
      <w:r>
        <w:t>/app/strategy/basic-data-readiness.</w:t>
      </w:r>
    </w:p>
    <w:p>
      <w:r>
        <w:t>1. Complete cada dato requerido con su disponibilidad, calidad, confianza, referencia y fechas de la fuente.</w:t>
      </w:r>
    </w:p>
    <w:p>
      <w:r>
        <w:t>2. Obtenga la validación independiente de los elementos y complete la evaluación mediante las acciones habilitadas.</w:t>
      </w:r>
    </w:p>
    <w:p>
      <w:r>
        <w:t>3. Revise el total exacto de requisitos y los bloqueos por datos críticos ausentes o vencidos. Actualice la fuente pendiente antes de continuar, aunque el porcentaje general sea alto.</w:t>
      </w:r>
    </w:p>
    <w:p>
      <w:r>
        <w:rPr>
          <w:b/>
        </w:rPr>
        <w:t xml:space="preserve">Estados </w:t>
      </w:r>
      <w:r>
        <w:t>availability NOT_AVAILABLE/PARTIALLY_AVAILABLE/AVAILABLE; validation NOT_VALIDATED/UNDER_VALIDATION/VALIDATED/REJECTED; assessment DRAFT/IN_REVIEW/COMPLETED</w:t>
      </w:r>
    </w:p>
    <w:p>
      <w:r>
        <w:rPr>
          <w:b/>
        </w:rPr>
        <w:t xml:space="preserve">Reglas de negocio </w:t>
      </w:r>
      <w:r>
        <w:t>Basic Data es distinto de FEL y PDRI. Disponibilidad no significa validación ni alta confianza.</w:t>
      </w:r>
    </w:p>
    <w:p>
      <w:r>
        <w:rPr>
          <w:b/>
        </w:rPr>
        <w:t xml:space="preserve">Salida y siguiente paso </w:t>
      </w:r>
      <w:r>
        <w:t>Exact denominator readiness / blockers. Siguiente proceso: P23/P37.</w:t>
      </w:r>
    </w:p>
    <w:p>
      <w:r>
        <w:rPr>
          <w:b/>
        </w:rPr>
        <w:t xml:space="preserve">Errores frecuentes </w:t>
      </w:r>
      <w:r>
        <w:t>Revise el Workspace, la revisión de política, campos obligatorios, fuente actual y permisos del actor. Corrija el dominio responsable antes de repetir una transición rechazada.</w:t>
      </w:r>
    </w:p>
    <w:p>
      <w:r>
        <w:rPr>
          <w:b/>
        </w:rPr>
        <w:t xml:space="preserve">Lo que no hace </w:t>
      </w:r>
      <w:r>
        <w:t>Basic Data es distinto de FEL y PDRI. Disponibilidad no significa validación ni alta confianza.</w:t>
      </w:r>
    </w:p>
    <w:p>
      <w:pPr>
        <w:pStyle w:val="Heading1"/>
      </w:pPr>
      <w:r>
        <w:t>A19 Risk Governance effective context</w:t>
      </w:r>
    </w:p>
    <w:p>
      <w:r>
        <w:rPr>
          <w:b/>
        </w:rPr>
        <w:t xml:space="preserve">Propósito </w:t>
      </w:r>
      <w:r>
        <w:t>Consultar el contexto efectivo de capacidad, apetito y umbrales de riesgo. La política declarativa no toma decisiones de inversión y project_type no equivale a governance_model.</w:t>
      </w:r>
    </w:p>
    <w:p>
      <w:r>
        <w:rPr>
          <w:b/>
        </w:rPr>
        <w:t xml:space="preserve">Cuándo y quién </w:t>
      </w:r>
      <w:r>
        <w:t>Cuando la ruta y política del contexto requieren esta actividad. Usuarios: Risk Reviewer; Risk Configuration Administrator.</w:t>
      </w:r>
    </w:p>
    <w:p>
      <w:r>
        <w:rPr>
          <w:b/>
        </w:rPr>
        <w:t xml:space="preserve">Prerrequisitos </w:t>
      </w:r>
      <w:r>
        <w:t>Política de riesgo publicada, con alcance y fechas aplicables al contexto.</w:t>
      </w:r>
    </w:p>
    <w:p>
      <w:r>
        <w:rPr>
          <w:b/>
        </w:rPr>
        <w:t xml:space="preserve">Entradas y campos </w:t>
      </w:r>
      <w:r>
        <w:t>Reusable governance framework. Campos principales: scope; effective dates; capacity; appetite; thresholds; project_type; governance_model; gate_profile.</w:t>
      </w:r>
    </w:p>
    <w:p>
      <w:r>
        <w:rPr>
          <w:b/>
        </w:rPr>
        <w:t xml:space="preserve">Pantalla </w:t>
      </w:r>
      <w:r>
        <w:t>/app/strategy/risk-readiness-my.</w:t>
      </w:r>
    </w:p>
    <w:p>
      <w:r>
        <w:t>1. Confirme el Project y consulte la política efectiva, incluida la herencia que corresponda.</w:t>
      </w:r>
    </w:p>
    <w:p>
      <w:r>
        <w:t>2. Revise los umbrales configurados y su evaluación frente a los datos gobernados disponibles.</w:t>
      </w:r>
    </w:p>
    <w:p>
      <w:r>
        <w:t>3. Consulte la revisión histórica cuando necesite explicar una evaluación anterior. Los cambios de umbrales reutilizables corresponden a ADMIN, no a la consulta USER.</w:t>
      </w:r>
    </w:p>
    <w:p>
      <w:r>
        <w:rPr>
          <w:b/>
        </w:rPr>
        <w:t xml:space="preserve">Estados </w:t>
      </w:r>
      <w:r>
        <w:t>Published immutable policy; USER context projection only</w:t>
      </w:r>
    </w:p>
    <w:p>
      <w:r>
        <w:rPr>
          <w:b/>
        </w:rPr>
        <w:t xml:space="preserve">Reglas de negocio </w:t>
      </w:r>
      <w:r>
        <w:t>USER consulta el contexto efectivo. Los umbrales reutilizables se editan únicamente en ADMIN.</w:t>
      </w:r>
    </w:p>
    <w:p>
      <w:r>
        <w:rPr>
          <w:b/>
        </w:rPr>
        <w:t xml:space="preserve">Salida y siguiente paso </w:t>
      </w:r>
      <w:r>
        <w:t>Effective USER risk context, not decision. Siguiente proceso: P30.</w:t>
      </w:r>
    </w:p>
    <w:p>
      <w:r>
        <w:rPr>
          <w:b/>
        </w:rPr>
        <w:t xml:space="preserve">Errores frecuentes </w:t>
      </w:r>
      <w:r>
        <w:t>Revise el Workspace, la revisión de política, campos obligatorios, fuente actual y permisos del actor. Corrija el dominio responsable antes de repetir una transición rechazada.</w:t>
      </w:r>
    </w:p>
    <w:p>
      <w:r>
        <w:rPr>
          <w:b/>
        </w:rPr>
        <w:t xml:space="preserve">Lo que no hace </w:t>
      </w:r>
      <w:r>
        <w:t>USER consulta el contexto efectivo. Los umbrales reutilizables se editan únicamente en ADMIN.</w:t>
      </w:r>
    </w:p>
    <w:p>
      <w:pPr>
        <w:pStyle w:val="Heading1"/>
      </w:pPr>
      <w:r>
        <w:t>A20 Risk Readiness</w:t>
      </w:r>
    </w:p>
    <w:p>
      <w:r>
        <w:rPr>
          <w:b/>
        </w:rPr>
        <w:t xml:space="preserve">Propósito </w:t>
      </w:r>
      <w:r>
        <w:t>Completar la evidencia gobernada de riesgos y su disponibilidad actual. El responsable no puede aceptar su propio riesgo residual alto; los vencimientos o cambios pueden volver obsoleta la evidencia actual sin reescribir su historia.</w:t>
      </w:r>
    </w:p>
    <w:p>
      <w:r>
        <w:rPr>
          <w:b/>
        </w:rPr>
        <w:t xml:space="preserve">Cuándo y quién </w:t>
      </w:r>
      <w:r>
        <w:t>Cuando la ruta y política del contexto requieren esta actividad. Usuarios: Risk Reviewer; Risk Owner; independent Risk Acceptance Authority.</w:t>
      </w:r>
    </w:p>
    <w:p>
      <w:r>
        <w:rPr>
          <w:b/>
        </w:rPr>
        <w:t xml:space="preserve">Prerrequisitos </w:t>
      </w:r>
      <w:r>
        <w:t>Política de riesgo aplicable y riesgos reales dentro del alcance del Project.</w:t>
      </w:r>
    </w:p>
    <w:p>
      <w:r>
        <w:rPr>
          <w:b/>
        </w:rPr>
        <w:t xml:space="preserve">Entradas y campos </w:t>
      </w:r>
      <w:r>
        <w:t>Exposure/owners/treatment/acceptance. Campos principales: risk owner; inherent/residual values; treatment; acceptance; evidence; assessment hash; valid_until.</w:t>
      </w:r>
    </w:p>
    <w:p>
      <w:r>
        <w:rPr>
          <w:b/>
        </w:rPr>
        <w:t xml:space="preserve">Pantalla </w:t>
      </w:r>
      <w:r>
        <w:t>/app/strategy/risk-readiness-my.</w:t>
      </w:r>
    </w:p>
    <w:p>
      <w:r>
        <w:t>1. Registre la exposición inherente y residual, los responsables, tratamientos y evidencias de cada riesgo.</w:t>
      </w:r>
    </w:p>
    <w:p>
      <w:r>
        <w:t>2. Cuando se requiera aceptar un riesgo residual alto, remítalo al actor independiente autorizado para esa aceptación.</w:t>
      </w:r>
    </w:p>
    <w:p>
      <w:r>
        <w:t>3. Complete la evaluación y consulte la cobertura exacta por Project o conjunto. Atienda los vencimientos, tratamientos y cambios de fuente antes de utilizar la evidencia como actual.</w:t>
      </w:r>
    </w:p>
    <w:p>
      <w:r>
        <w:rPr>
          <w:b/>
        </w:rPr>
        <w:t xml:space="preserve">Estados </w:t>
      </w:r>
      <w:r>
        <w:t>Readiness READY/STALE/BLOCKED derived; source assessment lifecycle separate</w:t>
      </w:r>
    </w:p>
    <w:p>
      <w:r>
        <w:rPr>
          <w:b/>
        </w:rPr>
        <w:t xml:space="preserve">Reglas de negocio </w:t>
      </w:r>
      <w:r>
        <w:t>Risk Readiness no sustituye la aceptación autorizada ni elimina tratamientos pendientes.</w:t>
      </w:r>
    </w:p>
    <w:p>
      <w:r>
        <w:rPr>
          <w:b/>
        </w:rPr>
        <w:t xml:space="preserve">Salida y siguiente paso </w:t>
      </w:r>
      <w:r>
        <w:t>Current completed Project/set Risk evidence. Siguiente proceso: P23/P37.</w:t>
      </w:r>
    </w:p>
    <w:p>
      <w:r>
        <w:rPr>
          <w:b/>
        </w:rPr>
        <w:t xml:space="preserve">Errores frecuentes </w:t>
      </w:r>
      <w:r>
        <w:t>Revise el Workspace, la revisión de política, campos obligatorios, fuente actual y permisos del actor. Corrija el dominio responsable antes de repetir una transición rechazada.</w:t>
      </w:r>
    </w:p>
    <w:p>
      <w:r>
        <w:rPr>
          <w:b/>
        </w:rPr>
        <w:t xml:space="preserve">Lo que no hace </w:t>
      </w:r>
      <w:r>
        <w:t>Risk Readiness no sustituye la aceptación autorizada ni elimina tratamientos pendientes.</w:t>
      </w:r>
    </w:p>
    <w:p>
      <w:pPr>
        <w:pStyle w:val="Heading1"/>
      </w:pPr>
      <w:r>
        <w:t>A21 Permit Readiness</w:t>
      </w:r>
    </w:p>
    <w:p>
      <w:r>
        <w:rPr>
          <w:b/>
        </w:rPr>
        <w:t xml:space="preserve">Propósito </w:t>
      </w:r>
      <w:r>
        <w:t>Evaluar los permisos realmente aplicables y su vigencia. Un permiso obligatorio ausente, presentado pero no emitido, rechazado, suspendido o vencido no satisface la cobertura exigida para FFA.</w:t>
      </w:r>
    </w:p>
    <w:p>
      <w:r>
        <w:rPr>
          <w:b/>
        </w:rPr>
        <w:t xml:space="preserve">Cuándo y quién </w:t>
      </w:r>
      <w:r>
        <w:t>Cuando la ruta y política del contexto requieren esta actividad. Usuarios: Investment / Project Manager; Permit Reviewer.</w:t>
      </w:r>
    </w:p>
    <w:p>
      <w:r>
        <w:rPr>
          <w:b/>
        </w:rPr>
        <w:t xml:space="preserve">Prerrequisitos </w:t>
      </w:r>
      <w:r>
        <w:t>Catálogo y requisitos de permisos aplicables al contexto; Registros reales de permisos del Project.</w:t>
      </w:r>
    </w:p>
    <w:p>
      <w:r>
        <w:rPr>
          <w:b/>
        </w:rPr>
        <w:t xml:space="preserve">Entradas y campos </w:t>
      </w:r>
      <w:r>
        <w:t>Applicability/status/expiry/conditions. Campos principales: requirement; applicability; status; validity dates; conditions; assessment/source hash.</w:t>
      </w:r>
    </w:p>
    <w:p>
      <w:r>
        <w:rPr>
          <w:b/>
        </w:rPr>
        <w:t xml:space="preserve">Pantalla </w:t>
      </w:r>
      <w:r>
        <w:t>/app/strategy/permit-readiness-my.</w:t>
      </w:r>
    </w:p>
    <w:p>
      <w:r>
        <w:t>1. Asigne los requisitos aplicables y vincule los registros de permisos que los sustentan.</w:t>
      </w:r>
    </w:p>
    <w:p>
      <w:r>
        <w:t>2. Documente el estado real de emisión, las fechas y las condiciones bloqueantes o no bloqueantes. No marque un permiso como emitido sin su respaldo.</w:t>
      </w:r>
    </w:p>
    <w:p>
      <w:r>
        <w:t>3. Complete la evaluación actual del Project o conjunto y revise la cobertura Class A exigida. Resuelva en su fuente los permisos o condiciones que continúen bloqueando.</w:t>
      </w:r>
    </w:p>
    <w:p>
      <w:r>
        <w:rPr>
          <w:b/>
        </w:rPr>
        <w:t xml:space="preserve">Estados </w:t>
      </w:r>
      <w:r>
        <w:t>Permit state distinct from readiness; required issued/current evidence only</w:t>
      </w:r>
    </w:p>
    <w:p>
      <w:r>
        <w:rPr>
          <w:b/>
        </w:rPr>
        <w:t xml:space="preserve">Reglas de negocio </w:t>
      </w:r>
      <w:r>
        <w:t>La cobertura y aplicabilidad no emiten permisos regulatorios ni aprueban condiciones automáticamente.</w:t>
      </w:r>
    </w:p>
    <w:p>
      <w:r>
        <w:rPr>
          <w:b/>
        </w:rPr>
        <w:t xml:space="preserve">Salida y siguiente paso </w:t>
      </w:r>
      <w:r>
        <w:t>Current contextual Permit evidence. Siguiente proceso: P23/P37.</w:t>
      </w:r>
    </w:p>
    <w:p>
      <w:r>
        <w:rPr>
          <w:b/>
        </w:rPr>
        <w:t xml:space="preserve">Errores frecuentes </w:t>
      </w:r>
      <w:r>
        <w:t>Revise el Workspace, la revisión de política, campos obligatorios, fuente actual y permisos del actor. Corrija el dominio responsable antes de repetir una transición rechazada.</w:t>
      </w:r>
    </w:p>
    <w:p>
      <w:r>
        <w:rPr>
          <w:b/>
        </w:rPr>
        <w:t xml:space="preserve">Lo que no hace </w:t>
      </w:r>
      <w:r>
        <w:t>La cobertura y aplicabilidad no emiten permisos regulatorios ni aprueban condiciones automáticamente.</w:t>
      </w:r>
    </w:p>
    <w:p>
      <w:pPr>
        <w:pStyle w:val="Heading1"/>
      </w:pPr>
      <w:r>
        <w:t>A22 Owner Capability Readiness</w:t>
      </w:r>
    </w:p>
    <w:p>
      <w:r>
        <w:rPr>
          <w:b/>
        </w:rPr>
        <w:t xml:space="preserve">Propósito </w:t>
      </w:r>
      <w:r>
        <w:t>Evaluar la capacidad del propietario con evidencia de madurez, calidad y confianza. No equivale a planificación de recursos, capacidad del contratista ni disponibilidad operacional; una mitigación aceptada no elimina por sí sola una brecha crítica.</w:t>
      </w:r>
    </w:p>
    <w:p>
      <w:r>
        <w:rPr>
          <w:b/>
        </w:rPr>
        <w:t xml:space="preserve">Cuándo y quién </w:t>
      </w:r>
      <w:r>
        <w:t>Cuando la ruta y política del contexto requieren esta actividad. Usuarios: Project Sponsor; Investment / Project Manager; independent Owner Capability Reviewer.</w:t>
      </w:r>
    </w:p>
    <w:p>
      <w:r>
        <w:rPr>
          <w:b/>
        </w:rPr>
        <w:t xml:space="preserve">Prerrequisitos </w:t>
      </w:r>
      <w:r>
        <w:t>Marco de capacidad del propietario vigente; Sponsor, responsabilidades y evidencia reales del contexto.</w:t>
      </w:r>
    </w:p>
    <w:p>
      <w:r>
        <w:rPr>
          <w:b/>
        </w:rPr>
        <w:t xml:space="preserve">Entradas y campos </w:t>
      </w:r>
      <w:r>
        <w:t>Maturity/quality/confidence/gaps/mitigations. Campos principales: requirement_code; current_maturity; evidence_quality; confidence; capability_source; evidence_refs; responsible_function; gaps; mitigations.</w:t>
      </w:r>
    </w:p>
    <w:p>
      <w:r>
        <w:rPr>
          <w:b/>
        </w:rPr>
        <w:t xml:space="preserve">Pantalla </w:t>
      </w:r>
      <w:r>
        <w:t>/app/strategy/owner-capability-readiness.</w:t>
      </w:r>
    </w:p>
    <w:p>
      <w:r>
        <w:t>1. Califique la madurez de cada requisito y registre por separado la calidad y la confianza de la evidencia.</w:t>
      </w:r>
    </w:p>
    <w:p>
      <w:r>
        <w:t>2. Documente si la capacidad se obtiene de forma interna, externa o híbrida, junto con las brechas y mitigaciones correspondientes.</w:t>
      </w:r>
    </w:p>
    <w:p>
      <w:r>
        <w:t>3. Presente la evaluación para revisión y finalización independientes. Consulte los bloqueos, la vigencia y la historia; no dé por resuelta una brecha crítica únicamente porque tenga una mitigación aceptada.</w:t>
      </w:r>
    </w:p>
    <w:p>
      <w:r>
        <w:rPr>
          <w:b/>
        </w:rPr>
        <w:t xml:space="preserve">Estados </w:t>
      </w:r>
      <w:r>
        <w:t>Assessment DRAFT/IN_REVIEW/COMPLETED; confidence PRELIMINARY/MODERATE/HIGH; capability_source INTERNAL/EXTERNAL_CONTRACTED/HYBRID</w:t>
      </w:r>
    </w:p>
    <w:p>
      <w:r>
        <w:rPr>
          <w:b/>
        </w:rPr>
        <w:t xml:space="preserve">Reglas de negocio </w:t>
      </w:r>
      <w:r>
        <w:t>Owner Capability no es Resource Planning, Contractor Capability ni Operational Readiness.</w:t>
      </w:r>
    </w:p>
    <w:p>
      <w:r>
        <w:rPr>
          <w:b/>
        </w:rPr>
        <w:t xml:space="preserve">Salida y siguiente paso </w:t>
      </w:r>
      <w:r>
        <w:t>Current Owner Capability evidence. Siguiente proceso: P23/P37.</w:t>
      </w:r>
    </w:p>
    <w:p>
      <w:r>
        <w:rPr>
          <w:b/>
        </w:rPr>
        <w:t xml:space="preserve">Errores frecuentes </w:t>
      </w:r>
      <w:r>
        <w:t>Revise el Workspace, la revisión de política, campos obligatorios, fuente actual y permisos del actor. Corrija el dominio responsable antes de repetir una transición rechazada.</w:t>
      </w:r>
    </w:p>
    <w:p>
      <w:r>
        <w:rPr>
          <w:b/>
        </w:rPr>
        <w:t xml:space="preserve">Lo que no hace </w:t>
      </w:r>
      <w:r>
        <w:t>Owner Capability no es Resource Planning, Contractor Capability ni Operational Readiness.</w:t>
      </w:r>
    </w:p>
    <w:p>
      <w:pPr>
        <w:pStyle w:val="Heading1"/>
      </w:pPr>
      <w:r>
        <w:t>A23 Funding</w:t>
      </w:r>
    </w:p>
    <w:p>
      <w:r>
        <w:rPr>
          <w:b/>
        </w:rPr>
        <w:t xml:space="preserve">Propósito </w:t>
      </w:r>
      <w:r>
        <w:t>Trazar Funding Source, Fund y Funding Assignment y evaluar la cobertura de fondos sin duplicar asignaciones entre padres e hijos. Funding es distinto de Budget y no registra movimientos de contabilidad o tesorería.</w:t>
      </w:r>
    </w:p>
    <w:p>
      <w:r>
        <w:rPr>
          <w:b/>
        </w:rPr>
        <w:t xml:space="preserve">Cuándo y quién </w:t>
      </w:r>
      <w:r>
        <w:t>Cuando la ruta y política del contexto requieren esta actividad. Usuarios: Cost / Finance Reviewer; Funding Planner; independent Funding Approver.</w:t>
      </w:r>
    </w:p>
    <w:p>
      <w:r>
        <w:rPr>
          <w:b/>
        </w:rPr>
        <w:t xml:space="preserve">Prerrequisitos </w:t>
      </w:r>
      <w:r>
        <w:t>Política de Funding publicada y fondos aprobados; Necesidades monetarias pertinentes del Project o Portfolio.</w:t>
      </w:r>
    </w:p>
    <w:p>
      <w:r>
        <w:rPr>
          <w:b/>
        </w:rPr>
        <w:t xml:space="preserve">Entradas y campos </w:t>
      </w:r>
      <w:r>
        <w:t>Confirmed eligible monetary assignments. Campos principales: funding_source_id; fund_id; portfolio/project scope; amount; currency; restrictions; confirmed coverage; funding_readiness_hash.</w:t>
      </w:r>
    </w:p>
    <w:p>
      <w:r>
        <w:rPr>
          <w:b/>
        </w:rPr>
        <w:t xml:space="preserve">Pantalla </w:t>
      </w:r>
      <w:r>
        <w:t>/app/strategy/funds-overview.</w:t>
      </w:r>
    </w:p>
    <w:p>
      <w:r>
        <w:t>1. Registre la Funding Source, el Fund y las Funding Assignments correspondientes, conservando su relación y alcance.</w:t>
      </w:r>
    </w:p>
    <w:p>
      <w:r>
        <w:t>2. Someta las asignaciones a la confirmación independiente requerida y actualice la evaluación de cobertura.</w:t>
      </w:r>
    </w:p>
    <w:p>
      <w:r>
        <w:t>3. Revise cobertura actual, moneda, restricciones e historia. Evite contar una misma asignación en el nivel padre y en el hijo como si fueran fondos adicionales.</w:t>
      </w:r>
    </w:p>
    <w:p>
      <w:r>
        <w:rPr>
          <w:b/>
        </w:rPr>
        <w:t xml:space="preserve">Estados </w:t>
      </w:r>
      <w:r>
        <w:t>Source/Fund/Assignment lifecycles independent; current readiness vs historical snapshot</w:t>
      </w:r>
    </w:p>
    <w:p>
      <w:r>
        <w:rPr>
          <w:b/>
        </w:rPr>
        <w:t xml:space="preserve">Reglas de negocio </w:t>
      </w:r>
      <w:r>
        <w:t>Funding es distinto de Budget. Una fuente o asignación no registra desembolsos ni pagos.</w:t>
      </w:r>
    </w:p>
    <w:p>
      <w:r>
        <w:rPr>
          <w:b/>
        </w:rPr>
        <w:t xml:space="preserve">Salida y siguiente paso </w:t>
      </w:r>
      <w:r>
        <w:t>Governed Funding coverage/snapshot. Siguiente proceso: P34/P37.</w:t>
      </w:r>
    </w:p>
    <w:p>
      <w:r>
        <w:rPr>
          <w:b/>
        </w:rPr>
        <w:t xml:space="preserve">Errores frecuentes </w:t>
      </w:r>
      <w:r>
        <w:t>Revise el Workspace, la revisión de política, campos obligatorios, fuente actual y permisos del actor. Corrija el dominio responsable antes de repetir una transición rechazada.</w:t>
      </w:r>
    </w:p>
    <w:p>
      <w:r>
        <w:rPr>
          <w:b/>
        </w:rPr>
        <w:t xml:space="preserve">Lo que no hace </w:t>
      </w:r>
      <w:r>
        <w:t>Funding es distinto de Budget. Una fuente o asignación no registra desembolsos ni pagos.</w:t>
      </w:r>
    </w:p>
    <w:p>
      <w:pPr>
        <w:pStyle w:val="Heading1"/>
      </w:pPr>
      <w:r>
        <w:t>A24 Economic Financial Model</w:t>
      </w:r>
    </w:p>
    <w:p>
      <w:r>
        <w:rPr>
          <w:b/>
        </w:rPr>
        <w:t xml:space="preserve">Propósito </w:t>
      </w:r>
      <w:r>
        <w:t>Preparar el modelo económico o financiero determinístico con indicadores y trazabilidad de fuentes. Los resultados no generan asientos ni modifican Treasury o Accounting.</w:t>
      </w:r>
    </w:p>
    <w:p>
      <w:r>
        <w:rPr>
          <w:b/>
        </w:rPr>
        <w:t xml:space="preserve">Cuándo y quién </w:t>
      </w:r>
      <w:r>
        <w:t>Cuando la ruta y política del contexto requieren esta actividad. Usuarios: Cost / Finance Reviewer; independent FIN Reviewer.</w:t>
      </w:r>
    </w:p>
    <w:p>
      <w:r>
        <w:rPr>
          <w:b/>
        </w:rPr>
        <w:t xml:space="preserve">Prerrequisitos </w:t>
      </w:r>
      <w:r>
        <w:t>Línea base real del Business Case y Project; Evidencia de Funding y configuración FIN publicada.</w:t>
      </w:r>
    </w:p>
    <w:p>
      <w:r>
        <w:rPr>
          <w:b/>
        </w:rPr>
        <w:t xml:space="preserve">Entradas y campos </w:t>
      </w:r>
      <w:r>
        <w:t>Cashflows/capital structure/WACC. Campos principales: model type; currency; horizon; financial/economic cashflows; WACC; instruments; model_hash; funding_reconciliation_status.</w:t>
      </w:r>
    </w:p>
    <w:p>
      <w:r>
        <w:rPr>
          <w:b/>
        </w:rPr>
        <w:t xml:space="preserve">Pantalla </w:t>
      </w:r>
      <w:r>
        <w:t>/app/strategy/financial-model-my-models.</w:t>
      </w:r>
    </w:p>
    <w:p>
      <w:r>
        <w:t>1. Cree el modelo comercial o económico aplicable y complete flujos de caja, WACC e instrumentos de capital con datos sustentados.</w:t>
      </w:r>
    </w:p>
    <w:p>
      <w:r>
        <w:t>2. Calcule los resultados y revise la conciliación entre Funding, deuda y retornos.</w:t>
      </w:r>
    </w:p>
    <w:p>
      <w:r>
        <w:t>3. Presente el modelo para finalización independiente. Vincule en Business Case el ID, versión y hash exactos del modelo FIN y consulte su trazabilidad; no sustituya esa referencia por el estado de disponibilidad de otra fuente.</w:t>
      </w:r>
    </w:p>
    <w:p>
      <w:r>
        <w:rPr>
          <w:b/>
        </w:rPr>
        <w:t xml:space="preserve">Estados </w:t>
      </w:r>
      <w:r>
        <w:t>Completed FIN readiness READY; source authority change makes current STALE; frozen history unchanged</w:t>
      </w:r>
    </w:p>
    <w:p>
      <w:r>
        <w:rPr>
          <w:b/>
        </w:rPr>
        <w:t xml:space="preserve">Reglas de negocio </w:t>
      </w:r>
      <w:r>
        <w:t>FIN es determinístico. No altera Treasury o Accounting ni aprueba inversión.</w:t>
      </w:r>
    </w:p>
    <w:p>
      <w:r>
        <w:rPr>
          <w:b/>
        </w:rPr>
        <w:t xml:space="preserve">Salida y siguiente paso </w:t>
      </w:r>
      <w:r>
        <w:t>Completed FIN metrics/hash and reconciliation. Siguiente proceso: P23/P37.</w:t>
      </w:r>
    </w:p>
    <w:p>
      <w:r>
        <w:rPr>
          <w:b/>
        </w:rPr>
        <w:t xml:space="preserve">Errores frecuentes </w:t>
      </w:r>
      <w:r>
        <w:t>Revise el Workspace, la revisión de política, campos obligatorios, fuente actual y permisos del actor. Corrija el dominio responsable antes de repetir una transición rechazada.</w:t>
      </w:r>
    </w:p>
    <w:p>
      <w:r>
        <w:rPr>
          <w:b/>
        </w:rPr>
        <w:t xml:space="preserve">Lo que no hace </w:t>
      </w:r>
      <w:r>
        <w:t>FIN es determinístico. No altera Treasury o Accounting ni aprueba inversión.</w:t>
      </w:r>
    </w:p>
    <w:p>
      <w:pPr>
        <w:pStyle w:val="Heading1"/>
      </w:pPr>
      <w:r>
        <w:t>A25 QRA Foundation</w:t>
      </w:r>
    </w:p>
    <w:p>
      <w:r>
        <w:rPr>
          <w:b/>
        </w:rPr>
        <w:t xml:space="preserve">Propósito </w:t>
      </w:r>
      <w:r>
        <w:t>Preparar y aprobar el modelo QRA con metodología y fuentes actuales, respetando la separación de funciones. APPROVED_FOR_ANALYSIS habilita el análisis del modelo; QRA Foundation no ejecuta la simulación ni acepta sus resultados.</w:t>
      </w:r>
    </w:p>
    <w:p>
      <w:r>
        <w:rPr>
          <w:b/>
        </w:rPr>
        <w:t xml:space="preserve">Cuándo y quién </w:t>
      </w:r>
      <w:r>
        <w:t>Cuando la ruta y política del contexto requieren esta actividad. Usuarios: QRA Analyst; independent QRA Model Reviewer.</w:t>
      </w:r>
    </w:p>
    <w:p>
      <w:r>
        <w:rPr>
          <w:b/>
        </w:rPr>
        <w:t xml:space="preserve">Prerrequisitos </w:t>
      </w:r>
      <w:r>
        <w:t>Metodología efectiva y fuentes reales gobernadas de Cost o Schedule; Capacidad del motor soportada para el tipo de análisis seleccionado.</w:t>
      </w:r>
    </w:p>
    <w:p>
      <w:r>
        <w:rPr>
          <w:b/>
        </w:rPr>
        <w:t xml:space="preserve">Entradas y campos </w:t>
      </w:r>
      <w:r>
        <w:t>Ranges/distributions/correlations/scope. Campos principales: analysis_type; cost/schedule source IDs; scope; methodology_id; inputs; ranges; distributions; correlations; model_hash.</w:t>
      </w:r>
    </w:p>
    <w:p>
      <w:r>
        <w:rPr>
          <w:b/>
        </w:rPr>
        <w:t xml:space="preserve">Pantalla </w:t>
      </w:r>
      <w:r>
        <w:t>/app/strategy/qra-foundation.</w:t>
      </w:r>
    </w:p>
    <w:p>
      <w:r>
        <w:t>1. Prepare y valide los snapshots de fuentes y el conjunto de entradas que integran el modelo.</w:t>
      </w:r>
    </w:p>
    <w:p>
      <w:r>
        <w:t>2. Defina distribuciones, rangos y correlaciones, y revise el alcance y el total exacto de entradas incluidas.</w:t>
      </w:r>
    </w:p>
    <w:p>
      <w:r>
        <w:t>3. Presente el modelo para aprobación independiente del análisis. Si las fuentes o la metodología están obsoletas, actualice el origen antes de solicitar APPROVED_FOR_ANALYSIS.</w:t>
      </w:r>
    </w:p>
    <w:p>
      <w:r>
        <w:rPr>
          <w:b/>
        </w:rPr>
        <w:t xml:space="preserve">Estados </w:t>
      </w:r>
      <w:r>
        <w:t>Model APPROVED_FOR_ANALYSIS; supported analysis COST_QRA/SCHEDULE_QRA only</w:t>
      </w:r>
    </w:p>
    <w:p>
      <w:r>
        <w:rPr>
          <w:b/>
        </w:rPr>
        <w:t xml:space="preserve">Reglas de negocio </w:t>
      </w:r>
      <w:r>
        <w:t>APPROVED_FOR_ANALYSIS habilita un modelo. No constituye aceptación de un resultado.</w:t>
      </w:r>
    </w:p>
    <w:p>
      <w:r>
        <w:rPr>
          <w:b/>
        </w:rPr>
        <w:t xml:space="preserve">Salida y siguiente paso </w:t>
      </w:r>
      <w:r>
        <w:t>APPROVED_FOR_ANALYSIS model; no simulation. Siguiente proceso: P36.</w:t>
      </w:r>
    </w:p>
    <w:p>
      <w:r>
        <w:rPr>
          <w:b/>
        </w:rPr>
        <w:t xml:space="preserve">Errores frecuentes </w:t>
      </w:r>
      <w:r>
        <w:t>Corregir fuentes obsoletas, modelo no aprobado, distribución o correlación inválida. No forzar aprobación.</w:t>
      </w:r>
    </w:p>
    <w:p>
      <w:r>
        <w:rPr>
          <w:b/>
        </w:rPr>
        <w:t xml:space="preserve">Lo que no hace </w:t>
      </w:r>
      <w:r>
        <w:t>APPROVED_FOR_ANALYSIS habilita un modelo. No constituye aceptación de un resultado.</w:t>
      </w:r>
    </w:p>
    <w:p>
      <w:pPr>
        <w:pStyle w:val="Heading1"/>
      </w:pPr>
      <w:r>
        <w:t>A26 Contextual QRA Results</w:t>
      </w:r>
    </w:p>
    <w:p>
      <w:r>
        <w:rPr>
          <w:b/>
        </w:rPr>
        <w:t xml:space="preserve">Propósito </w:t>
      </w:r>
      <w:r>
        <w:t>Obtener y revisar resultados QRA cuando la política del contexto los exija. Un resultado de ejecución no es una aceptación; QRA_RESULT_PROVIDER requiere evidencia compatible y actual y no aprueba FID ni modifica automáticamente contingencia, Budget o Schedule.</w:t>
      </w:r>
    </w:p>
    <w:p>
      <w:r>
        <w:rPr>
          <w:b/>
        </w:rPr>
        <w:t xml:space="preserve">Cuándo y quién </w:t>
      </w:r>
      <w:r>
        <w:t>Cuando la ruta y política del contexto requieren esta actividad. Usuarios: QRA Analyst; independent QRA Result Reviewer.</w:t>
      </w:r>
    </w:p>
    <w:p>
      <w:r>
        <w:rPr>
          <w:b/>
        </w:rPr>
        <w:t xml:space="preserve">Prerrequisitos </w:t>
      </w:r>
      <w:r>
        <w:t>Política aplicable y modelo actual APPROVED_FOR_ANALYSIS; Tipo y alcance de análisis soportados; QRA no es un requisito universal.</w:t>
      </w:r>
    </w:p>
    <w:p>
      <w:r>
        <w:rPr>
          <w:b/>
        </w:rPr>
        <w:t xml:space="preserve">Entradas y campos </w:t>
      </w:r>
      <w:r>
        <w:t>Real run and independent acceptance. Campos principales: analysis_type; analysis_scope; seed; run_id; model_hash; acceptance_status; source_current; percentiles; target_probability; convergence; warnings.</w:t>
      </w:r>
    </w:p>
    <w:p>
      <w:r>
        <w:rPr>
          <w:b/>
        </w:rPr>
        <w:t xml:space="preserve">Pantalla </w:t>
      </w:r>
      <w:r>
        <w:t>/app/strategy/qra-foundation.</w:t>
      </w:r>
    </w:p>
    <w:p>
      <w:r>
        <w:t>1. Cree y ejecute el análisis Cost o Schedule soportado que corresponda al modelo aprobado.</w:t>
      </w:r>
    </w:p>
    <w:p>
      <w:r>
        <w:t>2. Revise percentiles, probabilidad, convergencia, advertencias y procedencia. El actor independiente autorizado registra la aceptación cuando el resultado la justifique.</w:t>
      </w:r>
    </w:p>
    <w:p>
      <w:r>
        <w:t>3. Consulte la evidencia del provider contextual y confirme ACCEPTED, vigencia, tipo, alcance y capacidad. Si falta evidencia válida, atienda el origen; un adjunto manual no sustituye un provider Class A obligatorio.</w:t>
      </w:r>
    </w:p>
    <w:p>
      <w:r>
        <w:rPr>
          <w:b/>
        </w:rPr>
        <w:t xml:space="preserve">Estados </w:t>
      </w:r>
      <w:r>
        <w:t>Execution completion ≠ acceptance; provider qualifying status ACCEPTED and current; unavailable/stale cannot satisfy Class A</w:t>
      </w:r>
    </w:p>
    <w:p>
      <w:r>
        <w:rPr>
          <w:b/>
        </w:rPr>
        <w:t xml:space="preserve">Reglas de negocio </w:t>
      </w:r>
      <w:r>
        <w:t>COMPLETED no es ACCEPTED. La disponibilidad del provider no vuelve QRA universalmente obligatorio.</w:t>
      </w:r>
    </w:p>
    <w:p>
      <w:r>
        <w:rPr>
          <w:b/>
        </w:rPr>
        <w:t xml:space="preserve">Salida y siguiente paso </w:t>
      </w:r>
      <w:r>
        <w:t>Accepted current bounded QRA provider evidence. Siguiente proceso: P23/P37.</w:t>
      </w:r>
    </w:p>
    <w:p>
      <w:r>
        <w:rPr>
          <w:b/>
        </w:rPr>
        <w:t xml:space="preserve">Errores frecuentes </w:t>
      </w:r>
      <w:r>
        <w:t>Revisar analysis type, scope, capacidad soportada, aceptación independiente, vigencia y convergencia. No adjuntar un resultado manual para suplir Class A.</w:t>
      </w:r>
    </w:p>
    <w:p>
      <w:r>
        <w:rPr>
          <w:b/>
        </w:rPr>
        <w:t xml:space="preserve">Lo que no hace </w:t>
      </w:r>
      <w:r>
        <w:t>COMPLETED no es ACCEPTED. La disponibilidad del provider no vuelve QRA universalmente obligatorio.</w:t>
      </w:r>
    </w:p>
    <w:p>
      <w:pPr>
        <w:pStyle w:val="Heading1"/>
      </w:pPr>
      <w:r>
        <w:t>A27 Gate Preparation Evidence Decision Criteria</w:t>
      </w:r>
    </w:p>
    <w:p>
      <w:r>
        <w:rPr>
          <w:b/>
        </w:rPr>
        <w:t xml:space="preserve">Propósito </w:t>
      </w:r>
      <w:r>
        <w:t>Preparar la evidencia y evaluar los criterios de inversión en Gate07J. Este proceso no toma la decisión Gate07K y no permite reemplazar por un adjunto manual una fuente Class A obligatoria.</w:t>
      </w:r>
    </w:p>
    <w:p>
      <w:r>
        <w:rPr>
          <w:b/>
        </w:rPr>
        <w:t xml:space="preserve">Cuándo y quién </w:t>
      </w:r>
      <w:r>
        <w:t>Cuando la ruta y política del contexto requieren esta actividad. Usuarios: Gate Preparer; independent Evidence Reviewer.</w:t>
      </w:r>
    </w:p>
    <w:p>
      <w:r>
        <w:rPr>
          <w:b/>
        </w:rPr>
        <w:t xml:space="preserve">Prerrequisitos </w:t>
      </w:r>
      <w:r>
        <w:t>Convergencia recomendada y fuentes gobernadas reales; Gate Profile, política de evidencia y criterios publicados y aplicables.</w:t>
      </w:r>
    </w:p>
    <w:p>
      <w:r>
        <w:rPr>
          <w:b/>
        </w:rPr>
        <w:t xml:space="preserve">Entradas y campos </w:t>
      </w:r>
      <w:r>
        <w:t>Scoped Class A/B/C evidence and criteria. Campos principales: portfolio_workspace_id; investment_gate_profile_id; policy id/revision/hash; evidence_type; classification; scope; source_hash; criterion_evaluations; coverage_percent.</w:t>
      </w:r>
    </w:p>
    <w:p>
      <w:r>
        <w:rPr>
          <w:b/>
        </w:rPr>
        <w:t xml:space="preserve">Pantalla </w:t>
      </w:r>
      <w:r>
        <w:t>/app/strategy/investment-gate-preparation.</w:t>
      </w:r>
    </w:p>
    <w:p>
      <w:r>
        <w:t>1. Cree la preparación para el Portfolio y el conjunto exacto de Projects de la decisión.</w:t>
      </w:r>
    </w:p>
    <w:p>
      <w:r>
        <w:t>2. Consulte la matriz efectiva Class A/B/C, los providers y la cobertura de cada Project, distinguiendo los requisitos obligatorios de los no aplicables.</w:t>
      </w:r>
    </w:p>
    <w:p>
      <w:r>
        <w:t>3. Evalúe criterios, excepciones y advertencias. Resuelva los bloqueos en el dominio responsable y compruebe la preparación para revisión, sin interpretar READY como una decisión de inversión.</w:t>
      </w:r>
    </w:p>
    <w:p>
      <w:r>
        <w:rPr>
          <w:b/>
        </w:rPr>
        <w:t xml:space="preserve">Estados </w:t>
      </w:r>
      <w:r>
        <w:t>READY preparation does not imply FID; can_enter_fid false in preparation handoff</w:t>
      </w:r>
    </w:p>
    <w:p>
      <w:r>
        <w:rPr>
          <w:b/>
        </w:rPr>
        <w:t xml:space="preserve">Reglas de negocio </w:t>
      </w:r>
      <w:r>
        <w:t>Gate07J prepara evidencia. No toma la decisión formal Gate07K ni recalcula QRA.</w:t>
      </w:r>
    </w:p>
    <w:p>
      <w:r>
        <w:rPr>
          <w:b/>
        </w:rPr>
        <w:t xml:space="preserve">Salida y siguiente paso </w:t>
      </w:r>
      <w:r>
        <w:t>READY package, not decision. Siguiente proceso: P38.</w:t>
      </w:r>
    </w:p>
    <w:p>
      <w:r>
        <w:rPr>
          <w:b/>
        </w:rPr>
        <w:t xml:space="preserve">Errores frecuentes </w:t>
      </w:r>
      <w:r>
        <w:t>NOT_EVALUABLE obligatorio, Class A obsoleta o provider ausente bloquean. Resolver el origen y volver a evaluar.</w:t>
      </w:r>
    </w:p>
    <w:p>
      <w:r>
        <w:rPr>
          <w:b/>
        </w:rPr>
        <w:t xml:space="preserve">Lo que no hace </w:t>
      </w:r>
      <w:r>
        <w:t>Gate07J prepara evidencia. No toma la decisión formal Gate07K ni recalcula QRA.</w:t>
      </w:r>
    </w:p>
    <w:p>
      <w:pPr>
        <w:pStyle w:val="Heading1"/>
      </w:pPr>
      <w:r>
        <w:t>A28 Business Case Gate source consistency</w:t>
      </w:r>
    </w:p>
    <w:p>
      <w:r>
        <w:rPr>
          <w:b/>
        </w:rPr>
        <w:t xml:space="preserve">Propósito </w:t>
      </w:r>
      <w:r>
        <w:t>Comprobar que Business Case y Gate utilizan las fuentes nativas correctas y sus hashes exactos. Una coincidencia de estados de disponibilidad no sustituye la identidad de la fuente; una inconsistencia obligatoria impide continuar.</w:t>
      </w:r>
    </w:p>
    <w:p>
      <w:r>
        <w:rPr>
          <w:b/>
        </w:rPr>
        <w:t xml:space="preserve">Cuándo y quién </w:t>
      </w:r>
      <w:r>
        <w:t>Cuando la ruta y política del contexto requieren esta actividad. Usuarios: Gate Preparer; Cost / Finance Reviewer.</w:t>
      </w:r>
    </w:p>
    <w:p>
      <w:r>
        <w:rPr>
          <w:b/>
        </w:rPr>
        <w:t xml:space="preserve">Prerrequisitos </w:t>
      </w:r>
      <w:r>
        <w:t>Reglas de consistencia entre fuentes configuradas en la política; Business Case completado y providers nativos reales para el alcance.</w:t>
      </w:r>
    </w:p>
    <w:p>
      <w:r>
        <w:rPr>
          <w:b/>
        </w:rPr>
        <w:t xml:space="preserve">Entradas y campos </w:t>
      </w:r>
      <w:r>
        <w:t>BC/native provider refs and hashes. Campos principales: source_references_json; source_hashes_json; scope_id; source record/version/hash; cross_source_consistency.</w:t>
      </w:r>
    </w:p>
    <w:p>
      <w:r>
        <w:rPr>
          <w:b/>
        </w:rPr>
        <w:t xml:space="preserve">Pantalla </w:t>
      </w:r>
      <w:r>
        <w:t>/app/strategy/investment-gate-preparation.</w:t>
      </w:r>
    </w:p>
    <w:p>
      <w:r>
        <w:t>1. Compare las referencias y hashes de las fuentes nativas del Project con los capturados en el snapshot de Business Case.</w:t>
      </w:r>
    </w:p>
    <w:p>
      <w:r>
        <w:t>2. Revise las inconsistencias o duplicidades que señale la aplicación y determine qué dominio debe corregirlas.</w:t>
      </w:r>
    </w:p>
    <w:p>
      <w:r>
        <w:t>3. Actualice las fuentes y cree las revisiones nuevas que correspondan. Conserve sin cambios el Business Case completado y el paquete congelado; no edite hashes manualmente para ocultar una diferencia.</w:t>
      </w:r>
    </w:p>
    <w:p>
      <w:r>
        <w:rPr>
          <w:b/>
        </w:rPr>
        <w:t xml:space="preserve">Estados </w:t>
      </w:r>
      <w:r>
        <w:t>Conditionally enforced by effective policy; no retrospective reinterpretation</w:t>
      </w:r>
    </w:p>
    <w:p>
      <w:r>
        <w:rPr>
          <w:b/>
        </w:rPr>
        <w:t xml:space="preserve">Reglas de negocio </w:t>
      </w:r>
      <w:r>
        <w:t>La comparación de fuentes se exige según la política efectiva. No reinterpreta retrospectivamente paquetes congelados.</w:t>
      </w:r>
    </w:p>
    <w:p>
      <w:r>
        <w:rPr>
          <w:b/>
        </w:rPr>
        <w:t xml:space="preserve">Salida y siguiente paso </w:t>
      </w:r>
      <w:r>
        <w:t>Consistent exact scope/current evidence or controlled blockers. Siguiente proceso: P39.</w:t>
      </w:r>
    </w:p>
    <w:p>
      <w:r>
        <w:rPr>
          <w:b/>
        </w:rPr>
        <w:t xml:space="preserve">Errores frecuentes </w:t>
      </w:r>
      <w:r>
        <w:t>Ante CROSS_SOURCE_MISMATCH revisar IDs y hashes capturados en BC y Gate, no editar manualmente el hash esperado.</w:t>
      </w:r>
    </w:p>
    <w:p>
      <w:r>
        <w:rPr>
          <w:b/>
        </w:rPr>
        <w:t xml:space="preserve">Lo que no hace </w:t>
      </w:r>
      <w:r>
        <w:t>La comparación de fuentes se exige según la política efectiva. No reinterpreta retrospectivamente paquetes congelados.</w:t>
      </w:r>
    </w:p>
    <w:p>
      <w:pPr>
        <w:pStyle w:val="Heading1"/>
      </w:pPr>
      <w:r>
        <w:t>A29 Freeze Gate package</w:t>
      </w:r>
    </w:p>
    <w:p>
      <w:r>
        <w:rPr>
          <w:b/>
        </w:rPr>
        <w:t xml:space="preserve">Propósito </w:t>
      </w:r>
      <w:r>
        <w:t>Conservar un paquete de Gate FROZEN con alcance, fuentes, política y criterios capturados. Los cambios posteriores afectan las evaluaciones actuales o nuevas, no reescriben el paquete histórico.</w:t>
      </w:r>
    </w:p>
    <w:p>
      <w:r>
        <w:rPr>
          <w:b/>
        </w:rPr>
        <w:t xml:space="preserve">Cuándo y quién </w:t>
      </w:r>
      <w:r>
        <w:t>Cuando la ruta y política del contexto requieren esta actividad. Usuarios: Gate Preparer; independent Evidence Reviewer.</w:t>
      </w:r>
    </w:p>
    <w:p>
      <w:r>
        <w:rPr>
          <w:b/>
        </w:rPr>
        <w:t xml:space="preserve">Prerrequisitos </w:t>
      </w:r>
      <w:r>
        <w:t>Preparación actual READY y criterios obligatorios satisfechos; Evidencia Class A/B válida para el alcance y revisor independiente autorizado.</w:t>
      </w:r>
    </w:p>
    <w:p>
      <w:r>
        <w:rPr>
          <w:b/>
        </w:rPr>
        <w:t xml:space="preserve">Entradas y campos </w:t>
      </w:r>
      <w:r>
        <w:t>Policy/provider/source hashes, criteria and warnings. Campos principales: preparation_hash; policy_hash; provider refs; source_snapshot; readiness; criteria; warnings; scope.</w:t>
      </w:r>
    </w:p>
    <w:p>
      <w:r>
        <w:rPr>
          <w:b/>
        </w:rPr>
        <w:t xml:space="preserve">Pantalla </w:t>
      </w:r>
      <w:r>
        <w:t>/app/strategy/investment-gate-preparation.</w:t>
      </w:r>
    </w:p>
    <w:p>
      <w:r>
        <w:t>1. El autor presenta el paquete preparado y lo marca disponible para revisión mediante las acciones habilitadas.</w:t>
      </w:r>
    </w:p>
    <w:p>
      <w:r>
        <w:t>2. El revisor independiente revisa la evidencia y congela el paquete cuando se cumplen sus condiciones.</w:t>
      </w:r>
    </w:p>
    <w:p>
      <w:r>
        <w:t>3. Consulte el expediente FROZEN y sus referencias de perfil, política, providers, fuentes, hashes y advertencias. Utilice esa entrega histórica para la decisión; congelar no autoriza inversión ni ejecuta QRA.</w:t>
      </w:r>
    </w:p>
    <w:p>
      <w:r>
        <w:rPr>
          <w:b/>
        </w:rPr>
        <w:t xml:space="preserve">Estados </w:t>
      </w:r>
      <w:r>
        <w:t>READY_FOR_REVIEW→FROZEN; preparation can_enter_investment_decision true; can_enter_fid false</w:t>
      </w:r>
    </w:p>
    <w:p>
      <w:r>
        <w:rPr>
          <w:b/>
        </w:rPr>
        <w:t xml:space="preserve">Reglas de negocio </w:t>
      </w:r>
      <w:r>
        <w:t>Freeze no es autorización de inversión. Preserva política, providers, fuentes y criterios capturados.</w:t>
      </w:r>
    </w:p>
    <w:p>
      <w:r>
        <w:rPr>
          <w:b/>
        </w:rPr>
        <w:t xml:space="preserve">Salida y siguiente paso </w:t>
      </w:r>
      <w:r>
        <w:t>Immutable FROZEN package. Siguiente proceso: P40.</w:t>
      </w:r>
    </w:p>
    <w:p>
      <w:r>
        <w:rPr>
          <w:b/>
        </w:rPr>
        <w:t xml:space="preserve">Errores frecuentes </w:t>
      </w:r>
      <w:r>
        <w:t>Revise el Workspace, la revisión de política, campos obligatorios, fuente actual y permisos del actor. Corrija el dominio responsable antes de repetir una transición rechazada.</w:t>
      </w:r>
    </w:p>
    <w:p>
      <w:r>
        <w:rPr>
          <w:b/>
        </w:rPr>
        <w:t xml:space="preserve">Lo que no hace </w:t>
      </w:r>
      <w:r>
        <w:t>Freeze no es autorización de inversión. Preserva política, providers, fuentes y criterios capturados.</w:t>
      </w:r>
    </w:p>
    <w:p>
      <w:pPr>
        <w:pStyle w:val="Heading1"/>
      </w:pPr>
      <w:r>
        <w:t>A30 Investment Decision FID</w:t>
      </w:r>
    </w:p>
    <w:p>
      <w:r>
        <w:rPr>
          <w:b/>
        </w:rPr>
        <w:t xml:space="preserve">Propósito </w:t>
      </w:r>
      <w:r>
        <w:t>Registrar una decisión formal independiente en Gate07K. GO bajo PYP-FFA establece FID y las autorizaciones de inversión y fondos correspondientes; un GO de selección no es FID y ninguna evidencia produce GO o activación automáticamente.</w:t>
      </w:r>
    </w:p>
    <w:p>
      <w:r>
        <w:rPr>
          <w:b/>
        </w:rPr>
        <w:t xml:space="preserve">Cuándo y quién </w:t>
      </w:r>
      <w:r>
        <w:t>Cuando la ruta y política del contexto requieren esta actividad. Usuarios: Investment Committee / Decision Maker independent of preparer/reviewer.</w:t>
      </w:r>
    </w:p>
    <w:p>
      <w:r>
        <w:rPr>
          <w:b/>
        </w:rPr>
        <w:t xml:space="preserve">Prerrequisitos </w:t>
      </w:r>
      <w:r>
        <w:t>Paquete Gate congelado válido; Autoridad o comité y quorum vigentes, separación de funciones y checklist de decisión configurado.</w:t>
      </w:r>
    </w:p>
    <w:p>
      <w:r>
        <w:rPr>
          <w:b/>
        </w:rPr>
        <w:t xml:space="preserve">Entradas y campos </w:t>
      </w:r>
      <w:r>
        <w:t>Decision checklist and authorized outcome/amount. Campos principales: source_preparation_id; decision_maker_user_id; checklist; authorized_amount; authorized_currency; outcome; rationale; decision_hash; authorization_output.</w:t>
      </w:r>
    </w:p>
    <w:p>
      <w:r>
        <w:rPr>
          <w:b/>
        </w:rPr>
        <w:t xml:space="preserve">Pantalla </w:t>
      </w:r>
      <w:r>
        <w:t>/app/strategy/investment-decision-queue.</w:t>
      </w:r>
    </w:p>
    <w:p>
      <w:r>
        <w:t>1. Prepare, presente y revise el expediente de decisión vinculado al paquete congelado.</w:t>
      </w:r>
    </w:p>
    <w:p>
      <w:r>
        <w:t>2. La autoridad independiente evalúa el expediente y registra el resultado real, su justificación, condiciones e importe y moneda autorizados. No seleccione GO por el solo hecho de que la evidencia esté READY.</w:t>
      </w:r>
    </w:p>
    <w:p>
      <w:r>
        <w:t>3. Consulte las salidas de FID, autorización de inversión y fondos según el perfil aplicado. Atienda HOLD, RECYCLE o KILL conforme a su decisión real; no los utilice como pasos de ensayo dentro de un expediente operativo.</w:t>
      </w:r>
    </w:p>
    <w:p>
      <w:r>
        <w:rPr>
          <w:b/>
        </w:rPr>
        <w:t xml:space="preserve">Estados </w:t>
      </w:r>
      <w:r>
        <w:t>READY_FOR_DECISION→DECIDED; outcomes GO/HOLD/RECYCLE/KILL; FID separate from activation</w:t>
      </w:r>
    </w:p>
    <w:p>
      <w:r>
        <w:rPr>
          <w:b/>
        </w:rPr>
        <w:t xml:space="preserve">Reglas de negocio </w:t>
      </w:r>
      <w:r>
        <w:t>Solo Gate07K con autoridad configurada decide. PYP-FFA más GO constituye FID; SELECT más GO no lo constituye.</w:t>
      </w:r>
    </w:p>
    <w:p>
      <w:r>
        <w:rPr>
          <w:b/>
        </w:rPr>
        <w:t xml:space="preserve">Salida y siguiente paso </w:t>
      </w:r>
      <w:r>
        <w:t>DECIDED; PYP-FFA+GO formal FID only. Siguiente proceso: P41.</w:t>
      </w:r>
    </w:p>
    <w:p>
      <w:r>
        <w:rPr>
          <w:b/>
        </w:rPr>
        <w:t xml:space="preserve">Errores frecuentes </w:t>
      </w:r>
      <w:r>
        <w:t>Revisar SoD, composición del comité, quorum y autoridad del actor. Evidencia READY no autoriza auto GO.</w:t>
      </w:r>
    </w:p>
    <w:p>
      <w:r>
        <w:rPr>
          <w:b/>
        </w:rPr>
        <w:t xml:space="preserve">Lo que no hace </w:t>
      </w:r>
      <w:r>
        <w:t>Solo Gate07K con autoridad configurada decide. PYP-FFA más GO constituye FID; SELECT más GO no lo constituye.</w:t>
      </w:r>
    </w:p>
    <w:p>
      <w:pPr>
        <w:pStyle w:val="Heading1"/>
      </w:pPr>
      <w:r>
        <w:t>A31 Post FID Governance and operational boundary</w:t>
      </w:r>
    </w:p>
    <w:p>
      <w:r>
        <w:rPr>
          <w:b/>
        </w:rPr>
        <w:t xml:space="preserve">Propósito </w:t>
      </w:r>
      <w:r>
        <w:t>Evaluar condiciones y elegibilidad posteriores al FID por Project, sin ejecutar la entrega operacional. Un FID válido puede producir READY_FOR_INITIALIZATION y mantener can_activate=false si faltan requisitos de activación.</w:t>
      </w:r>
    </w:p>
    <w:p>
      <w:r>
        <w:rPr>
          <w:b/>
        </w:rPr>
        <w:t xml:space="preserve">Cuándo y quién </w:t>
      </w:r>
      <w:r>
        <w:t>Cuando la ruta y política del contexto requieren esta actividad. Usuarios: Post-FID Governance User; Project Workspace Initializer; independent Activator.</w:t>
      </w:r>
    </w:p>
    <w:p>
      <w:r>
        <w:rPr>
          <w:b/>
        </w:rPr>
        <w:t xml:space="preserve">Prerrequisitos </w:t>
      </w:r>
      <w:r>
        <w:t>FID formal decidido y política Post-FID vigente; Estado y condiciones reales del Project conservados.</w:t>
      </w:r>
    </w:p>
    <w:p>
      <w:r>
        <w:rPr>
          <w:b/>
        </w:rPr>
        <w:t xml:space="preserve">Entradas y campos </w:t>
      </w:r>
      <w:r>
        <w:t>Decision/project state/conditions; Governed source authorization/checklist. Campos principales: decision_id; project_workspace_id; eligibility_status; eligibility_hash; conditions; can_initialize; can_activate.</w:t>
      </w:r>
    </w:p>
    <w:p>
      <w:r>
        <w:rPr>
          <w:b/>
        </w:rPr>
        <w:t xml:space="preserve">Pantalla </w:t>
      </w:r>
      <w:r>
        <w:t>/app/strategy/post-fid-queue.</w:t>
      </w:r>
    </w:p>
    <w:p>
      <w:r>
        <w:t>1. Consulte la evaluación de elegibilidad y las condiciones del Project vinculadas a la decisión.</w:t>
      </w:r>
    </w:p>
    <w:p>
      <w:r>
        <w:t>2. Revise el enrutamiento y los bloqueos de inicialización o activación. Continúe por el flujo existente únicamente cuando la aplicación y su autorización lo permitan.</w:t>
      </w:r>
    </w:p>
    <w:p>
      <w:r>
        <w:t>3. Si el Project ya está activo, consulte su situación sin reactivarlo. Finalice este recorrido en la gobernanza y elegibilidad; la ejecución de Project Delivery queda fuera de este proceso.</w:t>
      </w:r>
    </w:p>
    <w:p>
      <w:r>
        <w:rPr>
          <w:b/>
        </w:rPr>
        <w:t xml:space="preserve">Estados </w:t>
      </w:r>
      <w:r>
        <w:t>READY_FOR_INITIALIZATION/activation routes depend on persisted Project state; not automatic execution</w:t>
      </w:r>
    </w:p>
    <w:p>
      <w:r>
        <w:rPr>
          <w:b/>
        </w:rPr>
        <w:t xml:space="preserve">Reglas de negocio </w:t>
      </w:r>
      <w:r>
        <w:t>Elegibilidad posterior al FID no ejecuta Project Delivery ni reactiva un Project ya activo.</w:t>
      </w:r>
    </w:p>
    <w:p>
      <w:r>
        <w:rPr>
          <w:b/>
        </w:rPr>
        <w:t xml:space="preserve">Salida y siguiente paso </w:t>
      </w:r>
      <w:r>
        <w:t>Immutable per-project eligibility; no operational execution; Active canonical Project; stop before operational delivery. Siguiente proceso: P15/P42; STOP_OPERATIONAL_BOUNDARY.</w:t>
      </w:r>
    </w:p>
    <w:p>
      <w:r>
        <w:rPr>
          <w:b/>
        </w:rPr>
        <w:t xml:space="preserve">Errores frecuentes </w:t>
      </w:r>
      <w:r>
        <w:t>Revise el Workspace, la revisión de política, campos obligatorios, fuente actual y permisos del actor. Corrija el dominio responsable antes de repetir una transición rechazada.</w:t>
      </w:r>
    </w:p>
    <w:p>
      <w:r>
        <w:rPr>
          <w:b/>
        </w:rPr>
        <w:t xml:space="preserve">Lo que no hace </w:t>
      </w:r>
      <w:r>
        <w:t>Elegibilidad posterior al FID no ejecuta Project Delivery ni reactiva un Project ya activo.</w:t>
      </w:r>
    </w:p>
    <w:p>
      <w:pPr>
        <w:pStyle w:val="Heading1"/>
      </w:pPr>
      <w:r>
        <w:t>B1 CONTRACTOR_DELIVERY compact creation initialization activation</w:t>
      </w:r>
    </w:p>
    <w:p>
      <w:r>
        <w:rPr>
          <w:b/>
        </w:rPr>
        <w:t xml:space="preserve">Propósito </w:t>
      </w:r>
      <w:r>
        <w:t>Crear, inicializar y activar un Project CONTRACTOR_DELIVERY con identidad canónica y fuente contractual trazable. La ruta no impone por defecto Idea, Portfolio, FEL, Funding, QRA o FID ni crea decisiones de inversión o memberships artificiales.</w:t>
      </w:r>
    </w:p>
    <w:p>
      <w:r>
        <w:rPr>
          <w:b/>
        </w:rPr>
        <w:t xml:space="preserve">Cuándo y quién </w:t>
      </w:r>
      <w:r>
        <w:t>Cuando la ruta y política del contexto requieren esta actividad. Usuarios: Investment / Project Manager; Project Workspace Initializer; independent Project Workspace Activator.</w:t>
      </w:r>
    </w:p>
    <w:p>
      <w:r>
        <w:rPr>
          <w:b/>
        </w:rPr>
        <w:t xml:space="preserve">Prerrequisitos </w:t>
      </w:r>
      <w:r>
        <w:t>Política de origen contractual publicada y plantilla exacta de Project; Padre elegible, manager activo y actores con permisos para solicitud, revisión, aprobación, materialización, inicialización y activación, respetando la independencia exigida; Autorización de la fuente contractual para la activación cuando corresponda.</w:t>
      </w:r>
    </w:p>
    <w:p>
      <w:r>
        <w:rPr>
          <w:b/>
        </w:rPr>
        <w:t xml:space="preserve">Entradas y campos </w:t>
      </w:r>
      <w:r>
        <w:t>CONTRACT_AWARD request. Campos principales: governance_model; source_id; project_workspace_id; version; status.</w:t>
      </w:r>
    </w:p>
    <w:p>
      <w:r>
        <w:rPr>
          <w:b/>
        </w:rPr>
        <w:t xml:space="preserve">Pantalla </w:t>
      </w:r>
      <w:r>
        <w:t>/app/strategy/enterprise-explorer.</w:t>
      </w:r>
    </w:p>
    <w:p>
      <w:r>
        <w:t>1. Previsualice la solicitud y confirme CONTRACTOR_DELIVERY, la fuente contractual y la plantilla aplicable. Revise los requisitos efectivos del contexto, sin añadir la ruta Capital Owner por defecto.</w:t>
      </w:r>
    </w:p>
    <w:p>
      <w:r>
        <w:t>2. Cree y presente la solicitud CONTRACT_AWARD. Obtenga la revisión y aprobación independientes exigidas y materialice un único Project pending.</w:t>
      </w:r>
    </w:p>
    <w:p>
      <w:r>
        <w:t>3. Complete la inicialización y consulte su elegibilidad. El actor independiente autorizado activa el Project con el respaldo contractual requerido, como mobilization_authorized o notice_to_proceed_date según corresponda. No intente activar antes de cumplir las condiciones ni confunda la activación con ejecución operacional.</w:t>
      </w:r>
    </w:p>
    <w:p>
      <w:r>
        <w:rPr>
          <w:b/>
        </w:rPr>
        <w:t xml:space="preserve">Estados </w:t>
      </w:r>
      <w:r>
        <w:t>Solicitud draft → submitted → under_review → approved → materialized. Project pending; Initialization NOT_STARTED → READY_FOR_ACTIVATION → ACTIVATED. Los estados de fuente y aprobación son independientes.</w:t>
      </w:r>
    </w:p>
    <w:p>
      <w:r>
        <w:rPr>
          <w:b/>
        </w:rPr>
        <w:t xml:space="preserve">Reglas de negocio </w:t>
      </w:r>
      <w:r>
        <w:t>No se imponen por defecto Idea, Portfolio, FEL, Funding, QRA o FID. Un opt-in explícito puede cambiar aplicabilidad.</w:t>
      </w:r>
    </w:p>
    <w:p>
      <w:r>
        <w:rPr>
          <w:b/>
        </w:rPr>
        <w:t xml:space="preserve">Salida y siguiente paso </w:t>
      </w:r>
      <w:r>
        <w:t>Pending→initialized→active without default capital governance. Siguiente proceso: P14/P15/P42.</w:t>
      </w:r>
    </w:p>
    <w:p>
      <w:r>
        <w:rPr>
          <w:b/>
        </w:rPr>
        <w:t xml:space="preserve">Errores frecuentes </w:t>
      </w:r>
      <w:r>
        <w:t>Comprobar mobilization_authorized o notice_to_proceed_date y autorización independiente para activar.</w:t>
      </w:r>
    </w:p>
    <w:p>
      <w:r>
        <w:rPr>
          <w:b/>
        </w:rPr>
        <w:t xml:space="preserve">Lo que no hace </w:t>
      </w:r>
      <w:r>
        <w:t>No se imponen por defecto Idea, Portfolio, FEL, Funding, QRA o FID. Un opt-in explícito puede cambiar aplicabilidad.</w:t>
      </w:r>
    </w:p>
    <w:p>
      <w:pPr>
        <w:pStyle w:val="Heading1"/>
      </w:pPr>
      <w:r>
        <w:t>C1 DIRECT_INTERNAL compact creation initialization activation</w:t>
      </w:r>
    </w:p>
    <w:p>
      <w:r>
        <w:rPr>
          <w:b/>
        </w:rPr>
        <w:t xml:space="preserve">Propósito </w:t>
      </w:r>
      <w:r>
        <w:t>Crear, inicializar y activar un Project DIRECT_INTERNAL con identidad canónica y autorización interna trazable. La ruta no impone por defecto Idea, Portfolio, FEL, Funding, QRA o FID ni fabrica una decisión de inversión.</w:t>
      </w:r>
    </w:p>
    <w:p>
      <w:r>
        <w:rPr>
          <w:b/>
        </w:rPr>
        <w:t xml:space="preserve">Cuándo y quién </w:t>
      </w:r>
      <w:r>
        <w:t>Cuando la ruta y política del contexto requieren esta actividad. Usuarios: Investment / Project Manager; Project Workspace Initializer; independent Project Workspace Activator.</w:t>
      </w:r>
    </w:p>
    <w:p>
      <w:r>
        <w:rPr>
          <w:b/>
        </w:rPr>
        <w:t xml:space="preserve">Prerrequisitos </w:t>
      </w:r>
      <w:r>
        <w:t>Política de autorización interna publicada y plantilla exacta de Project; Padre elegible, manager activo y actores con permisos para solicitud, revisión, aprobación, materialización, inicialización y activación, respetando la independencia exigida; Autorización interna de la fuente aprobada cuando sea requisito de activación.</w:t>
      </w:r>
    </w:p>
    <w:p>
      <w:r>
        <w:rPr>
          <w:b/>
        </w:rPr>
        <w:t xml:space="preserve">Entradas y campos </w:t>
      </w:r>
      <w:r>
        <w:t>DIRECT_AUTHORIZATION request. Campos principales: governance_model; source_id; project_workspace_id; version; status.</w:t>
      </w:r>
    </w:p>
    <w:p>
      <w:r>
        <w:rPr>
          <w:b/>
        </w:rPr>
        <w:t xml:space="preserve">Pantalla </w:t>
      </w:r>
      <w:r>
        <w:t>/app/strategy/enterprise-explorer.</w:t>
      </w:r>
    </w:p>
    <w:p>
      <w:r>
        <w:t>1. Previsualice la solicitud y confirme DIRECT_INTERNAL, su autorización de origen y la plantilla aplicable. Consulte los requisitos efectivos sin asumir que debe recorrer Capital Owner.</w:t>
      </w:r>
    </w:p>
    <w:p>
      <w:r>
        <w:t>2. Cree y presente la solicitud DIRECT_AUTHORIZATION. Obtenga la revisión y aprobación independientes exigidas y materialice un único Project pending.</w:t>
      </w:r>
    </w:p>
    <w:p>
      <w:r>
        <w:t>3. Complete la inicialización y consulte los bloqueos pendientes. El actor independiente autorizado activa el Project únicamente con la aprobación interna exigida, incluida authorization_approved cuando corresponda. Conserve la identidad de origen y deténgase antes de la ejecución operacional.</w:t>
      </w:r>
    </w:p>
    <w:p>
      <w:r>
        <w:rPr>
          <w:b/>
        </w:rPr>
        <w:t xml:space="preserve">Estados </w:t>
      </w:r>
      <w:r>
        <w:t>Solicitud draft → submitted → under_review → approved → materialized. Project pending; Initialization NOT_STARTED → READY_FOR_ACTIVATION → ACTIVATED. Los estados de fuente y aprobación son independientes.</w:t>
      </w:r>
    </w:p>
    <w:p>
      <w:r>
        <w:rPr>
          <w:b/>
        </w:rPr>
        <w:t xml:space="preserve">Reglas de negocio </w:t>
      </w:r>
      <w:r>
        <w:t>No se impone la ruta completa Capital Owner. La autorización interna de la fuente sigue siendo necesaria.</w:t>
      </w:r>
    </w:p>
    <w:p>
      <w:r>
        <w:rPr>
          <w:b/>
        </w:rPr>
        <w:t xml:space="preserve">Salida y siguiente paso </w:t>
      </w:r>
      <w:r>
        <w:t>Pending→initialized→active without default capital governance. Siguiente proceso: P14/P15/P42.</w:t>
      </w:r>
    </w:p>
    <w:p>
      <w:r>
        <w:rPr>
          <w:b/>
        </w:rPr>
        <w:t xml:space="preserve">Errores frecuentes </w:t>
      </w:r>
      <w:r>
        <w:t>Comprobar authorization_approved, inicialización y actor de activación independiente.</w:t>
      </w:r>
    </w:p>
    <w:p>
      <w:r>
        <w:rPr>
          <w:b/>
        </w:rPr>
        <w:t xml:space="preserve">Lo que no hace </w:t>
      </w:r>
      <w:r>
        <w:t>No se impone la ruta completa Capital Owner. La autorización interna de la fuente sigue siendo necesaria.</w:t>
      </w:r>
    </w:p>
    <w:p>
      <w:pPr>
        <w:pStyle w:val="Heading1"/>
      </w:pPr>
      <w:r>
        <w:t>Ejemplo completo de preparación de una inversión</w:t>
      </w:r>
    </w:p>
    <w:p>
      <w:r>
        <w:t>Ejemplo de uso: Copper Processing Expansion, CAPITAL_OWNER y gate PYP-FFA solo si la política publicada lo determina. Los identificadores se obtienen de los registros creados en el entorno aislado; nunca se reutiliza Project ID14.</w:t>
      </w:r>
    </w:p>
    <w:p>
      <w:r>
        <w:t>1. ADMIN publica las configuraciones aplicables con revisiones, hashes y alcance; un USER confirma Enterprise, Business Unit y Portfolio en Explorer.</w:t>
      </w:r>
    </w:p>
    <w:p>
      <w:r>
        <w:t>2. USER registra Capital Demand y su ciclo. Registra Idea, la evalúa y completa BA independiente cuando el contexto lo exige.</w:t>
      </w:r>
    </w:p>
    <w:p>
      <w:r>
        <w:t>3. El originador crea Proposal con alcance, beneficios, costo y fechas ROM, riesgos y restricciones. Un Strategic Gate independiente registra APPROVE y produce el handoff de intake.</w:t>
      </w:r>
    </w:p>
    <w:p>
      <w:r>
        <w:t>4. La solicitud aprobada se materializa como Project Workspace pending. Se prepara la inicialización, sin activar por conveniencia del ensayo.</w:t>
      </w:r>
    </w:p>
    <w:p>
      <w:r>
        <w:t>5. Portfolio agrega membership, evalúa y prioriza en contexto. Analiza Investor Map y Scorecard sin mezclar monedas no comparables.</w:t>
      </w:r>
    </w:p>
    <w:p>
      <w:r>
        <w:t>6. Cost/Finance prepara Budget Target y escenarios; Project Controls prepara demanda/capacidad de recursos. Convergence compara viabilidad y recomienda. Review registra conclusiones y acciones de gobernanza.</w:t>
      </w:r>
    </w:p>
    <w:p>
      <w:r>
        <w:t>7. El equipo desarrolla Five Case, Benefits, Commercial Strategy, FEL/PDRI y Basic Data. Revisores evalúan Risk, Permit y Owner Capability. Funding y FIN conservan sus autoridades independientes.</w:t>
      </w:r>
    </w:p>
    <w:p>
      <w:r>
        <w:t>8. Si la política requiere QRA, un revisor independiente aprueba el modelo. El analista ejecuta Cost o Schedule soportado y otro actor acepta el resultado actual. No se exige Integrated QRA.</w:t>
      </w:r>
    </w:p>
    <w:p>
      <w:r>
        <w:t>9. Gate Preparer evalúa evidencia y criterios, resuelve inconsistencias BC/Gate y solicita revisión. El revisor independiente congela un paquete READY con hashes.</w:t>
      </w:r>
    </w:p>
    <w:p>
      <w:r>
        <w:t>10. Gate07K recibe el paquete. El actor autorizado o comité aplica sus reglas y registra GO, HOLD, RECYCLE o KILL. GO bajo PYP-FFA establece FID y autorizaciones, no activación automática.</w:t>
      </w:r>
    </w:p>
    <w:p>
      <w:r>
        <w:t>11. Post-FID evalúa condiciones y bloqueos; deriva al flujo existente de inicialización/activación cuando corresponda. Se detiene antes de Project Delivery.</w:t>
      </w:r>
    </w:p>
    <w:p>
      <w:r>
        <w:t>Este ejemplo enseña el uso completo, no afirma que los once pasos o A0 a A31 ya se hayan ejecutado como una sola UAT aceptada. El resultado y alcance de cada evidencia están en el registro UAT.</w:t>
      </w:r>
    </w:p>
    <w:p>
      <w:pPr>
        <w:pStyle w:val="Heading1"/>
      </w:pPr>
      <w:r>
        <w:t>Seguridad y límite de uso</w:t>
      </w:r>
    </w:p>
    <w:p>
      <w:r>
        <w:t>El alcance termina en la gobernanza posterior al FID y en la elegibilidad de inicialización y activación. No incluye Project Delivery, ejecución de compras, construcción, pagos, contabilidad, tesorería, operación de activos ni realización operativa de beneficios. QRA integrado y QRA avanzado no se liberan.</w:t>
      </w:r>
    </w:p>
    <w:sectPr w:rsidR="00FC693F" w:rsidRPr="0006063C" w:rsidSect="00034616">
      <w:footerReference w:type="default" r:id="rId10"/>
      <w:pgSz w:w="12240" w:h="15840"/>
      <w:pgMar w:top="1037" w:right="1037" w:bottom="1037" w:left="1037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Aptos"/>
        <w:color w:val="000000"/>
        <w:sz w:val="16"/>
      </w:rPr>
      <w:t xml:space="preserve">14 octubre 2026  Página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7" w:lineRule="auto"/>
    </w:pPr>
    <w:rPr>
      <w:rFonts w:ascii="Aptos" w:hAnsi="Aptos" w:eastAsia="Aptos"/>
      <w:color w:val="202A33"/>
      <w:sz w:val="22"/>
      <w:lang w:val="es-C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es-CO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es-CO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 w:eastAsia="Aptos Display"/>
      <w:b/>
      <w:bCs/>
      <w:color w:val="000000"/>
      <w:sz w:val="30"/>
      <w:szCs w:val="28"/>
      <w:u w:val="none"/>
      <w:lang w:val="es-CO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 w:eastAsia="Aptos Display"/>
      <w:b/>
      <w:bCs/>
      <w:color w:val="000000"/>
      <w:sz w:val="24"/>
      <w:szCs w:val="26"/>
      <w:u w:val="none"/>
      <w:lang w:val="es-CO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 w:eastAsia="Aptos Display"/>
      <w:b/>
      <w:bCs/>
      <w:color w:val="000000"/>
      <w:sz w:val="21"/>
      <w:u w:val="none"/>
      <w:lang w:val="es-CO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es-CO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es-CO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es-CO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es-CO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es-CO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s-C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es-CO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Aptos" w:hAnsi="Aptos" w:eastAsia="Aptos Display"/>
      <w:b/>
      <w:color w:val="000000"/>
      <w:spacing w:val="5"/>
      <w:kern w:val="28"/>
      <w:sz w:val="48"/>
      <w:szCs w:val="52"/>
      <w:u w:val="none"/>
      <w:lang w:val="es-CO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000000"/>
      <w:spacing w:val="15"/>
      <w:sz w:val="24"/>
      <w:szCs w:val="24"/>
      <w:u w:val="none"/>
      <w:lang w:val="es-CO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es-CO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es-CO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es-CO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es-CO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es-CO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es-CO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es-CO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es-C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es-CO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es-CO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es-CO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es-CO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es-CO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es-CO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es-CO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es-CO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es-CO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es-CO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es-CO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es-CO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es-CO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uso del macroproceso estratégico</dc:title>
  <dc:subject>Validación final del macroproceso estratégico</dc:subject>
  <dc:creator>P&amp;Pmis Construction AI</dc:creator>
  <cp:keywords>CPIG, arquitectura, PDRI, Capital Planning, QRA, Gate07J</cp:keywords>
  <dc:description>Validación, guías y cierre estratégico; ninguna firma de negocio es inferida.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