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50"/>
        </w:rPr>
        <w:t>Gate 07M-EVID</w:t>
      </w:r>
    </w:p>
    <w:p>
      <w:pPr>
        <w:spacing w:after="320"/>
      </w:pPr>
      <w:r>
        <w:rPr>
          <w:rFonts w:ascii="Calibri" w:hAnsi="Calibri"/>
          <w:b/>
          <w:i w:val="0"/>
          <w:color w:val="1F4D78"/>
          <w:sz w:val="28"/>
        </w:rPr>
        <w:t>Actualización Gate07J-EVID para Business Case y Economic-Financial Readiness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Aplicación: </w:t>
      </w:r>
      <w:r>
        <w:rPr>
          <w:rFonts w:ascii="Calibri" w:hAnsi="Calibri"/>
          <w:i w:val="0"/>
          <w:color w:val="000000"/>
          <w:sz w:val="20"/>
        </w:rPr>
        <w:t>P&amp;Pmis Construction AI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Fecha de corte: </w:t>
      </w:r>
      <w:r>
        <w:rPr>
          <w:rFonts w:ascii="Calibri" w:hAnsi="Calibri"/>
          <w:i w:val="0"/>
          <w:color w:val="000000"/>
          <w:sz w:val="20"/>
        </w:rPr>
        <w:t>3 de septiembre de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Repositorio: </w:t>
      </w:r>
      <w:r>
        <w:rPr>
          <w:rFonts w:ascii="Calibri" w:hAnsi="Calibri"/>
          <w:i w:val="0"/>
          <w:color w:val="000000"/>
          <w:sz w:val="20"/>
        </w:rPr>
        <w:t>pypmis-ia-sas · rama main · working tree preservado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Base de datos: </w:t>
      </w:r>
      <w:r>
        <w:rPr>
          <w:rFonts w:ascii="Calibri" w:hAnsi="Calibri"/>
          <w:i w:val="0"/>
          <w:color w:val="000000"/>
          <w:sz w:val="20"/>
        </w:rPr>
        <w:t>Alembic 20260902_0058 · sin migración nueva para 07M-EVID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Política: </w:t>
      </w:r>
      <w:r>
        <w:rPr>
          <w:rFonts w:ascii="Calibri" w:hAnsi="Calibri"/>
          <w:i w:val="0"/>
          <w:color w:val="000000"/>
          <w:sz w:val="20"/>
        </w:rPr>
        <w:t>ID 787 · revisión 1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Effective from: </w:t>
      </w:r>
      <w:r>
        <w:rPr>
          <w:rFonts w:ascii="Calibri" w:hAnsi="Calibri"/>
          <w:i w:val="0"/>
          <w:color w:val="000000"/>
          <w:sz w:val="20"/>
        </w:rPr>
        <w:t>2026-09-03T12:34:44.035309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Salida: </w:t>
      </w:r>
      <w:r>
        <w:rPr>
          <w:rFonts w:ascii="Calibri" w:hAnsi="Calibri"/>
          <w:i w:val="0"/>
          <w:color w:val="000000"/>
          <w:sz w:val="20"/>
        </w:rPr>
        <w:t>READY_FOR_BUSINESS_CASE_AND_ECONOMIC_FINANCIAL_GATE_EVIDENCE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Estado exclusivo: </w:t>
      </w:r>
      <w:r>
        <w:rPr>
          <w:rFonts w:ascii="Calibri" w:hAnsi="Calibri"/>
          <w:i w:val="0"/>
          <w:color w:val="000000"/>
          <w:sz w:val="20"/>
        </w:rPr>
        <w:t>GATE07M_EVID_POLICY_UPDATE_VALIDATED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NEXT: </w:t>
      </w:r>
      <w:r>
        <w:rPr>
          <w:rFonts w:ascii="Calibri" w:hAnsi="Calibri"/>
          <w:i w:val="0"/>
          <w:color w:val="000000"/>
          <w:sz w:val="20"/>
        </w:rPr>
        <w:t>READY_TO_REVALIDATE_NEW_FID_PATH</w:t>
      </w:r>
    </w:p>
    <w:p>
      <w:pPr>
        <w:spacing w:before="20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amplió el motor abierto Gate07J-EVID reutilizando sus contratos, policy lifecycle, preview, versionado y snapshots. Business Case queda como evidencia Clase A bloqueante por proyecto; FIN es Clase B no bloqueante en PYP-INV-SELECT y Clase A bloqueante en PYP-FFA. La publicación fue explícita, fechada y auditable, sin reescribir preparaciones ni decisiones FID históricas.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300"/>
        <w:gridCol w:w="58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5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Dominio / policy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Merge preserva reglas existentes; revisión publicada e inmutable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Providers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Business Case y Economic-Financial AVAILABLE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Gate07J / Gate07K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Cobertura, snapshots, hashes y drilldowns separados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UI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matrix/registry/preview; USER BC y FIN separados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Release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Python, PostgreSQL, frontend, browser y localhost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Contenido y criterio de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600"/>
        <w:gridCol w:w="266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Capítulo</w:t>
            </w:r>
          </w:p>
        </w:tc>
        <w:tc>
          <w:tcPr>
            <w:tcW w:type="dxa" w:w="5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</w:t>
            </w:r>
          </w:p>
        </w:tc>
        <w:tc>
          <w:tcPr>
            <w:tcW w:type="dxa" w:w="2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Baseline, alcance y decisión arquitectónica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1–16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Matriz efectiva y aplicabilidad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17–35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Integración Gate07J/Gate07K e historia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36–47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ADMIN, USER, API y seguridad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48–61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Pruebas, release y salvaguardas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62–101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Matriz integral de trazabilidad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1–101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CRITERIO DE EVIDENCIA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cierre combina inspección del código, pruebas unitarias e integración, migración real en PostgreSQL, navegación Playwright y publicación controlada local. La revalidación end-to-end de un FID nuevo queda identificada de forma explícita como NEXT y no se simula como completada.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1. Baseline, alcance y arquitectura</w:t>
      </w:r>
    </w:p>
    <w:p>
      <w:r>
        <w:t>Gate 07M-EVID se implementó sobre el motor Gate07J-EVID existente. No se creó un segundo motor de evidencia ni una migración adicional: el esquema actual en 0058 soporta los nuevos tipos, providers, matrices y revisiones de policy. Business Case, FIN, Budget, Funding y FID conservan ownership separado.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00"/>
        <w:gridCol w:w="29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Autoridad</w:t>
            </w:r>
          </w:p>
        </w:tc>
        <w:tc>
          <w:tcPr>
            <w:tcW w:type="dxa" w:w="4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Reutilización</w:t>
            </w:r>
          </w:p>
        </w:tc>
        <w:tc>
          <w:tcPr>
            <w:tcW w:type="dxa" w:w="2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Límite preservado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Gate07J-EVID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Registry, policy, preview, publish, coverage y history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Única autoridad de resolución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Gate07M-BC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Revision COMPLETED + READY + current + hash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muta por consumo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Gate07M-FIN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 existente y readiness por dimensiones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recalcula en Gate07J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Gate07G / FUND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Referencias de factibilidad y conciliación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cambios de autoridad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Package consume snapshots congelados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Semántica FID sin rediseño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Gate07L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Historia post-FID intacta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se inicia macroproceso operativo</w:t>
            </w:r>
          </w:p>
        </w:tc>
      </w:tr>
    </w:tbl>
    <w:p>
      <w:pPr>
        <w:spacing w:after="0"/>
      </w:pPr>
    </w:p>
    <w:p>
      <w:pPr>
        <w:pStyle w:val="Heading2"/>
      </w:pPr>
      <w:r>
        <w:t>1.1 Clasificación A / B / 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200"/>
        <w:gridCol w:w="396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Clase</w:t>
            </w:r>
          </w:p>
        </w:tc>
        <w:tc>
          <w:tcPr>
            <w:tcW w:type="dxa" w:w="4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Regla</w:t>
            </w:r>
          </w:p>
        </w:tc>
        <w:tc>
          <w:tcPr>
            <w:tcW w:type="dxa" w:w="3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Comportamiento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Evidencia estructurada y provider requerido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Falla o ausencia bloquea; sin fallback manual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Evidencia validada; puede usar provider o referencia permitida</w:t>
            </w:r>
          </w:p>
        </w:tc>
        <w:tc>
          <w:tcPr>
            <w:tcW w:type="dxa" w:w="3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Bloquea sólo si la regla efectiva lo declara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Contextual / informativa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obligatoria salvo override publicado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INVARIANTE CRÍTICA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Una evidencia Clase A nunca baja silenciosamente a Clase B, ni un provider no disponible se sustituye por un adjunto manual. La policy efectiva y su fecha determinan la exigencia.</w:t>
            </w:r>
          </w:p>
        </w:tc>
      </w:tr>
    </w:tbl>
    <w:p>
      <w:pPr>
        <w:spacing w:after="0"/>
      </w:pPr>
    </w:p>
    <w:p>
      <w:pPr>
        <w:pStyle w:val="Heading1"/>
      </w:pPr>
      <w:r>
        <w:t>2. Matriz efectiva publicada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400"/>
        <w:gridCol w:w="2500"/>
        <w:gridCol w:w="18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Perfil / Gobierno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Business Case</w:t>
            </w:r>
          </w:p>
        </w:tc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Economic-Financial</w:t>
            </w:r>
          </w:p>
        </w:tc>
        <w:tc>
          <w:tcPr>
            <w:tcW w:type="dxa" w:w="1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PYP-INV-SELECT · CAPITAL_OWNER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 · bloqueante · provider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 · no bloqueante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100% por Project aplicable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PYP-FFA · CAPITAL_OWNER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 · bloqueante · provider</w:t>
            </w:r>
          </w:p>
        </w:tc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 · bloqueante · provider</w:t>
            </w:r>
          </w:p>
        </w:tc>
        <w:tc>
          <w:tcPr>
            <w:tcW w:type="dxa" w:w="1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100% por Project aplicable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CONTRACTOR_DELIVERY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forzado por default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forzado por default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Sólo policy explícita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DIRECT_INTERNAL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forzado por default</w:t>
            </w:r>
          </w:p>
        </w:tc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forzado por default</w:t>
            </w:r>
          </w:p>
        </w:tc>
        <w:tc>
          <w:tcPr>
            <w:tcW w:type="dxa" w:w="1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Sólo policy explícita</w:t>
            </w:r>
          </w:p>
        </w:tc>
      </w:tr>
    </w:tbl>
    <w:p>
      <w:pPr>
        <w:spacing w:after="0"/>
      </w:pPr>
    </w:p>
    <w:p>
      <w:pPr>
        <w:pStyle w:val="Heading2"/>
      </w:pPr>
      <w:r>
        <w:t>2.1 Aplicabilidad por Project Type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000"/>
        <w:gridCol w:w="2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Project Type</w:t>
            </w:r>
          </w:p>
        </w:tc>
        <w:tc>
          <w:tcPr>
            <w:tcW w:type="dxa" w:w="4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Dimensión FIN efectiva en PYP-FFA</w:t>
            </w:r>
          </w:p>
        </w:tc>
        <w:tc>
          <w:tcPr>
            <w:tcW w:type="dxa" w:w="2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COMMERCIAL / REVENUE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FINANCIAL_MODEL_READINESS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 · bloqueante · 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PUBLIC / NON_REVENUE</w:t>
            </w:r>
          </w:p>
        </w:tc>
        <w:tc>
          <w:tcPr>
            <w:tcW w:type="dxa" w:w="4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ECONOMIC_READINESS</w:t>
            </w:r>
          </w:p>
        </w:tc>
        <w:tc>
          <w:tcPr>
            <w:tcW w:type="dxa" w:w="2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 · bloqueante · 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MIXED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ECONOMIC + FINANCIAL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 · bloqueante · 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INTERNAL / COMPLIANCE</w:t>
            </w:r>
          </w:p>
        </w:tc>
        <w:tc>
          <w:tcPr>
            <w:tcW w:type="dxa" w:w="4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requerida por default</w:t>
            </w:r>
          </w:p>
        </w:tc>
        <w:tc>
          <w:tcPr>
            <w:tcW w:type="dxa" w:w="2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 · no bloqueante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MINING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FIN según tipo + Permit override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 A estructurado</w:t>
            </w:r>
          </w:p>
        </w:tc>
      </w:tr>
    </w:tbl>
    <w:p>
      <w:pPr>
        <w:spacing w:after="0"/>
      </w:pPr>
    </w:p>
    <w:p>
      <w:pPr>
        <w:pStyle w:val="Heading2"/>
      </w:pPr>
      <w:r>
        <w:t>2.2 Identidad de publicación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policy_id / revision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787 / 1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policy_hash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a70075f0b392ab5d17a21353d7434ca73b51d11f57ccbd14774aa1013e795392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effective_from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2026-09-03T12:34:44.035309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business_case_provider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BUSINESS_CASE_READINESS_PROVIDER · AVAILABLE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economic_financial_provider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ECONOMIC_FINANCIAL_READINESS_PROVIDER · AVAILABLE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missing_provider_count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</w:t>
            </w:r>
          </w:p>
        </w:tc>
      </w:tr>
    </w:tbl>
    <w:p>
      <w:pPr>
        <w:spacing w:after="0"/>
      </w:pPr>
    </w:p>
    <w:p>
      <w:pPr>
        <w:spacing w:before="80" w:after="100"/>
      </w:pPr>
      <w:r>
        <w:rPr>
          <w:rFonts w:ascii="Calibri" w:hAnsi="Calibri"/>
          <w:i/>
          <w:color w:val="5F6B76"/>
          <w:sz w:val="16"/>
        </w:rPr>
        <w:t>Registro reproducible: outputs/technical_reports/gate07m_evid_policy_apply.json.</w:t>
      </w:r>
    </w:p>
    <w:p>
      <w:pPr>
        <w:spacing w:after="0"/>
      </w:pPr>
      <w:r>
        <w:br w:type="page"/>
      </w:r>
    </w:p>
    <w:p>
      <w:pPr>
        <w:spacing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3. Providers, vigencia y consistencia BC ↔ FIN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30"/>
        <w:gridCol w:w="363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Contrato</w:t>
            </w:r>
          </w:p>
        </w:tc>
        <w:tc>
          <w:tcPr>
            <w:tcW w:type="dxa" w:w="363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Business Case</w:t>
            </w:r>
          </w:p>
        </w:tc>
        <w:tc>
          <w:tcPr>
            <w:tcW w:type="dxa" w:w="363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Economic-Financial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Provider key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BUSINESS_CASE_READINESS_PROVIDER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ECONOMIC_FINANCIAL_READINESS_PROVIDER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Fuente</w:t>
            </w:r>
          </w:p>
        </w:tc>
        <w:tc>
          <w:tcPr>
            <w:tcW w:type="dxa" w:w="36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BUSINESS_CASE</w:t>
            </w:r>
          </w:p>
        </w:tc>
        <w:tc>
          <w:tcPr>
            <w:tcW w:type="dxa" w:w="36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ECONOMIC_FINANCIAL_MODEL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Estado válido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COMPLETED + READY + current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COMPLETED + READY + current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Identidad</w:t>
            </w:r>
          </w:p>
        </w:tc>
        <w:tc>
          <w:tcPr>
            <w:tcW w:type="dxa" w:w="36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revision_id, version, hash</w:t>
            </w:r>
          </w:p>
        </w:tc>
        <w:tc>
          <w:tcPr>
            <w:tcW w:type="dxa" w:w="36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model/version id, hash, as_of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Diagnóstico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warnings, blockers, material change</w:t>
            </w:r>
          </w:p>
        </w:tc>
        <w:tc>
          <w:tcPr>
            <w:tcW w:type="dxa" w:w="3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dimensions, warnings, blockers, source refs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Cobertura</w:t>
            </w:r>
          </w:p>
        </w:tc>
        <w:tc>
          <w:tcPr>
            <w:tcW w:type="dxa" w:w="36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Por Project aplicable</w:t>
            </w:r>
          </w:p>
        </w:tc>
        <w:tc>
          <w:tcPr>
            <w:tcW w:type="dxa" w:w="36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Por Project y dimensiones aplicables</w:t>
            </w:r>
          </w:p>
        </w:tc>
      </w:tr>
    </w:tbl>
    <w:p>
      <w:pPr>
        <w:spacing w:after="0"/>
      </w:pPr>
    </w:p>
    <w:p>
      <w:pPr>
        <w:pStyle w:val="Heading2"/>
      </w:pPr>
      <w:r>
        <w:t>3.1 Consistencia y staleness</w:t>
      </w:r>
    </w:p>
    <w:p>
      <w:r>
        <w:t>El adaptador Business Case compara el hash FIN referenciado por la revisión con el hash FIN vigente. Una divergencia produce BUSINESS_CASE_FIN_REFERENCE_STALE; no se religa, recalcula ni corrige en silencio. Los cambios materiales y los blockers de fuente también quedan visibles en el resultado del provider.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Situación</w:t>
            </w:r>
          </w:p>
        </w:tc>
        <w:tc>
          <w:tcPr>
            <w:tcW w:type="dxa" w:w="6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Resolución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Business Case no current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 INVALID; Clase A bloquea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FIN no current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 INVALID/STALE según contrato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Hash FIN de BC distinto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BUSINESS_CASE_FIN_REFERENCE_STALE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 no disponible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Missing Provider Analysis; no fallback A→B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Material Change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Revisión/refresh gobernado; histórico congelado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Fuente se actualiza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 y apply explícito; nunca auto-upgrade</w:t>
            </w:r>
          </w:p>
        </w:tc>
      </w:tr>
    </w:tbl>
    <w:p>
      <w:pPr>
        <w:spacing w:after="0"/>
      </w:pPr>
    </w:p>
    <w:p>
      <w:pPr>
        <w:pStyle w:val="Heading2"/>
      </w:pPr>
      <w:r>
        <w:t>3.2 Coverage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DENOMINADOR GOBERNADO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denominador contiene únicamente Projects seleccionados y aplicables. Projects faltantes no se promedian como cero ni desaparecen: se exponen como ausencia y una Clase A exige 100% de cobertura.</w:t>
            </w:r>
          </w:p>
        </w:tc>
      </w:tr>
    </w:tbl>
    <w:p>
      <w:pPr>
        <w:spacing w:after="0"/>
      </w:pPr>
    </w:p>
    <w:p>
      <w:pPr>
        <w:pStyle w:val="Heading1"/>
      </w:pPr>
      <w:r>
        <w:t>4. Integración Gate07J y Gate07K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Superficie</w:t>
            </w:r>
          </w:p>
        </w:tc>
        <w:tc>
          <w:tcPr>
            <w:tcW w:type="dxa" w:w="4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Cambio implementado</w:t>
            </w:r>
          </w:p>
        </w:tc>
        <w:tc>
          <w:tcPr>
            <w:tcW w:type="dxa" w:w="2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Salvaguarda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Gate07J Preview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Class, blocking, provider, coverage, current/readiness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persisted=false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Preparation snapshot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Policy id/revision/hash + BC/FIN refs/hashes/status</w:t>
            </w:r>
          </w:p>
        </w:tc>
        <w:tc>
          <w:tcPr>
            <w:tcW w:type="dxa" w:w="2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Inmutable por preparación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Refresh preview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Compara policy congelada contra efectiva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persiste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Refresh apply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Adopta revisión efectiva sólo por acción explícita</w:t>
            </w:r>
          </w:p>
        </w:tc>
        <w:tc>
          <w:tcPr>
            <w:tcW w:type="dxa" w:w="2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ETag + auditoría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Gate07K package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Handoff incluye BC y FIN separados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FID existente permanece congelado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Decided FID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Continúa resolviendo sus hashes originales</w:t>
            </w:r>
          </w:p>
        </w:tc>
        <w:tc>
          <w:tcPr>
            <w:tcW w:type="dxa" w:w="2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backdate / no relink</w:t>
            </w:r>
          </w:p>
        </w:tc>
      </w:tr>
    </w:tbl>
    <w:p>
      <w:pPr>
        <w:spacing w:after="0"/>
      </w:pPr>
    </w:p>
    <w:p>
      <w:pPr>
        <w:pStyle w:val="Heading2"/>
      </w:pPr>
      <w:r>
        <w:t>4.1 Compatibilidad histórica</w:t>
      </w:r>
    </w:p>
    <w:p>
      <w:r>
        <w:t>La fecha efectiva aplica a nuevas resoluciones. Preparaciones existentes no se reevalúan por la sola publicación; preparaciones congeladas y decisiones FID decididas conservan policy, evidence references y hashes originales. El nuevo camino FID posterior a effective_from queda habilitado para revalidación.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NEXT CONTROLADO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Los providers y las matrices están completos, pero aún corresponde ejecutar una validación full-stack sembrada de un nuevo FID PYP-FFA desde Business Case + FIN hasta Gate07K. Por ello el único NEXT es READY_TO_REVALIDATE_NEW_FID_PATH.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5. ADMIN MODE, USER MODE, API y seguridad</w:t>
      </w:r>
    </w:p>
    <w:p>
      <w:pPr>
        <w:pStyle w:val="Heading2"/>
      </w:pPr>
      <w:r>
        <w:t>5.1 Superficies de usuario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Modo</w:t>
            </w:r>
          </w:p>
        </w:tc>
        <w:tc>
          <w:tcPr>
            <w:tcW w:type="dxa" w:w="6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Capacidad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· Evidence Matrix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Filas BC/FIN, clase, bloqueo, provider, scope, coverage y manual evidence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· Provider Registry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Estado, contrato, fuente, disponibilidad y última validación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· Project Type Overrides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Filtro de tipo, gobierno y dimensiones FIN requeridas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· Preview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type/governance, policy efectiva, source current y readiness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· Gate07J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Renglones separados Business Case y Economic/Financial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· Drilldown</w:t>
            </w:r>
          </w:p>
        </w:tc>
        <w:tc>
          <w:tcPr>
            <w:tcW w:type="dxa" w:w="6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Clase, cobertura, provider, estado, hash/ref congelado, warnings/blockers</w:t>
            </w:r>
          </w:p>
        </w:tc>
      </w:tr>
    </w:tbl>
    <w:p>
      <w:pPr>
        <w:spacing w:after="0"/>
      </w:pPr>
    </w:p>
    <w:p>
      <w:pPr>
        <w:pStyle w:val="Heading2"/>
      </w:pPr>
      <w:r>
        <w:t>5.2 API y controles transaccionales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API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Preview, registry, release contract, clone/draft/update/publish y Gate preparation refresh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ETag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If-Match protege cambios concurrentes y refresh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Idempotencia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Publicación y operaciones mutantes conservan replay seguro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RBAC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Reutiliza permisos administrativos y de preparación existentes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Autor de preparación no obtiene autorización de decisión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Publish, refresh, lifecycle y decisiones dejan rastro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migration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Tipos y contratos se expresan en JSON policy existente; head 0058</w:t>
            </w:r>
          </w:p>
        </w:tc>
      </w:tr>
    </w:tbl>
    <w:p>
      <w:pPr>
        <w:spacing w:after="0"/>
      </w:pPr>
    </w:p>
    <w:p>
      <w:pPr>
        <w:pStyle w:val="Heading2"/>
      </w:pPr>
      <w:r>
        <w:t>5.3 Archivos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Ruta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Motor policy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backend/app/modules/investment_evidence_policy/service.py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API policy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backend/app/modules/investment_evidence_policy/router.py + schemas.py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 preparation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backend/app/modules/investment_gate_preparation/service.py + schemas.py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Apply controlado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scripts/apply_gate07m_evid_policy_update.py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ADMIN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frontend/src/features/investment-evidence-policy/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frontend/src/features/investment-gate-preparation/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docs/62-adr-gate07m-evid-policy-update.md</w:t>
            </w:r>
          </w:p>
        </w:tc>
      </w:tr>
    </w:tbl>
    <w:p>
      <w:pPr>
        <w:spacing w:after="0"/>
      </w:pPr>
    </w:p>
    <w:p>
      <w:pPr>
        <w:pStyle w:val="Heading1"/>
      </w:pPr>
      <w:r>
        <w:t>6. Validación técnica y release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400"/>
        <w:gridCol w:w="55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5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Ruff / format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Backend, tests y script de publicación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Policy service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Providers, matriz, preview, merge y release contract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Gate07J / Gate07K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Readiness, coverage, snapshots y handoff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efímero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Head 0058, esquema validado y 6 pruebas focales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Frontend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TypeScript, Vite, Prettier y unidades focales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E2E USER Gate preparation y ADMIN policy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Localhost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API healthy; frontend HTTP 200 en /app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Publicación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Policy 787 rev 1; missing providers = 0</w:t>
            </w:r>
          </w:p>
        </w:tc>
      </w:tr>
    </w:tbl>
    <w:p>
      <w:pPr>
        <w:spacing w:after="0"/>
      </w:pPr>
    </w:p>
    <w:p>
      <w:pPr>
        <w:spacing w:before="80" w:after="100"/>
      </w:pPr>
      <w:r>
        <w:rPr>
          <w:rFonts w:ascii="Calibri" w:hAnsi="Calibri"/>
          <w:i/>
          <w:color w:val="5F6B76"/>
          <w:sz w:val="16"/>
        </w:rPr>
        <w:t>La evidencia de publicación conserva actor, tenant, effective_from, source hash, policy hash y head de migración en gate07m_evid_policy_apply.json.</w:t>
      </w:r>
    </w:p>
    <w:p>
      <w:pPr>
        <w:pStyle w:val="Heading2"/>
      </w:pPr>
      <w:r>
        <w:t>6.1 Casos negativos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Caso</w:t>
            </w:r>
          </w:p>
        </w:tc>
        <w:tc>
          <w:tcPr>
            <w:tcW w:type="dxa" w:w="6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Respuesta esperada / verificada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 BC ausente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Bloqueo explícito de Clase A; missing provider visible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 FIN ausente en FFA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Bloqueo de Clase A; no adjunto sustituto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FIN ausente en Selection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Clase B no bloqueante, sin fabricar readiness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BC↔FIN stale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BUSINESS_CASE_FIN_REFERENCE_STALE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Cobertura incompleta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Missing Projects visibles; Class A coverage &lt; 100 bloquea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persisted=false y sin cambios de estado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ETag stale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Rechazo de concurrencia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Policy futura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se aplica antes de effective_from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7. Gap Analysis y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200"/>
        <w:gridCol w:w="31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Gap / riesgo residual</w:t>
            </w:r>
          </w:p>
        </w:tc>
        <w:tc>
          <w:tcPr>
            <w:tcW w:type="dxa" w:w="3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Impacto</w:t>
            </w:r>
          </w:p>
        </w:tc>
        <w:tc>
          <w:tcPr>
            <w:tcW w:type="dxa" w:w="3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Nuevo FID full-stack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Camino posterior a effective_from no recorrido completo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NEXT dedicado con seed BC+FIN+Gate07J+Gate07K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Benchmark 1.000 Projects</w:t>
            </w:r>
          </w:p>
        </w:tc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Cobertura algorítmica probada; p95 no contractual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Perf fixture y presupuesto explícito futuro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Datos históricos heterogéneos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Puede faltar dimensión/tipo en registros antiguos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Resolver con policy congelada y no backfill destructivo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Providers temporalmente unavailable</w:t>
            </w:r>
          </w:p>
        </w:tc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Bloqueo A correcto puede detener el gate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Observabilidad y recuperación del provider; nunca fallback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Reglas por jurisdicción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Overrides actuales son baseline tenant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Nueva revisión efectiva, nunca edición retroactiva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STOP BOUNDARY RESPETADA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se inició Procurement, Contracting, Commitments, Purchase Orders, Payments, Accounting, Treasury, Notice to Proceed, Project Execution, P6 execution, fórmulas FIN nuevas ni trabajo adicional de dominio BC.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CIERRE EXCLUSIVO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GATE07M_EVID_POLICY_UPDATE_VALIDATED · final_output = READY_FOR_BUSINESS_CASE_AND_ECONOMIC_FINANCIAL_GATE_EVIDENCE · NEXT = READY_TO_REVALIDATE_NEW_FID_PATH · STOP.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8. Matriz integral de trazabilidad 1–101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5150"/>
        <w:gridCol w:w="1850"/>
        <w:gridCol w:w="1800"/>
      </w:tblGrid>
      <w:tr>
        <w:trPr>
          <w:tblHeader w:val="true"/>
          <w:cantSplit/>
        </w:trPr>
        <w:tc>
          <w:tcPr>
            <w:tcW w:type="dxa" w:w="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1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Executive summary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ADR Gate07M-EVID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Baseline assessment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REUSE BEFORE CREATE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Gate07J-EVID current policy assessment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Business Case provider existence decision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Business Case provider contract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Business Case evidence supply rule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 provider reuse proof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 provider contract review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BC vs FIN evidence separation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BC↔FIN consistency rule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Historical compatibility strategy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Effective-date strategy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No-silent-policy-upgrade rule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16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A/B/C classification review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62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17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PYP-INV-SELECT Business Case policy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PYP-INV-SELECT FIN policy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19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PYP-FFA Business Case policy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PYP-FFA FIN policy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21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Type applicability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22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Governance Model applicability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23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 / Project Set scope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24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Coverage denominator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25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Coverage rule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26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Business Case validity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27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 validity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28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Material Change integration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29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Evidence Matrix additions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30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Provider Registry update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31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Missing Provider Analysis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32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 effective evidence resolution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33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Business Case Class A mapping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34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 Class A mapping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35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Dimension-aware FIN interpretation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§2–3 / policy+providers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 displays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snapshots+history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37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 package snapshot update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snapshots+history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38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Refresh semantics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snapshots+history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39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Frozen Preparation safeguard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snapshots+history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40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Gate07K package integration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snapshots+history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41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Gate07K historical compatibility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snapshots+history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42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New FID path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snapshots+history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43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Existing evidence non-regression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snapshots+history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44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Budget/Funding separation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snapshots+history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45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 evidence explosion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snapshots+history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46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Policy revision strategy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snapshots+history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47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Effective date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snapshots+history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48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ADMIN MODE update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49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Evidence Matrix UI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50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Provider Registry UI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Type Overrides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52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ADMIN Preview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53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USER Gate07J UI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54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Business Case drilldown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55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 drilldown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56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Allowed actions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57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RBAC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58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SoD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59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ETag/idempotency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60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SecurityEvent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61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API changes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API+UI+security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62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Provider tests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63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BC↔FIN stale-link test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64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PYP-INV-SELECT E2E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65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PYP-INV-SELECT FIN-missing E2E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66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PYP-FFA Commercial E2E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67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PYP-FFA Public E2E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68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Business Case stale E2E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69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 stale E2E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70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Funding reconciliation blocker E2E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71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Set coverage E2E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72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Mixed Project Type E2E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73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Historical Preparation E2E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74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Historical FID E2E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75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New FID-path E2E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NEXT CONTROLADO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76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Contractor Delivery E2E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77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Direct Internal E2E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78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Provider unavailable E2E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79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Policy publish E2E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80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Preview persisted=false E2E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81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Frontend tests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82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ADMIN E2E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83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USER E2E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84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blocking path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85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valid path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86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historical Decision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87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Migration decision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tests+E2E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88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Performance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89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No-BC-change safeguard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90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No-FIN-change safeguard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91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No-Funding-change safeguard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92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No-Gate07K-redesign safeguard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93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No-Gate07L-change safeguard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94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No-operational-scope safeguard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95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Regression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96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Persistent baseline before/after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97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Risks / technical debt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98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Final Gap Analysis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99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Recommendation for next step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</w:t>
            </w:r>
          </w:p>
        </w:tc>
        <w:tc>
          <w:tcPr>
            <w:tcW w:type="dxa" w:w="5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Updated technical report</w:t>
            </w:r>
          </w:p>
        </w:tc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101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Final exclusive state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release+report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CUBIERTO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07M-EVID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07M-EVID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07M-EVID — BC &amp; Economic-Financial Gate Evidence</dc:title>
  <dc:subject>Gate07J-EVID policy, providers, coverage, historical compatibility and Gate07K handoff</dc:subject>
  <dc:creator>P&amp;Pmis Construction AI</dc:creator>
  <cp:keywords>Gate 07M-EVID, Business Case, FIN, Gate07J, Gate07K, policy, readiness</cp:keywords>
  <dc:description>Generated from verified repository, PostgreSQL, browser and controlled publish evidence on 2026-09-03.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