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 cy="494088"/>
            <wp:docPr id="1" name="Picture 1" title="P&amp;Pmis Construction AI" descr="Logotip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548640" cy="494088"/>
                    </a:xfrm>
                    <a:prstGeom prst="rect"/>
                  </pic:spPr>
                </pic:pic>
              </a:graphicData>
            </a:graphic>
          </wp:inline>
        </w:drawing>
      </w:r>
    </w:p>
    <w:p>
      <w:pPr>
        <w:pStyle w:val="Title"/>
      </w:pPr>
      <w:r>
        <w:t>Informe técnico de evidencias controladas Gate07J</w:t>
      </w:r>
    </w:p>
    <w:p>
      <w:r>
        <w:t>P&amp;Pmis Construction AI. Capital Portfolio &amp; Investment Governance. Corte del 16 de octubre de 2026.</w:t>
      </w:r>
    </w:p>
    <w:p>
      <w:r>
        <w:t>STRATEGIC_MACROPROCESS_TECHNICALLY_READY_UAT_SIGNOFF_PENDING / UAT_SIGNOFF_PENDING. Este informe presenta la reconstrucción autorizada persistente, el cierre de Class B y la comprobación de FID y Post-FID. La aceptación humana permanece pendiente.</w:t>
      </w:r>
    </w:p>
    <w:p>
      <w:pPr>
        <w:pStyle w:val="Heading1"/>
      </w:pPr>
      <w:r>
        <w:t>1 Resumen ejecutivo</w:t>
      </w:r>
    </w:p>
    <w:p>
      <w:r>
        <w:t>El estado técnico es STRATEGIC_MACROPROCESS_TECHNICALLY_READY_UAT_SIGNOFF_PENDING / UAT_SIGNOFF_PENDING. Las cuatro referencias Class B, el freeze y la decisión FID se acreditan con registros de la nueva cadena. La activación registrada es ACTIVATED; el resultado actual posterior a ella es NO_REACTIVATION_REQUIRED. Esta conclusión se limita al objetivo técnico Class B/FID/Post-FID: no certifica toda la interfaz ni la metadata de Home. Los hallazgos menores y UAT-S3-006 de proyección y descubrimiento siguen abiertos. Las condiciones pendientes no se sustituyen por resultados esperados.</w:t>
      </w:r>
    </w:p>
    <w:p>
      <w:pPr>
        <w:pStyle w:val="Heading1"/>
      </w:pPr>
      <w:r>
        <w:t>2 Línea base</w:t>
      </w:r>
    </w:p>
    <w:p>
      <w:r>
        <w:t>La reconstrucción fue autorizada expresamente el 16 de octubre de 2026 tras perderse la base temporal anterior. Rama main; commit de referencia 10a2442bfb69b97dc72f9c78e2419f157b400973; cabeza capturada 20261011_0068, sin migración nueva. Los informes bloqueados del 15 de octubre permanecen intactos. No se ejecuta commit, push ni despliegue operativo como parte de este cierre.</w:t>
      </w:r>
    </w:p>
    <w:p>
      <w:pPr>
        <w:pStyle w:val="Heading1"/>
      </w:pPr>
      <w:r>
        <w:t>3 Identidad de la cadena seleccionada</w:t>
      </w:r>
    </w:p>
    <w:p>
      <w:r>
        <w:t>La base PostgreSQL strategic_fresh_uat usa almacenamiento persistente dedicado y respaldos custom verificables. La identidad actual es Tenant 1 / fresh-copper-1765b06813, Portfolio 3 y Project 4. No corresponde al Tenant 4 / Project 16 perdidos y no mezcla sus pruebas.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032"/>
        <w:gridCol w:w="6134"/>
      </w:tblGrid>
      <w:tr>
        <w:trPr>
          <w:tblHeader w:val="true"/>
        </w:trPr>
        <w:tc>
          <w:tcPr>
            <w:tcW w:type="dxa" w:w="4032"/>
            <w:shd w:fill="17324D"/>
            <w:tcMar>
              <w:top w:w="100" w:type="dxa"/>
              <w:start w:w="100" w:type="dxa"/>
              <w:bottom w:w="100" w:type="dxa"/>
              <w:end w:w="100" w:type="dxa"/>
            </w:tcMar>
            <w:vAlign w:val="center"/>
          </w:tcPr>
          <w:p>
            <w:pPr>
              <w:keepNext/>
              <w:jc w:val="left"/>
            </w:pPr>
            <w:r>
              <w:rPr>
                <w:rFonts w:ascii="Aptos" w:hAnsi="Aptos" w:eastAsia="Aptos"/>
                <w:b/>
                <w:color w:val="FFFFFF"/>
                <w:sz w:val="19"/>
              </w:rPr>
              <w:t>Identidad</w:t>
            </w:r>
          </w:p>
        </w:tc>
        <w:tc>
          <w:tcPr>
            <w:tcW w:type="dxa" w:w="6134"/>
            <w:shd w:fill="17324D"/>
            <w:tcMar>
              <w:top w:w="100" w:type="dxa"/>
              <w:start w:w="100" w:type="dxa"/>
              <w:bottom w:w="100" w:type="dxa"/>
              <w:end w:w="100" w:type="dxa"/>
            </w:tcMar>
            <w:vAlign w:val="center"/>
          </w:tcPr>
          <w:p>
            <w:pPr>
              <w:keepNext/>
              <w:jc w:val="left"/>
            </w:pPr>
            <w:r>
              <w:rPr>
                <w:rFonts w:ascii="Aptos" w:hAnsi="Aptos" w:eastAsia="Aptos"/>
                <w:b/>
                <w:color w:val="FFFFFF"/>
                <w:sz w:val="19"/>
              </w:rPr>
              <w:t>Valor actual</w:t>
            </w:r>
          </w:p>
        </w:tc>
      </w:tr>
      <w:tr>
        <w:trPr>
          <w:cantSplit/>
        </w:trPr>
        <w:tc>
          <w:tcPr>
            <w:tcW w:type="dxa" w:w="4032"/>
            <w:tcMar>
              <w:top w:w="100" w:type="dxa"/>
              <w:start w:w="100" w:type="dxa"/>
              <w:bottom w:w="100" w:type="dxa"/>
              <w:end w:w="100" w:type="dxa"/>
            </w:tcMar>
            <w:vAlign w:val="center"/>
          </w:tcPr>
          <w:p>
            <w:pPr>
              <w:spacing w:after="20" w:line="250" w:lineRule="auto"/>
            </w:pPr>
            <w:r>
              <w:rPr>
                <w:rFonts w:ascii="Aptos" w:hAnsi="Aptos" w:eastAsia="Aptos"/>
                <w:color w:val="202A33"/>
                <w:sz w:val="19"/>
              </w:rPr>
              <w:t>Tenant y slug</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1 / fresh-copper-1765b06813</w:t>
            </w:r>
          </w:p>
        </w:tc>
      </w:tr>
      <w:tr>
        <w:trPr>
          <w:cantSplit/>
        </w:trPr>
        <w:tc>
          <w:tcPr>
            <w:tcW w:type="dxa" w:w="403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Enterprise / BU / Portfolio / Project</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1 / 2 / 3 / 4</w:t>
            </w:r>
          </w:p>
        </w:tc>
      </w:tr>
      <w:tr>
        <w:trPr>
          <w:cantSplit/>
        </w:trPr>
        <w:tc>
          <w:tcPr>
            <w:tcW w:type="dxa" w:w="4032"/>
            <w:tcMar>
              <w:top w:w="100" w:type="dxa"/>
              <w:start w:w="100" w:type="dxa"/>
              <w:bottom w:w="100" w:type="dxa"/>
              <w:end w:w="100" w:type="dxa"/>
            </w:tcMar>
            <w:vAlign w:val="center"/>
          </w:tcPr>
          <w:p>
            <w:pPr>
              <w:spacing w:after="20" w:line="250" w:lineRule="auto"/>
            </w:pPr>
            <w:r>
              <w:rPr>
                <w:rFonts w:ascii="Aptos" w:hAnsi="Aptos" w:eastAsia="Aptos"/>
                <w:color w:val="202A33"/>
                <w:sz w:val="19"/>
              </w:rPr>
              <w:t>Capital cycle / demand / allocation</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1 / 1 / 1</w:t>
            </w:r>
          </w:p>
        </w:tc>
      </w:tr>
      <w:tr>
        <w:trPr>
          <w:cantSplit/>
        </w:trPr>
        <w:tc>
          <w:tcPr>
            <w:tcW w:type="dxa" w:w="403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Idea / Business Analysis / Proposal</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1 / 1 / 1</w:t>
            </w:r>
          </w:p>
        </w:tc>
      </w:tr>
      <w:tr>
        <w:trPr>
          <w:cantSplit/>
        </w:trPr>
        <w:tc>
          <w:tcPr>
            <w:tcW w:type="dxa" w:w="4032"/>
            <w:tcMar>
              <w:top w:w="100" w:type="dxa"/>
              <w:start w:w="100" w:type="dxa"/>
              <w:bottom w:w="100" w:type="dxa"/>
              <w:end w:w="100" w:type="dxa"/>
            </w:tcMar>
            <w:vAlign w:val="center"/>
          </w:tcPr>
          <w:p>
            <w:pPr>
              <w:spacing w:after="20" w:line="250" w:lineRule="auto"/>
            </w:pPr>
            <w:r>
              <w:rPr>
                <w:rFonts w:ascii="Aptos" w:hAnsi="Aptos" w:eastAsia="Aptos"/>
                <w:color w:val="202A33"/>
                <w:sz w:val="19"/>
              </w:rPr>
              <w:t>Strategic Gate / Creation Request</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1 / 1</w:t>
            </w:r>
          </w:p>
        </w:tc>
      </w:tr>
      <w:tr>
        <w:trPr>
          <w:cantSplit/>
        </w:trPr>
        <w:tc>
          <w:tcPr>
            <w:tcW w:type="dxa" w:w="403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Autor / revisor / FID / inicializador / activador</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4 / 5 / 11 / 12 / 13</w:t>
            </w:r>
          </w:p>
        </w:tc>
      </w:tr>
      <w:tr>
        <w:trPr>
          <w:cantSplit/>
        </w:trPr>
        <w:tc>
          <w:tcPr>
            <w:tcW w:type="dxa" w:w="4032"/>
            <w:tcMar>
              <w:top w:w="100" w:type="dxa"/>
              <w:start w:w="100" w:type="dxa"/>
              <w:bottom w:w="100" w:type="dxa"/>
              <w:end w:w="100" w:type="dxa"/>
            </w:tcMar>
            <w:vAlign w:val="center"/>
          </w:tcPr>
          <w:p>
            <w:pPr>
              <w:spacing w:after="20" w:line="250" w:lineRule="auto"/>
            </w:pPr>
            <w:r>
              <w:rPr>
                <w:rFonts w:ascii="Aptos" w:hAnsi="Aptos" w:eastAsia="Aptos"/>
                <w:color w:val="202A33"/>
                <w:sz w:val="19"/>
              </w:rPr>
              <w:t>Admin autor / publicador / endorser capital</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2 / 3 / 8</w:t>
            </w:r>
          </w:p>
        </w:tc>
      </w:tr>
    </w:tbl>
    <w:p>
      <w:pPr>
        <w:spacing w:after="20"/>
      </w:pPr>
    </w:p>
    <w:p>
      <w:pPr>
        <w:pStyle w:val="Heading1"/>
      </w:pPr>
      <w:r>
        <w:t>4 Estado y bloqueos de Gate07J</w:t>
      </w:r>
    </w:p>
    <w:p>
      <w:r>
        <w:t>El paquete antes del freeze alcanzó READY, con 15 requisitos válidos de 19. El paquete persistido es FROZEN. Los bloqueos actuales Post-FID son []; se distinguen de las referencias Class B que faltaban inicialmente.</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92"/>
        <w:gridCol w:w="1872"/>
        <w:gridCol w:w="5702"/>
      </w:tblGrid>
      <w:tr>
        <w:trPr>
          <w:tblHeader w:val="true"/>
        </w:trPr>
        <w:tc>
          <w:tcPr>
            <w:tcW w:type="dxa" w:w="2592"/>
            <w:shd w:fill="17324D"/>
            <w:tcMar>
              <w:top w:w="100" w:type="dxa"/>
              <w:start w:w="100" w:type="dxa"/>
              <w:bottom w:w="100" w:type="dxa"/>
              <w:end w:w="100" w:type="dxa"/>
            </w:tcMar>
            <w:vAlign w:val="center"/>
          </w:tcPr>
          <w:p>
            <w:pPr>
              <w:keepNext/>
              <w:jc w:val="left"/>
            </w:pPr>
            <w:r>
              <w:rPr>
                <w:rFonts w:ascii="Aptos" w:hAnsi="Aptos" w:eastAsia="Aptos"/>
                <w:b/>
                <w:color w:val="FFFFFF"/>
                <w:sz w:val="19"/>
              </w:rPr>
              <w:t>Referencia publicada</w:t>
            </w:r>
          </w:p>
        </w:tc>
        <w:tc>
          <w:tcPr>
            <w:tcW w:type="dxa" w:w="1872"/>
            <w:shd w:fill="17324D"/>
            <w:tcMar>
              <w:top w:w="100" w:type="dxa"/>
              <w:start w:w="100" w:type="dxa"/>
              <w:bottom w:w="100" w:type="dxa"/>
              <w:end w:w="100" w:type="dxa"/>
            </w:tcMar>
            <w:vAlign w:val="center"/>
          </w:tcPr>
          <w:p>
            <w:pPr>
              <w:keepNext/>
              <w:jc w:val="left"/>
            </w:pPr>
            <w:r>
              <w:rPr>
                <w:rFonts w:ascii="Aptos" w:hAnsi="Aptos" w:eastAsia="Aptos"/>
                <w:b/>
                <w:color w:val="FFFFFF"/>
                <w:sz w:val="19"/>
              </w:rPr>
              <w:t>ID y revisión</w:t>
            </w:r>
          </w:p>
        </w:tc>
        <w:tc>
          <w:tcPr>
            <w:tcW w:type="dxa" w:w="5702"/>
            <w:shd w:fill="17324D"/>
            <w:tcMar>
              <w:top w:w="100" w:type="dxa"/>
              <w:start w:w="100" w:type="dxa"/>
              <w:bottom w:w="100" w:type="dxa"/>
              <w:end w:w="100" w:type="dxa"/>
            </w:tcMar>
            <w:vAlign w:val="center"/>
          </w:tcPr>
          <w:p>
            <w:pPr>
              <w:keepNext/>
              <w:jc w:val="left"/>
            </w:pPr>
            <w:r>
              <w:rPr>
                <w:rFonts w:ascii="Aptos" w:hAnsi="Aptos" w:eastAsia="Aptos"/>
                <w:b/>
                <w:color w:val="FFFFFF"/>
                <w:sz w:val="19"/>
              </w:rPr>
              <w:t>Hash capturado</w:t>
            </w:r>
          </w:p>
        </w:tc>
      </w:tr>
      <w:tr>
        <w:trPr>
          <w:cantSplit/>
        </w:trPr>
        <w:tc>
          <w:tcPr>
            <w:tcW w:type="dxa" w:w="2592"/>
            <w:tcMar>
              <w:top w:w="100" w:type="dxa"/>
              <w:start w:w="100" w:type="dxa"/>
              <w:bottom w:w="100" w:type="dxa"/>
              <w:end w:w="100" w:type="dxa"/>
            </w:tcMar>
            <w:vAlign w:val="center"/>
          </w:tcPr>
          <w:p>
            <w:pPr>
              <w:spacing w:after="20" w:line="250" w:lineRule="auto"/>
            </w:pPr>
            <w:r>
              <w:rPr>
                <w:rFonts w:ascii="Aptos" w:hAnsi="Aptos" w:eastAsia="Aptos"/>
                <w:color w:val="202A33"/>
                <w:sz w:val="19"/>
              </w:rPr>
              <w:t>Política de evidencia</w:t>
            </w:r>
          </w:p>
        </w:tc>
        <w:tc>
          <w:tcPr>
            <w:tcW w:type="dxa" w:w="1872"/>
            <w:tcMar>
              <w:top w:w="100" w:type="dxa"/>
              <w:start w:w="100" w:type="dxa"/>
              <w:bottom w:w="100" w:type="dxa"/>
              <w:end w:w="100" w:type="dxa"/>
            </w:tcMar>
            <w:vAlign w:val="center"/>
          </w:tcPr>
          <w:p>
            <w:pPr>
              <w:spacing w:after="20" w:line="250" w:lineRule="auto"/>
            </w:pPr>
            <w:r>
              <w:rPr>
                <w:rFonts w:ascii="Aptos" w:hAnsi="Aptos" w:eastAsia="Aptos"/>
                <w:color w:val="202A33"/>
                <w:sz w:val="19"/>
              </w:rPr>
              <w:t>78 / r1</w:t>
            </w:r>
          </w:p>
        </w:tc>
        <w:tc>
          <w:tcPr>
            <w:tcW w:type="dxa" w:w="5702"/>
            <w:tcMar>
              <w:top w:w="100" w:type="dxa"/>
              <w:start w:w="100" w:type="dxa"/>
              <w:bottom w:w="100" w:type="dxa"/>
              <w:end w:w="100" w:type="dxa"/>
            </w:tcMar>
            <w:vAlign w:val="center"/>
          </w:tcPr>
          <w:p>
            <w:pPr>
              <w:spacing w:after="20" w:line="250" w:lineRule="auto"/>
            </w:pPr>
            <w:r>
              <w:rPr>
                <w:rFonts w:ascii="Aptos" w:hAnsi="Aptos" w:eastAsia="Aptos"/>
                <w:color w:val="202A33"/>
                <w:sz w:val="19"/>
              </w:rPr>
              <w:t>9e0e343f1e2d0244b913f0e8f48a2c8e1cb64a1b71122ae093ccf59b3576aa4f</w:t>
            </w:r>
          </w:p>
        </w:tc>
      </w:tr>
      <w:tr>
        <w:trPr>
          <w:cantSplit/>
        </w:trPr>
        <w:tc>
          <w:tcPr>
            <w:tcW w:type="dxa" w:w="25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Perfil PYP FFA</w:t>
            </w:r>
          </w:p>
        </w:tc>
        <w:tc>
          <w:tcPr>
            <w:tcW w:type="dxa" w:w="187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80 / r1</w:t>
            </w:r>
          </w:p>
        </w:tc>
        <w:tc>
          <w:tcPr>
            <w:tcW w:type="dxa" w:w="570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0e580e374ceb4f17a795bcd6ffddab6a61001a8d11f08b4b54f18c6eccc96acd</w:t>
            </w:r>
          </w:p>
        </w:tc>
      </w:tr>
    </w:tbl>
    <w:p>
      <w:pPr>
        <w:spacing w:after="20"/>
      </w:pPr>
    </w:p>
    <w:p>
      <w:pPr>
        <w:pStyle w:val="Heading1"/>
      </w:pPr>
      <w:r>
        <w:t>5 Arquitectura de evidencias reutilizada</w:t>
      </w:r>
    </w:p>
    <w:p>
      <w:r>
        <w:t>Se reutilizan ManualEvidenceIn, evidence_refs, add_evidence y validate_evidence del mismo Investment Gate Preparation. El alta registra SUBMITTED y la revisión independiente registra VALID; la preparación conserva revision_version, hashes y alcance. No se crean proveedores ni dominios de permisos, contratación, ejecución o madurez del cronograma.</w:t>
      </w:r>
    </w:p>
    <w:p>
      <w:pPr>
        <w:pStyle w:val="Heading1"/>
      </w:pPr>
      <w:r>
        <w:t>6 Referencia controlada de permisos</w:t>
      </w:r>
    </w:p>
    <w:p>
      <w:r>
        <w:t>El bloqueo literal MISSING_PERMIT_READINESS correspondía al requirement permit-readiness Class B con provider_key=null; no indicaba que el assessment gobernado Permit estuviera bloqueado: ese assessment ya estaba READY. Tampoco requería un nuevo adapter. La referencia controlada conservó EACH_PROJECT y 180 días, pasó de SUBMITTED a VALID por revisión independiente y eliminó ese bloqueo. El assessment Permit se usa solo como soporte; su aprobación no sustituye la validación de la referencia Gate.</w:t>
      </w:r>
    </w:p>
    <w:p>
      <w:pPr>
        <w:pStyle w:val="Heading1"/>
      </w:pPr>
      <w:r>
        <w:t>7 Referencia controlada de contratación</w:t>
      </w:r>
    </w:p>
    <w:p>
      <w:r>
        <w:t>contracting-strategy-readiness conserva Class B y 365 días. El documento representativo referencia el identificador, versión y hash de Commercial Strategy como soporte; la revisión del Gate sigue siendo un acto separado. No se declara un contrato real firmado.</w:t>
      </w:r>
    </w:p>
    <w:p>
      <w:pPr>
        <w:pStyle w:val="Heading1"/>
      </w:pPr>
      <w:r>
        <w:t>8 Referencia controlada del plan de ejecución</w:t>
      </w:r>
    </w:p>
    <w:p>
      <w:r>
        <w:t>execution-plan-readiness utiliza el mecanismo de referencia documental existente, con revisión, fecha, Project, propietario y hash. Su documento identifica expresamente el carácter representativo UAT y una ventana de 365 días. No constituye aprobación para ejecutar Project Delivery.</w:t>
      </w:r>
    </w:p>
    <w:p>
      <w:pPr>
        <w:pStyle w:val="Heading1"/>
      </w:pPr>
      <w:r>
        <w:t>9 Referencia controlada de madurez del cronograma</w:t>
      </w:r>
    </w:p>
    <w:p>
      <w:r>
        <w:t>schedule-maturity identifica la representación de cronograma, revisión, fecha de datos, dimensiones de evaluación y autoridad de revisión UAT. La ventana es 180 días. No se equipara automáticamente Schedule Source Readiness con esta evaluación ni se emite una certificación P6.</w:t>
      </w:r>
    </w:p>
    <w:p>
      <w:pPr>
        <w:pStyle w:val="Heading1"/>
      </w:pPr>
      <w:r>
        <w:t>10 Presentación y validación independiente</w:t>
      </w:r>
    </w:p>
    <w:p>
      <w:r>
        <w:t>Las cuatro referencias conservan los actores y timestamps reales de presentación y validación. El documento inmutable se verifica mediante SHA-256 antes de la revisión. La guarda SoD ahora aplica a los requisitos Class B con manual_validation_required, aunque no figuren en la lista histórica FEL y Funding del perfil.</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48"/>
        <w:gridCol w:w="3312"/>
        <w:gridCol w:w="1440"/>
        <w:gridCol w:w="1800"/>
        <w:gridCol w:w="1166"/>
      </w:tblGrid>
      <w:tr>
        <w:trPr>
          <w:tblHeader w:val="true"/>
        </w:trPr>
        <w:tc>
          <w:tcPr>
            <w:tcW w:type="dxa" w:w="2448"/>
            <w:shd w:fill="17324D"/>
            <w:tcMar>
              <w:top w:w="100" w:type="dxa"/>
              <w:start w:w="100" w:type="dxa"/>
              <w:bottom w:w="100" w:type="dxa"/>
              <w:end w:w="100" w:type="dxa"/>
            </w:tcMar>
            <w:vAlign w:val="center"/>
          </w:tcPr>
          <w:p>
            <w:pPr>
              <w:keepNext/>
              <w:jc w:val="left"/>
            </w:pPr>
            <w:r>
              <w:rPr>
                <w:rFonts w:ascii="Aptos" w:hAnsi="Aptos" w:eastAsia="Aptos"/>
                <w:b/>
                <w:color w:val="FFFFFF"/>
                <w:sz w:val="19"/>
              </w:rPr>
              <w:t>Requisito</w:t>
            </w:r>
          </w:p>
        </w:tc>
        <w:tc>
          <w:tcPr>
            <w:tcW w:type="dxa" w:w="3312"/>
            <w:shd w:fill="17324D"/>
            <w:tcMar>
              <w:top w:w="100" w:type="dxa"/>
              <w:start w:w="100" w:type="dxa"/>
              <w:bottom w:w="100" w:type="dxa"/>
              <w:end w:w="100" w:type="dxa"/>
            </w:tcMar>
            <w:vAlign w:val="center"/>
          </w:tcPr>
          <w:p>
            <w:pPr>
              <w:keepNext/>
              <w:jc w:val="left"/>
            </w:pPr>
            <w:r>
              <w:rPr>
                <w:rFonts w:ascii="Aptos" w:hAnsi="Aptos" w:eastAsia="Aptos"/>
                <w:b/>
                <w:color w:val="FFFFFF"/>
                <w:sz w:val="19"/>
              </w:rPr>
              <w:t>Documento y revisión</w:t>
            </w:r>
          </w:p>
        </w:tc>
        <w:tc>
          <w:tcPr>
            <w:tcW w:type="dxa" w:w="1440"/>
            <w:shd w:fill="17324D"/>
            <w:tcMar>
              <w:top w:w="100" w:type="dxa"/>
              <w:start w:w="100" w:type="dxa"/>
              <w:bottom w:w="100" w:type="dxa"/>
              <w:end w:w="100" w:type="dxa"/>
            </w:tcMar>
            <w:vAlign w:val="center"/>
          </w:tcPr>
          <w:p>
            <w:pPr>
              <w:keepNext/>
              <w:jc w:val="left"/>
            </w:pPr>
            <w:r>
              <w:rPr>
                <w:rFonts w:ascii="Aptos" w:hAnsi="Aptos" w:eastAsia="Aptos"/>
                <w:b/>
                <w:color w:val="FFFFFF"/>
                <w:sz w:val="19"/>
              </w:rPr>
              <w:t>Presentó UTC</w:t>
            </w:r>
          </w:p>
        </w:tc>
        <w:tc>
          <w:tcPr>
            <w:tcW w:type="dxa" w:w="1800"/>
            <w:shd w:fill="17324D"/>
            <w:tcMar>
              <w:top w:w="100" w:type="dxa"/>
              <w:start w:w="100" w:type="dxa"/>
              <w:bottom w:w="100" w:type="dxa"/>
              <w:end w:w="100" w:type="dxa"/>
            </w:tcMar>
            <w:vAlign w:val="center"/>
          </w:tcPr>
          <w:p>
            <w:pPr>
              <w:keepNext/>
              <w:jc w:val="left"/>
            </w:pPr>
            <w:r>
              <w:rPr>
                <w:rFonts w:ascii="Aptos" w:hAnsi="Aptos" w:eastAsia="Aptos"/>
                <w:b/>
                <w:color w:val="FFFFFF"/>
                <w:sz w:val="19"/>
              </w:rPr>
              <w:t>Validó UTC</w:t>
            </w:r>
          </w:p>
        </w:tc>
        <w:tc>
          <w:tcPr>
            <w:tcW w:type="dxa" w:w="1166"/>
            <w:shd w:fill="17324D"/>
            <w:tcMar>
              <w:top w:w="100" w:type="dxa"/>
              <w:start w:w="100" w:type="dxa"/>
              <w:bottom w:w="100" w:type="dxa"/>
              <w:end w:w="100" w:type="dxa"/>
            </w:tcMar>
            <w:vAlign w:val="center"/>
          </w:tcPr>
          <w:p>
            <w:pPr>
              <w:keepNext/>
              <w:jc w:val="left"/>
            </w:pPr>
            <w:r>
              <w:rPr>
                <w:rFonts w:ascii="Aptos" w:hAnsi="Aptos" w:eastAsia="Aptos"/>
                <w:b/>
                <w:color w:val="FFFFFF"/>
                <w:sz w:val="19"/>
              </w:rPr>
              <w:t>Estado</w:t>
            </w:r>
          </w:p>
        </w:tc>
      </w:tr>
      <w:tr>
        <w:trPr>
          <w:cantSplit/>
        </w:trPr>
        <w:tc>
          <w:tcPr>
            <w:tcW w:type="dxa" w:w="2448"/>
            <w:tcMar>
              <w:top w:w="100" w:type="dxa"/>
              <w:start w:w="100" w:type="dxa"/>
              <w:bottom w:w="100" w:type="dxa"/>
              <w:end w:w="100" w:type="dxa"/>
            </w:tcMar>
            <w:vAlign w:val="center"/>
          </w:tcPr>
          <w:p>
            <w:pPr>
              <w:spacing w:after="20" w:line="250" w:lineRule="auto"/>
            </w:pPr>
            <w:r>
              <w:rPr>
                <w:rFonts w:ascii="Aptos" w:hAnsi="Aptos" w:eastAsia="Aptos"/>
                <w:color w:val="202A33"/>
                <w:sz w:val="19"/>
              </w:rPr>
              <w:t>permit-readiness</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UAT-T1-P4-G1-permit-readiness-R1 / r1</w:t>
            </w:r>
          </w:p>
        </w:tc>
        <w:tc>
          <w:tcPr>
            <w:tcW w:type="dxa" w:w="1440"/>
            <w:tcMar>
              <w:top w:w="100" w:type="dxa"/>
              <w:start w:w="100" w:type="dxa"/>
              <w:bottom w:w="100" w:type="dxa"/>
              <w:end w:w="100" w:type="dxa"/>
            </w:tcMar>
            <w:vAlign w:val="center"/>
          </w:tcPr>
          <w:p>
            <w:pPr>
              <w:spacing w:after="20" w:line="250" w:lineRule="auto"/>
            </w:pPr>
            <w:r>
              <w:rPr>
                <w:rFonts w:ascii="Aptos" w:hAnsi="Aptos" w:eastAsia="Aptos"/>
                <w:color w:val="202A33"/>
                <w:sz w:val="19"/>
              </w:rPr>
              <w:t>4</w:t>
              <w:br/>
              <w:t>2026-10-16 05:59:49</w:t>
            </w:r>
          </w:p>
        </w:tc>
        <w:tc>
          <w:tcPr>
            <w:tcW w:type="dxa" w:w="1800"/>
            <w:tcMar>
              <w:top w:w="100" w:type="dxa"/>
              <w:start w:w="100" w:type="dxa"/>
              <w:bottom w:w="100" w:type="dxa"/>
              <w:end w:w="100" w:type="dxa"/>
            </w:tcMar>
            <w:vAlign w:val="center"/>
          </w:tcPr>
          <w:p>
            <w:pPr>
              <w:spacing w:after="20" w:line="250" w:lineRule="auto"/>
            </w:pPr>
            <w:r>
              <w:rPr>
                <w:rFonts w:ascii="Aptos" w:hAnsi="Aptos" w:eastAsia="Aptos"/>
                <w:color w:val="202A33"/>
                <w:sz w:val="19"/>
              </w:rPr>
              <w:t>5</w:t>
              <w:br/>
              <w:t>2026-10-16 05:59:51</w:t>
            </w:r>
          </w:p>
        </w:tc>
        <w:tc>
          <w:tcPr>
            <w:tcW w:type="dxa" w:w="1166"/>
            <w:tcMar>
              <w:top w:w="100" w:type="dxa"/>
              <w:start w:w="100" w:type="dxa"/>
              <w:bottom w:w="100" w:type="dxa"/>
              <w:end w:w="100" w:type="dxa"/>
            </w:tcMar>
            <w:vAlign w:val="center"/>
          </w:tcPr>
          <w:p>
            <w:pPr>
              <w:spacing w:after="20" w:line="250" w:lineRule="auto"/>
            </w:pPr>
            <w:r>
              <w:rPr>
                <w:rFonts w:ascii="Aptos" w:hAnsi="Aptos" w:eastAsia="Aptos"/>
                <w:color w:val="202A33"/>
                <w:sz w:val="19"/>
              </w:rPr>
              <w:t>VALID</w:t>
            </w:r>
          </w:p>
        </w:tc>
      </w:tr>
      <w:tr>
        <w:trPr>
          <w:cantSplit/>
        </w:trPr>
        <w:tc>
          <w:tcPr>
            <w:tcW w:type="dxa" w:w="244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contracting-strategy-readiness</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UAT-T1-P4-G1-contracting-strategy-readiness-R1 / r1</w:t>
            </w:r>
          </w:p>
        </w:tc>
        <w:tc>
          <w:tcPr>
            <w:tcW w:type="dxa" w:w="144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4</w:t>
              <w:br/>
              <w:t>2026-10-16 05:59:53</w:t>
            </w:r>
          </w:p>
        </w:tc>
        <w:tc>
          <w:tcPr>
            <w:tcW w:type="dxa" w:w="180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5</w:t>
              <w:br/>
              <w:t>2026-10-16 05:59:56</w:t>
            </w:r>
          </w:p>
        </w:tc>
        <w:tc>
          <w:tcPr>
            <w:tcW w:type="dxa" w:w="116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VALID</w:t>
            </w:r>
          </w:p>
        </w:tc>
      </w:tr>
      <w:tr>
        <w:trPr>
          <w:cantSplit/>
        </w:trPr>
        <w:tc>
          <w:tcPr>
            <w:tcW w:type="dxa" w:w="2448"/>
            <w:tcMar>
              <w:top w:w="100" w:type="dxa"/>
              <w:start w:w="100" w:type="dxa"/>
              <w:bottom w:w="100" w:type="dxa"/>
              <w:end w:w="100" w:type="dxa"/>
            </w:tcMar>
            <w:vAlign w:val="center"/>
          </w:tcPr>
          <w:p>
            <w:pPr>
              <w:spacing w:after="20" w:line="250" w:lineRule="auto"/>
            </w:pPr>
            <w:r>
              <w:rPr>
                <w:rFonts w:ascii="Aptos" w:hAnsi="Aptos" w:eastAsia="Aptos"/>
                <w:color w:val="202A33"/>
                <w:sz w:val="19"/>
              </w:rPr>
              <w:t>execution-plan-readiness</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UAT-T1-P4-G1-execution-plan-readiness-R1 / r1</w:t>
            </w:r>
          </w:p>
        </w:tc>
        <w:tc>
          <w:tcPr>
            <w:tcW w:type="dxa" w:w="1440"/>
            <w:tcMar>
              <w:top w:w="100" w:type="dxa"/>
              <w:start w:w="100" w:type="dxa"/>
              <w:bottom w:w="100" w:type="dxa"/>
              <w:end w:w="100" w:type="dxa"/>
            </w:tcMar>
            <w:vAlign w:val="center"/>
          </w:tcPr>
          <w:p>
            <w:pPr>
              <w:spacing w:after="20" w:line="250" w:lineRule="auto"/>
            </w:pPr>
            <w:r>
              <w:rPr>
                <w:rFonts w:ascii="Aptos" w:hAnsi="Aptos" w:eastAsia="Aptos"/>
                <w:color w:val="202A33"/>
                <w:sz w:val="19"/>
              </w:rPr>
              <w:t>4</w:t>
              <w:br/>
              <w:t>2026-10-16 05:59:58</w:t>
            </w:r>
          </w:p>
        </w:tc>
        <w:tc>
          <w:tcPr>
            <w:tcW w:type="dxa" w:w="1800"/>
            <w:tcMar>
              <w:top w:w="100" w:type="dxa"/>
              <w:start w:w="100" w:type="dxa"/>
              <w:bottom w:w="100" w:type="dxa"/>
              <w:end w:w="100" w:type="dxa"/>
            </w:tcMar>
            <w:vAlign w:val="center"/>
          </w:tcPr>
          <w:p>
            <w:pPr>
              <w:spacing w:after="20" w:line="250" w:lineRule="auto"/>
            </w:pPr>
            <w:r>
              <w:rPr>
                <w:rFonts w:ascii="Aptos" w:hAnsi="Aptos" w:eastAsia="Aptos"/>
                <w:color w:val="202A33"/>
                <w:sz w:val="19"/>
              </w:rPr>
              <w:t>5</w:t>
              <w:br/>
              <w:t>2026-10-16 06:00:01</w:t>
            </w:r>
          </w:p>
        </w:tc>
        <w:tc>
          <w:tcPr>
            <w:tcW w:type="dxa" w:w="1166"/>
            <w:tcMar>
              <w:top w:w="100" w:type="dxa"/>
              <w:start w:w="100" w:type="dxa"/>
              <w:bottom w:w="100" w:type="dxa"/>
              <w:end w:w="100" w:type="dxa"/>
            </w:tcMar>
            <w:vAlign w:val="center"/>
          </w:tcPr>
          <w:p>
            <w:pPr>
              <w:spacing w:after="20" w:line="250" w:lineRule="auto"/>
            </w:pPr>
            <w:r>
              <w:rPr>
                <w:rFonts w:ascii="Aptos" w:hAnsi="Aptos" w:eastAsia="Aptos"/>
                <w:color w:val="202A33"/>
                <w:sz w:val="19"/>
              </w:rPr>
              <w:t>VALID</w:t>
            </w:r>
          </w:p>
        </w:tc>
      </w:tr>
      <w:tr>
        <w:trPr>
          <w:cantSplit/>
        </w:trPr>
        <w:tc>
          <w:tcPr>
            <w:tcW w:type="dxa" w:w="244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schedule-maturity</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UAT-T1-P4-G1-schedule-maturity-R1 / r1</w:t>
            </w:r>
          </w:p>
        </w:tc>
        <w:tc>
          <w:tcPr>
            <w:tcW w:type="dxa" w:w="144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4</w:t>
              <w:br/>
              <w:t>2026-10-16 06:00:04</w:t>
            </w:r>
          </w:p>
        </w:tc>
        <w:tc>
          <w:tcPr>
            <w:tcW w:type="dxa" w:w="180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5</w:t>
              <w:br/>
              <w:t>2026-10-16 06:00:06</w:t>
            </w:r>
          </w:p>
        </w:tc>
        <w:tc>
          <w:tcPr>
            <w:tcW w:type="dxa" w:w="116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VALID</w:t>
            </w:r>
          </w:p>
        </w:tc>
      </w:tr>
    </w:tbl>
    <w:p>
      <w:pPr>
        <w:spacing w:after="20"/>
      </w:pPr>
    </w:p>
    <w:p>
      <w:pPr>
        <w:pStyle w:val="Heading1"/>
      </w:pPr>
      <w:r>
        <w:t>11 Vigencia y caducidad</w:t>
      </w:r>
    </w:p>
    <w:p>
      <w:r>
        <w:t>Se reprodujeron y corrigieron dos bypass: fecha futura y validez superior a la ventana capturada. Add y update los rechazan antes de persistir; validate conserva una defensa adicional. La caducidad legítima continúa produciendo EXPIRED y no aporta cobertura. Los paquetes frozen no se reinterpretan históricamente.</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92"/>
        <w:gridCol w:w="3168"/>
        <w:gridCol w:w="4406"/>
      </w:tblGrid>
      <w:tr>
        <w:trPr>
          <w:tblHeader w:val="true"/>
        </w:trPr>
        <w:tc>
          <w:tcPr>
            <w:tcW w:type="dxa" w:w="2592"/>
            <w:shd w:fill="17324D"/>
            <w:tcMar>
              <w:top w:w="100" w:type="dxa"/>
              <w:start w:w="100" w:type="dxa"/>
              <w:bottom w:w="100" w:type="dxa"/>
              <w:end w:w="100" w:type="dxa"/>
            </w:tcMar>
            <w:vAlign w:val="center"/>
          </w:tcPr>
          <w:p>
            <w:pPr>
              <w:keepNext/>
              <w:jc w:val="left"/>
            </w:pPr>
            <w:r>
              <w:rPr>
                <w:rFonts w:ascii="Aptos" w:hAnsi="Aptos" w:eastAsia="Aptos"/>
                <w:b/>
                <w:color w:val="FFFFFF"/>
                <w:sz w:val="19"/>
              </w:rPr>
              <w:t>Referencia UAT</w:t>
            </w:r>
          </w:p>
        </w:tc>
        <w:tc>
          <w:tcPr>
            <w:tcW w:type="dxa" w:w="3168"/>
            <w:shd w:fill="17324D"/>
            <w:tcMar>
              <w:top w:w="100" w:type="dxa"/>
              <w:start w:w="100" w:type="dxa"/>
              <w:bottom w:w="100" w:type="dxa"/>
              <w:end w:w="100" w:type="dxa"/>
            </w:tcMar>
            <w:vAlign w:val="center"/>
          </w:tcPr>
          <w:p>
            <w:pPr>
              <w:keepNext/>
              <w:jc w:val="left"/>
            </w:pPr>
            <w:r>
              <w:rPr>
                <w:rFonts w:ascii="Aptos" w:hAnsi="Aptos" w:eastAsia="Aptos"/>
                <w:b/>
                <w:color w:val="FFFFFF"/>
                <w:sz w:val="19"/>
              </w:rPr>
              <w:t>Fecha y validez UTC</w:t>
            </w:r>
          </w:p>
        </w:tc>
        <w:tc>
          <w:tcPr>
            <w:tcW w:type="dxa" w:w="4406"/>
            <w:shd w:fill="17324D"/>
            <w:tcMar>
              <w:top w:w="100" w:type="dxa"/>
              <w:start w:w="100" w:type="dxa"/>
              <w:bottom w:w="100" w:type="dxa"/>
              <w:end w:w="100" w:type="dxa"/>
            </w:tcMar>
            <w:vAlign w:val="center"/>
          </w:tcPr>
          <w:p>
            <w:pPr>
              <w:keepNext/>
              <w:jc w:val="left"/>
            </w:pPr>
            <w:r>
              <w:rPr>
                <w:rFonts w:ascii="Aptos" w:hAnsi="Aptos" w:eastAsia="Aptos"/>
                <w:b/>
                <w:color w:val="FFFFFF"/>
                <w:sz w:val="19"/>
              </w:rPr>
              <w:t>SHA256 del documento</w:t>
            </w:r>
          </w:p>
        </w:tc>
      </w:tr>
      <w:tr>
        <w:trPr>
          <w:cantSplit/>
        </w:trPr>
        <w:tc>
          <w:tcPr>
            <w:tcW w:type="dxa" w:w="2592"/>
            <w:tcMar>
              <w:top w:w="100" w:type="dxa"/>
              <w:start w:w="100" w:type="dxa"/>
              <w:bottom w:w="100" w:type="dxa"/>
              <w:end w:w="100" w:type="dxa"/>
            </w:tcMar>
            <w:vAlign w:val="center"/>
          </w:tcPr>
          <w:p>
            <w:pPr>
              <w:spacing w:after="20" w:line="250" w:lineRule="auto"/>
            </w:pPr>
            <w:r>
              <w:rPr>
                <w:rFonts w:ascii="Aptos" w:hAnsi="Aptos" w:eastAsia="Aptos"/>
                <w:color w:val="202A33"/>
                <w:sz w:val="19"/>
              </w:rPr>
              <w:t>UAT-T1-P4-G1-permit-readiness-R1</w:t>
            </w:r>
          </w:p>
        </w:tc>
        <w:tc>
          <w:tcPr>
            <w:tcW w:type="dxa" w:w="3168"/>
            <w:tcMar>
              <w:top w:w="100" w:type="dxa"/>
              <w:start w:w="100" w:type="dxa"/>
              <w:bottom w:w="100" w:type="dxa"/>
              <w:end w:w="100" w:type="dxa"/>
            </w:tcMar>
            <w:vAlign w:val="center"/>
          </w:tcPr>
          <w:p>
            <w:pPr>
              <w:spacing w:after="20" w:line="250" w:lineRule="auto"/>
            </w:pPr>
            <w:r>
              <w:rPr>
                <w:rFonts w:ascii="Aptos" w:hAnsi="Aptos" w:eastAsia="Aptos"/>
                <w:color w:val="202A33"/>
                <w:sz w:val="19"/>
              </w:rPr>
              <w:t>Evidencia 2026-10-16 05:59:49</w:t>
              <w:br/>
              <w:t>Límite 2027-04-14 05:59:49</w:t>
            </w:r>
          </w:p>
        </w:tc>
        <w:tc>
          <w:tcPr>
            <w:tcW w:type="dxa" w:w="4406"/>
            <w:tcMar>
              <w:top w:w="100" w:type="dxa"/>
              <w:start w:w="100" w:type="dxa"/>
              <w:bottom w:w="100" w:type="dxa"/>
              <w:end w:w="100" w:type="dxa"/>
            </w:tcMar>
            <w:vAlign w:val="center"/>
          </w:tcPr>
          <w:p>
            <w:pPr>
              <w:spacing w:after="20" w:line="250" w:lineRule="auto"/>
            </w:pPr>
            <w:r>
              <w:rPr>
                <w:rFonts w:ascii="Aptos" w:hAnsi="Aptos" w:eastAsia="Aptos"/>
                <w:color w:val="202A33"/>
                <w:sz w:val="19"/>
              </w:rPr>
              <w:t>9b19cb080698b2cacb1063083ab662bbdc22ab6b4616d89f409bbca54529edb0</w:t>
            </w:r>
          </w:p>
        </w:tc>
      </w:tr>
      <w:tr>
        <w:trPr>
          <w:cantSplit/>
        </w:trPr>
        <w:tc>
          <w:tcPr>
            <w:tcW w:type="dxa" w:w="25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UAT-T1-P4-G1-contracting-strategy-readiness-R1</w:t>
            </w:r>
          </w:p>
        </w:tc>
        <w:tc>
          <w:tcPr>
            <w:tcW w:type="dxa" w:w="316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Evidencia 2026-10-16 05:59:53</w:t>
              <w:br/>
              <w:t>Límite 2027-10-16 05:59:53</w:t>
            </w:r>
          </w:p>
        </w:tc>
        <w:tc>
          <w:tcPr>
            <w:tcW w:type="dxa" w:w="440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ede32b249776b6aa79621d319fe5bb10b32eb6f97a5b4d9df63f4536bbd9d69b</w:t>
            </w:r>
          </w:p>
        </w:tc>
      </w:tr>
      <w:tr>
        <w:trPr>
          <w:cantSplit/>
        </w:trPr>
        <w:tc>
          <w:tcPr>
            <w:tcW w:type="dxa" w:w="2592"/>
            <w:tcMar>
              <w:top w:w="100" w:type="dxa"/>
              <w:start w:w="100" w:type="dxa"/>
              <w:bottom w:w="100" w:type="dxa"/>
              <w:end w:w="100" w:type="dxa"/>
            </w:tcMar>
            <w:vAlign w:val="center"/>
          </w:tcPr>
          <w:p>
            <w:pPr>
              <w:spacing w:after="20" w:line="250" w:lineRule="auto"/>
            </w:pPr>
            <w:r>
              <w:rPr>
                <w:rFonts w:ascii="Aptos" w:hAnsi="Aptos" w:eastAsia="Aptos"/>
                <w:color w:val="202A33"/>
                <w:sz w:val="19"/>
              </w:rPr>
              <w:t>UAT-T1-P4-G1-execution-plan-readiness-R1</w:t>
            </w:r>
          </w:p>
        </w:tc>
        <w:tc>
          <w:tcPr>
            <w:tcW w:type="dxa" w:w="3168"/>
            <w:tcMar>
              <w:top w:w="100" w:type="dxa"/>
              <w:start w:w="100" w:type="dxa"/>
              <w:bottom w:w="100" w:type="dxa"/>
              <w:end w:w="100" w:type="dxa"/>
            </w:tcMar>
            <w:vAlign w:val="center"/>
          </w:tcPr>
          <w:p>
            <w:pPr>
              <w:spacing w:after="20" w:line="250" w:lineRule="auto"/>
            </w:pPr>
            <w:r>
              <w:rPr>
                <w:rFonts w:ascii="Aptos" w:hAnsi="Aptos" w:eastAsia="Aptos"/>
                <w:color w:val="202A33"/>
                <w:sz w:val="19"/>
              </w:rPr>
              <w:t>Evidencia 2026-10-16 05:59:58</w:t>
              <w:br/>
              <w:t>Límite 2027-10-16 05:59:58</w:t>
            </w:r>
          </w:p>
        </w:tc>
        <w:tc>
          <w:tcPr>
            <w:tcW w:type="dxa" w:w="4406"/>
            <w:tcMar>
              <w:top w:w="100" w:type="dxa"/>
              <w:start w:w="100" w:type="dxa"/>
              <w:bottom w:w="100" w:type="dxa"/>
              <w:end w:w="100" w:type="dxa"/>
            </w:tcMar>
            <w:vAlign w:val="center"/>
          </w:tcPr>
          <w:p>
            <w:pPr>
              <w:spacing w:after="20" w:line="250" w:lineRule="auto"/>
            </w:pPr>
            <w:r>
              <w:rPr>
                <w:rFonts w:ascii="Aptos" w:hAnsi="Aptos" w:eastAsia="Aptos"/>
                <w:color w:val="202A33"/>
                <w:sz w:val="19"/>
              </w:rPr>
              <w:t>acbbd92224eefff134573f51a8d08e76513aba78cc39c01549103c11f1a10db9</w:t>
            </w:r>
          </w:p>
        </w:tc>
      </w:tr>
      <w:tr>
        <w:trPr>
          <w:cantSplit/>
        </w:trPr>
        <w:tc>
          <w:tcPr>
            <w:tcW w:type="dxa" w:w="25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UAT-T1-P4-G1-schedule-maturity-R1</w:t>
            </w:r>
          </w:p>
        </w:tc>
        <w:tc>
          <w:tcPr>
            <w:tcW w:type="dxa" w:w="316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Evidencia 2026-10-16 06:00:04</w:t>
              <w:br/>
              <w:t>Límite 2027-04-14 06:00:04</w:t>
            </w:r>
          </w:p>
        </w:tc>
        <w:tc>
          <w:tcPr>
            <w:tcW w:type="dxa" w:w="440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21efdf7584a6c6256b920aa8ff9bc108ac5858baada0b6c4c11bdacf73251508</w:t>
            </w:r>
          </w:p>
        </w:tc>
      </w:tr>
    </w:tbl>
    <w:p>
      <w:pPr>
        <w:spacing w:after="20"/>
      </w:pPr>
    </w:p>
    <w:p>
      <w:pPr>
        <w:pStyle w:val="Heading1"/>
      </w:pPr>
      <w:r>
        <w:t>12 Cobertura de cada Project</w:t>
      </w:r>
    </w:p>
    <w:p>
      <w:r>
        <w:t>La cobertura capturada es 100.0%, con 1 de 1 Projects válidos. Las referencias apuntan al Project 4 y al hash real del conjunto recomendado. No se promedian omisiones ni se sustituye EACH_PROJECT por evidencia de Portfolio.</w:t>
      </w:r>
    </w:p>
    <w:p>
      <w:pPr>
        <w:pStyle w:val="Heading1"/>
      </w:pPr>
      <w:r>
        <w:t>13 Readiness A27</w:t>
      </w:r>
    </w:p>
    <w:p>
      <w:r>
        <w:t>Readiness capturada READY; cobertura 100.0%; cuatro Class B verificadas True.</w:t>
      </w:r>
    </w:p>
    <w:p>
      <w:pPr>
        <w:pStyle w:val="Heading1"/>
      </w:pPr>
      <w:r>
        <w:t>14 Conciliación de los diecinueve requisitos</w:t>
      </w:r>
    </w:p>
    <w:p>
      <w:r>
        <w:t>La matriz conserva 20 filas: 19 required, de las cuales 15 son VALID y cuatro permanecen MISSING no bloqueantes según la política: environmental-social-readiness, land-access-readiness, stakeholder-readiness y technical-assurance. La fila opcional Class C other-governed-evidence queda NOT_REQUIRED. No se declara 19 de 19 VALID ni se omiten advertencias. Fuente/as-of: checkpoint A27_ALL_REQUIREMENTS_RECONCILIATION del manifest, antes del freeze 2026-10-16T06:02:18.654001 UTC. A27 no expone timestamp propio. No es una lectura viva posterior a la activación; null currentness se muestra como No expone, no como False.</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320"/>
        <w:gridCol w:w="5846"/>
      </w:tblGrid>
      <w:tr>
        <w:trPr>
          <w:tblHeader w:val="true"/>
        </w:trPr>
        <w:tc>
          <w:tcPr>
            <w:tcW w:type="dxa" w:w="4320"/>
            <w:shd w:fill="17324D"/>
            <w:tcMar>
              <w:top w:w="100" w:type="dxa"/>
              <w:start w:w="100" w:type="dxa"/>
              <w:bottom w:w="100" w:type="dxa"/>
              <w:end w:w="100" w:type="dxa"/>
            </w:tcMar>
            <w:vAlign w:val="center"/>
          </w:tcPr>
          <w:p>
            <w:pPr>
              <w:keepNext/>
              <w:jc w:val="left"/>
            </w:pPr>
            <w:r>
              <w:rPr>
                <w:rFonts w:ascii="Aptos" w:hAnsi="Aptos" w:eastAsia="Aptos"/>
                <w:b/>
                <w:color w:val="FFFFFF"/>
                <w:sz w:val="19"/>
              </w:rPr>
              <w:t>Requisito y control</w:t>
            </w:r>
          </w:p>
        </w:tc>
        <w:tc>
          <w:tcPr>
            <w:tcW w:type="dxa" w:w="5846"/>
            <w:shd w:fill="17324D"/>
            <w:tcMar>
              <w:top w:w="100" w:type="dxa"/>
              <w:start w:w="100" w:type="dxa"/>
              <w:bottom w:w="100" w:type="dxa"/>
              <w:end w:w="100" w:type="dxa"/>
            </w:tcMar>
            <w:vAlign w:val="center"/>
          </w:tcPr>
          <w:p>
            <w:pPr>
              <w:keepNext/>
              <w:jc w:val="left"/>
            </w:pPr>
            <w:r>
              <w:rPr>
                <w:rFonts w:ascii="Aptos" w:hAnsi="Aptos" w:eastAsia="Aptos"/>
                <w:b/>
                <w:color w:val="FFFFFF"/>
                <w:sz w:val="19"/>
              </w:rPr>
              <w:t>Estado conciliado y cobertura</w:t>
            </w:r>
          </w:p>
        </w:tc>
      </w:tr>
      <w:tr>
        <w:trPr>
          <w:cantSplit/>
        </w:trPr>
        <w:tc>
          <w:tcPr>
            <w:tcW w:type="dxa" w:w="4320"/>
            <w:tcMar>
              <w:top w:w="100" w:type="dxa"/>
              <w:start w:w="100" w:type="dxa"/>
              <w:bottom w:w="100" w:type="dxa"/>
              <w:end w:w="100" w:type="dxa"/>
            </w:tcMar>
            <w:vAlign w:val="center"/>
          </w:tcPr>
          <w:p>
            <w:pPr>
              <w:spacing w:after="20" w:line="250" w:lineRule="auto"/>
            </w:pPr>
            <w:r>
              <w:rPr>
                <w:rFonts w:ascii="Aptos" w:hAnsi="Aptos" w:eastAsia="Aptos"/>
                <w:color w:val="202A33"/>
                <w:sz w:val="19"/>
              </w:rPr>
              <w:t>budget-feasibility</w:t>
              <w:br/>
              <w:t>Clase A · Required: Sí · Bloqueante: Sí</w:t>
              <w:br/>
              <w:t>Origen: GATE07G_BUDGET_FEASIBILITY</w:t>
            </w:r>
          </w:p>
        </w:tc>
        <w:tc>
          <w:tcPr>
            <w:tcW w:type="dxa" w:w="5846"/>
            <w:tcMar>
              <w:top w:w="100" w:type="dxa"/>
              <w:start w:w="100" w:type="dxa"/>
              <w:bottom w:w="100" w:type="dxa"/>
              <w:end w:w="100" w:type="dxa"/>
            </w:tcMar>
            <w:vAlign w:val="center"/>
          </w:tcPr>
          <w:p>
            <w:pPr>
              <w:spacing w:after="20" w:line="250" w:lineRule="auto"/>
            </w:pPr>
            <w:r>
              <w:rPr>
                <w:rFonts w:ascii="Aptos" w:hAnsi="Aptos" w:eastAsia="Aptos"/>
                <w:color w:val="202A33"/>
                <w:sz w:val="19"/>
              </w:rPr>
              <w:t>Estado: VALID</w:t>
              <w:br/>
              <w:t>Currentness: No expone (null)</w:t>
              <w:br/>
              <w:t>Cobertura: 100%; exigida: No expone (null)</w:t>
              <w:br/>
              <w:t>Razón: Fuente gobernada resuelta VALID; registro 1.</w:t>
              <w:br/>
              <w:t>Blockers: ninguno</w:t>
              <w:br/>
              <w:t>Warnings: ninguno</w:t>
            </w:r>
          </w:p>
        </w:tc>
      </w:tr>
      <w:tr>
        <w:trPr>
          <w:cantSplit/>
        </w:trPr>
        <w:tc>
          <w:tcPr>
            <w:tcW w:type="dxa" w:w="43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business-case-readiness</w:t>
              <w:br/>
              <w:t>Clase A · Required: Sí · Bloqueante: Sí</w:t>
              <w:br/>
              <w:t>Origen: BUSINESS_CASE_READINESS_PROVIDER</w:t>
            </w:r>
          </w:p>
        </w:tc>
        <w:tc>
          <w:tcPr>
            <w:tcW w:type="dxa" w:w="584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Estado: VALID</w:t>
              <w:br/>
              <w:t>Currentness: True</w:t>
              <w:br/>
              <w:t>Cobertura: 100%; exigida: 100.0%</w:t>
              <w:br/>
              <w:t>Razón: Fuente gobernada resuelta VALID; registro 2.</w:t>
              <w:br/>
              <w:t>Blockers: ninguno</w:t>
              <w:br/>
              <w:t>Warnings: economic_case:QRA_CONFIDENCE_NOT_AVAILABLE; management_case:BASIC_DATA_READINESS_NOT_AVAILABLE; management_case:OWNER_CAPABILITY_READINESS_NOT_AVAILABLE</w:t>
            </w:r>
          </w:p>
        </w:tc>
      </w:tr>
      <w:tr>
        <w:trPr>
          <w:cantSplit/>
        </w:trPr>
        <w:tc>
          <w:tcPr>
            <w:tcW w:type="dxa" w:w="4320"/>
            <w:tcMar>
              <w:top w:w="100" w:type="dxa"/>
              <w:start w:w="100" w:type="dxa"/>
              <w:bottom w:w="100" w:type="dxa"/>
              <w:end w:w="100" w:type="dxa"/>
            </w:tcMar>
            <w:vAlign w:val="center"/>
          </w:tcPr>
          <w:p>
            <w:pPr>
              <w:spacing w:after="20" w:line="250" w:lineRule="auto"/>
            </w:pPr>
            <w:r>
              <w:rPr>
                <w:rFonts w:ascii="Aptos" w:hAnsi="Aptos" w:eastAsia="Aptos"/>
                <w:color w:val="202A33"/>
                <w:sz w:val="19"/>
              </w:rPr>
              <w:t>contracting-strategy-readiness</w:t>
              <w:br/>
              <w:t>Clase B · Required: Sí · Bloqueante: Sí</w:t>
              <w:br/>
              <w:t>Origen: Referencia</w:t>
            </w:r>
          </w:p>
        </w:tc>
        <w:tc>
          <w:tcPr>
            <w:tcW w:type="dxa" w:w="5846"/>
            <w:tcMar>
              <w:top w:w="100" w:type="dxa"/>
              <w:start w:w="100" w:type="dxa"/>
              <w:bottom w:w="100" w:type="dxa"/>
              <w:end w:w="100" w:type="dxa"/>
            </w:tcMar>
            <w:vAlign w:val="center"/>
          </w:tcPr>
          <w:p>
            <w:pPr>
              <w:spacing w:after="20" w:line="250" w:lineRule="auto"/>
            </w:pPr>
            <w:r>
              <w:rPr>
                <w:rFonts w:ascii="Aptos" w:hAnsi="Aptos" w:eastAsia="Aptos"/>
                <w:color w:val="202A33"/>
                <w:sz w:val="19"/>
              </w:rPr>
              <w:t>Estado: VALID</w:t>
              <w:br/>
              <w:t>Currentness: True</w:t>
              <w:br/>
              <w:t>Cobertura: 100%; exigida: 100.0%</w:t>
              <w:br/>
              <w:t>Razón: Referencia VALID por revisor 5.</w:t>
              <w:br/>
              <w:t>Blockers: ninguno</w:t>
              <w:br/>
              <w:t>Warnings: ninguno</w:t>
            </w:r>
          </w:p>
        </w:tc>
      </w:tr>
      <w:tr>
        <w:trPr>
          <w:cantSplit/>
        </w:trPr>
        <w:tc>
          <w:tcPr>
            <w:tcW w:type="dxa" w:w="43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cost-estimate-maturity</w:t>
              <w:br/>
              <w:t>Clase A · Required: Sí · Bloqueante: Sí</w:t>
              <w:br/>
              <w:t>Origen: GATE07J_FEL_PROJECT_DEFINITION</w:t>
            </w:r>
          </w:p>
        </w:tc>
        <w:tc>
          <w:tcPr>
            <w:tcW w:type="dxa" w:w="584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Estado: VALID</w:t>
              <w:br/>
              <w:t>Currentness: True</w:t>
              <w:br/>
              <w:t>Cobertura: 100%; exigida: 100.0%</w:t>
              <w:br/>
              <w:t>Razón: Fuente gobernada resuelta VALID; registro 3.</w:t>
              <w:br/>
              <w:t>Blockers: ninguno</w:t>
              <w:br/>
              <w:t>Warnings: ninguno</w:t>
            </w:r>
          </w:p>
        </w:tc>
      </w:tr>
      <w:tr>
        <w:trPr>
          <w:cantSplit/>
        </w:trPr>
        <w:tc>
          <w:tcPr>
            <w:tcW w:type="dxa" w:w="4320"/>
            <w:tcMar>
              <w:top w:w="100" w:type="dxa"/>
              <w:start w:w="100" w:type="dxa"/>
              <w:bottom w:w="100" w:type="dxa"/>
              <w:end w:w="100" w:type="dxa"/>
            </w:tcMar>
            <w:vAlign w:val="center"/>
          </w:tcPr>
          <w:p>
            <w:pPr>
              <w:spacing w:after="20" w:line="250" w:lineRule="auto"/>
            </w:pPr>
            <w:r>
              <w:rPr>
                <w:rFonts w:ascii="Aptos" w:hAnsi="Aptos" w:eastAsia="Aptos"/>
                <w:color w:val="202A33"/>
                <w:sz w:val="19"/>
              </w:rPr>
              <w:t>economic-financial-readiness</w:t>
              <w:br/>
              <w:t>Clase A · Required: Sí · Bloqueante: Sí</w:t>
              <w:br/>
              <w:t>Origen: ECONOMIC_FINANCIAL_READINESS_PROVIDER</w:t>
            </w:r>
          </w:p>
        </w:tc>
        <w:tc>
          <w:tcPr>
            <w:tcW w:type="dxa" w:w="5846"/>
            <w:tcMar>
              <w:top w:w="100" w:type="dxa"/>
              <w:start w:w="100" w:type="dxa"/>
              <w:bottom w:w="100" w:type="dxa"/>
              <w:end w:w="100" w:type="dxa"/>
            </w:tcMar>
            <w:vAlign w:val="center"/>
          </w:tcPr>
          <w:p>
            <w:pPr>
              <w:spacing w:after="20" w:line="250" w:lineRule="auto"/>
            </w:pPr>
            <w:r>
              <w:rPr>
                <w:rFonts w:ascii="Aptos" w:hAnsi="Aptos" w:eastAsia="Aptos"/>
                <w:color w:val="202A33"/>
                <w:sz w:val="19"/>
              </w:rPr>
              <w:t>Estado: VALID</w:t>
              <w:br/>
              <w:t>Currentness: True</w:t>
              <w:br/>
              <w:t>Cobertura: 100%; exigida: 100.0%</w:t>
              <w:br/>
              <w:t>Razón: Fuente gobernada resuelta VALID; registro 1.</w:t>
              <w:br/>
              <w:t>Blockers: ninguno</w:t>
              <w:br/>
              <w:t>Warnings: EQUITY_IRR_IRR_NOT_UNIQUE</w:t>
            </w:r>
          </w:p>
        </w:tc>
      </w:tr>
      <w:tr>
        <w:trPr>
          <w:cantSplit/>
        </w:trPr>
        <w:tc>
          <w:tcPr>
            <w:tcW w:type="dxa" w:w="43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environmental-social-readiness</w:t>
              <w:br/>
              <w:t>Clase B · Required: Sí · Bloqueante: No</w:t>
              <w:br/>
              <w:t>Origen: Referencia</w:t>
            </w:r>
          </w:p>
        </w:tc>
        <w:tc>
          <w:tcPr>
            <w:tcW w:type="dxa" w:w="584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Estado: MISSING</w:t>
              <w:br/>
              <w:t>Currentness: No expone (null)</w:t>
              <w:br/>
              <w:t>Cobertura: 0%; exigida: 100.0%</w:t>
              <w:br/>
              <w:t>Razón: No hay referencia válida; no bloqueante por política.</w:t>
              <w:br/>
              <w:t>Blockers: ninguno</w:t>
              <w:br/>
              <w:t>Warnings: ninguno</w:t>
            </w:r>
          </w:p>
        </w:tc>
      </w:tr>
      <w:tr>
        <w:trPr>
          <w:cantSplit/>
        </w:trPr>
        <w:tc>
          <w:tcPr>
            <w:tcW w:type="dxa" w:w="4320"/>
            <w:tcMar>
              <w:top w:w="100" w:type="dxa"/>
              <w:start w:w="100" w:type="dxa"/>
              <w:bottom w:w="100" w:type="dxa"/>
              <w:end w:w="100" w:type="dxa"/>
            </w:tcMar>
            <w:vAlign w:val="center"/>
          </w:tcPr>
          <w:p>
            <w:pPr>
              <w:spacing w:after="20" w:line="250" w:lineRule="auto"/>
            </w:pPr>
            <w:r>
              <w:rPr>
                <w:rFonts w:ascii="Aptos" w:hAnsi="Aptos" w:eastAsia="Aptos"/>
                <w:color w:val="202A33"/>
                <w:sz w:val="19"/>
              </w:rPr>
              <w:t>execution-plan-readiness</w:t>
              <w:br/>
              <w:t>Clase B · Required: Sí · Bloqueante: Sí</w:t>
              <w:br/>
              <w:t>Origen: Referencia</w:t>
            </w:r>
          </w:p>
        </w:tc>
        <w:tc>
          <w:tcPr>
            <w:tcW w:type="dxa" w:w="5846"/>
            <w:tcMar>
              <w:top w:w="100" w:type="dxa"/>
              <w:start w:w="100" w:type="dxa"/>
              <w:bottom w:w="100" w:type="dxa"/>
              <w:end w:w="100" w:type="dxa"/>
            </w:tcMar>
            <w:vAlign w:val="center"/>
          </w:tcPr>
          <w:p>
            <w:pPr>
              <w:spacing w:after="20" w:line="250" w:lineRule="auto"/>
            </w:pPr>
            <w:r>
              <w:rPr>
                <w:rFonts w:ascii="Aptos" w:hAnsi="Aptos" w:eastAsia="Aptos"/>
                <w:color w:val="202A33"/>
                <w:sz w:val="19"/>
              </w:rPr>
              <w:t>Estado: VALID</w:t>
              <w:br/>
              <w:t>Currentness: True</w:t>
              <w:br/>
              <w:t>Cobertura: 100%; exigida: 100.0%</w:t>
              <w:br/>
              <w:t>Razón: Referencia VALID por revisor 5.</w:t>
              <w:br/>
              <w:t>Blockers: ninguno</w:t>
              <w:br/>
              <w:t>Warnings: ninguno</w:t>
            </w:r>
          </w:p>
        </w:tc>
      </w:tr>
      <w:tr>
        <w:trPr>
          <w:cantSplit/>
        </w:trPr>
        <w:tc>
          <w:tcPr>
            <w:tcW w:type="dxa" w:w="43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fel-stage-readiness</w:t>
              <w:br/>
              <w:t>Clase A · Required: Sí · Bloqueante: Sí</w:t>
              <w:br/>
              <w:t>Origen: GATE07J_FEL_PROJECT_DEFINITION</w:t>
            </w:r>
          </w:p>
        </w:tc>
        <w:tc>
          <w:tcPr>
            <w:tcW w:type="dxa" w:w="584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Estado: VALID</w:t>
              <w:br/>
              <w:t>Currentness: True</w:t>
              <w:br/>
              <w:t>Cobertura: 100%; exigida: 100.0%</w:t>
              <w:br/>
              <w:t>Razón: Fuente gobernada resuelta VALID; registro 3.</w:t>
              <w:br/>
              <w:t>Blockers: ninguno</w:t>
              <w:br/>
              <w:t>Warnings: ninguno</w:t>
            </w:r>
          </w:p>
        </w:tc>
      </w:tr>
      <w:tr>
        <w:trPr>
          <w:cantSplit/>
        </w:trPr>
        <w:tc>
          <w:tcPr>
            <w:tcW w:type="dxa" w:w="4320"/>
            <w:tcMar>
              <w:top w:w="100" w:type="dxa"/>
              <w:start w:w="100" w:type="dxa"/>
              <w:bottom w:w="100" w:type="dxa"/>
              <w:end w:w="100" w:type="dxa"/>
            </w:tcMar>
            <w:vAlign w:val="center"/>
          </w:tcPr>
          <w:p>
            <w:pPr>
              <w:spacing w:after="20" w:line="250" w:lineRule="auto"/>
            </w:pPr>
            <w:r>
              <w:rPr>
                <w:rFonts w:ascii="Aptos" w:hAnsi="Aptos" w:eastAsia="Aptos"/>
                <w:color w:val="202A33"/>
                <w:sz w:val="19"/>
              </w:rPr>
              <w:t>funding-readiness</w:t>
              <w:br/>
              <w:t>Clase A · Required: Sí · Bloqueante: Sí</w:t>
              <w:br/>
              <w:t>Origen: GATE07J_FUND_FUNDING_READINESS</w:t>
            </w:r>
          </w:p>
        </w:tc>
        <w:tc>
          <w:tcPr>
            <w:tcW w:type="dxa" w:w="5846"/>
            <w:tcMar>
              <w:top w:w="100" w:type="dxa"/>
              <w:start w:w="100" w:type="dxa"/>
              <w:bottom w:w="100" w:type="dxa"/>
              <w:end w:w="100" w:type="dxa"/>
            </w:tcMar>
            <w:vAlign w:val="center"/>
          </w:tcPr>
          <w:p>
            <w:pPr>
              <w:spacing w:after="20" w:line="250" w:lineRule="auto"/>
            </w:pPr>
            <w:r>
              <w:rPr>
                <w:rFonts w:ascii="Aptos" w:hAnsi="Aptos" w:eastAsia="Aptos"/>
                <w:color w:val="202A33"/>
                <w:sz w:val="19"/>
              </w:rPr>
              <w:t>Estado: VALID</w:t>
              <w:br/>
              <w:t>Currentness: True</w:t>
              <w:br/>
              <w:t>Cobertura: 100%; exigida: No expone (null)</w:t>
              <w:br/>
              <w:t>Razón: Fuente gobernada resuelta VALID; registro 1.</w:t>
              <w:br/>
              <w:t>Blockers: ninguno</w:t>
              <w:br/>
              <w:t>Warnings: ninguno</w:t>
            </w:r>
          </w:p>
        </w:tc>
      </w:tr>
      <w:tr>
        <w:trPr>
          <w:cantSplit/>
        </w:trPr>
        <w:tc>
          <w:tcPr>
            <w:tcW w:type="dxa" w:w="43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land-access-readiness</w:t>
              <w:br/>
              <w:t>Clase B · Required: Sí · Bloqueante: No</w:t>
              <w:br/>
              <w:t>Origen: Referencia</w:t>
            </w:r>
          </w:p>
        </w:tc>
        <w:tc>
          <w:tcPr>
            <w:tcW w:type="dxa" w:w="584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Estado: MISSING</w:t>
              <w:br/>
              <w:t>Currentness: No expone (null)</w:t>
              <w:br/>
              <w:t>Cobertura: 0%; exigida: 100.0%</w:t>
              <w:br/>
              <w:t>Razón: No hay referencia válida; no bloqueante por política.</w:t>
              <w:br/>
              <w:t>Blockers: ninguno</w:t>
              <w:br/>
              <w:t>Warnings: ninguno</w:t>
            </w:r>
          </w:p>
        </w:tc>
      </w:tr>
      <w:tr>
        <w:trPr>
          <w:cantSplit/>
        </w:trPr>
        <w:tc>
          <w:tcPr>
            <w:tcW w:type="dxa" w:w="4320"/>
            <w:tcMar>
              <w:top w:w="100" w:type="dxa"/>
              <w:start w:w="100" w:type="dxa"/>
              <w:bottom w:w="100" w:type="dxa"/>
              <w:end w:w="100" w:type="dxa"/>
            </w:tcMar>
            <w:vAlign w:val="center"/>
          </w:tcPr>
          <w:p>
            <w:pPr>
              <w:spacing w:after="20" w:line="250" w:lineRule="auto"/>
            </w:pPr>
            <w:r>
              <w:rPr>
                <w:rFonts w:ascii="Aptos" w:hAnsi="Aptos" w:eastAsia="Aptos"/>
                <w:color w:val="202A33"/>
                <w:sz w:val="19"/>
              </w:rPr>
              <w:t>other-governed-evidence</w:t>
              <w:br/>
              <w:t>Clase C · Required: No · Bloqueante: No</w:t>
              <w:br/>
              <w:t>Origen: Referencia</w:t>
            </w:r>
          </w:p>
        </w:tc>
        <w:tc>
          <w:tcPr>
            <w:tcW w:type="dxa" w:w="5846"/>
            <w:tcMar>
              <w:top w:w="100" w:type="dxa"/>
              <w:start w:w="100" w:type="dxa"/>
              <w:bottom w:w="100" w:type="dxa"/>
              <w:end w:w="100" w:type="dxa"/>
            </w:tcMar>
            <w:vAlign w:val="center"/>
          </w:tcPr>
          <w:p>
            <w:pPr>
              <w:spacing w:after="20" w:line="250" w:lineRule="auto"/>
            </w:pPr>
            <w:r>
              <w:rPr>
                <w:rFonts w:ascii="Aptos" w:hAnsi="Aptos" w:eastAsia="Aptos"/>
                <w:color w:val="202A33"/>
                <w:sz w:val="19"/>
              </w:rPr>
              <w:t>Estado: NOT_REQUIRED</w:t>
              <w:br/>
              <w:t>Currentness: No expone (null)</w:t>
              <w:br/>
              <w:t>Cobertura: 100%; exigida: No expone (null)</w:t>
              <w:br/>
              <w:t>Razón: Requisito opcional, required=False.</w:t>
              <w:br/>
              <w:t>Blockers: ninguno</w:t>
              <w:br/>
              <w:t>Warnings: ninguno</w:t>
            </w:r>
          </w:p>
        </w:tc>
      </w:tr>
      <w:tr>
        <w:trPr>
          <w:cantSplit/>
        </w:trPr>
        <w:tc>
          <w:tcPr>
            <w:tcW w:type="dxa" w:w="43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pdri-or-definition-assessment</w:t>
              <w:br/>
              <w:t>Clase A · Required: Sí · Bloqueante: Sí</w:t>
              <w:br/>
              <w:t>Origen: GATE07J_FEL_PROJECT_DEFINITION</w:t>
            </w:r>
          </w:p>
        </w:tc>
        <w:tc>
          <w:tcPr>
            <w:tcW w:type="dxa" w:w="584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Estado: VALID</w:t>
              <w:br/>
              <w:t>Currentness: True</w:t>
              <w:br/>
              <w:t>Cobertura: 100%; exigida: 100.0%</w:t>
              <w:br/>
              <w:t>Razón: Fuente gobernada resuelta VALID; registro 3.</w:t>
              <w:br/>
              <w:t>Blockers: ninguno</w:t>
              <w:br/>
              <w:t>Warnings: ninguno</w:t>
            </w:r>
          </w:p>
        </w:tc>
      </w:tr>
      <w:tr>
        <w:trPr>
          <w:cantSplit/>
        </w:trPr>
        <w:tc>
          <w:tcPr>
            <w:tcW w:type="dxa" w:w="4320"/>
            <w:tcMar>
              <w:top w:w="100" w:type="dxa"/>
              <w:start w:w="100" w:type="dxa"/>
              <w:bottom w:w="100" w:type="dxa"/>
              <w:end w:w="100" w:type="dxa"/>
            </w:tcMar>
            <w:vAlign w:val="center"/>
          </w:tcPr>
          <w:p>
            <w:pPr>
              <w:spacing w:after="20" w:line="250" w:lineRule="auto"/>
            </w:pPr>
            <w:r>
              <w:rPr>
                <w:rFonts w:ascii="Aptos" w:hAnsi="Aptos" w:eastAsia="Aptos"/>
                <w:color w:val="202A33"/>
                <w:sz w:val="19"/>
              </w:rPr>
              <w:t>permit-readiness</w:t>
              <w:br/>
              <w:t>Clase B · Required: Sí · Bloqueante: Sí</w:t>
              <w:br/>
              <w:t>Origen: Referencia</w:t>
            </w:r>
          </w:p>
        </w:tc>
        <w:tc>
          <w:tcPr>
            <w:tcW w:type="dxa" w:w="5846"/>
            <w:tcMar>
              <w:top w:w="100" w:type="dxa"/>
              <w:start w:w="100" w:type="dxa"/>
              <w:bottom w:w="100" w:type="dxa"/>
              <w:end w:w="100" w:type="dxa"/>
            </w:tcMar>
            <w:vAlign w:val="center"/>
          </w:tcPr>
          <w:p>
            <w:pPr>
              <w:spacing w:after="20" w:line="250" w:lineRule="auto"/>
            </w:pPr>
            <w:r>
              <w:rPr>
                <w:rFonts w:ascii="Aptos" w:hAnsi="Aptos" w:eastAsia="Aptos"/>
                <w:color w:val="202A33"/>
                <w:sz w:val="19"/>
              </w:rPr>
              <w:t>Estado: VALID</w:t>
              <w:br/>
              <w:t>Currentness: True</w:t>
              <w:br/>
              <w:t>Cobertura: 100%; exigida: 100.0%</w:t>
              <w:br/>
              <w:t>Razón: Referencia VALID por revisor 5.</w:t>
              <w:br/>
              <w:t>Blockers: ninguno</w:t>
              <w:br/>
              <w:t>Warnings: ninguno</w:t>
            </w:r>
          </w:p>
        </w:tc>
      </w:tr>
      <w:tr>
        <w:trPr>
          <w:cantSplit/>
        </w:trPr>
        <w:tc>
          <w:tcPr>
            <w:tcW w:type="dxa" w:w="43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portfolio-recommendation</w:t>
              <w:br/>
              <w:t>Clase A · Required: Sí · Bloqueante: Sí</w:t>
              <w:br/>
              <w:t>Origen: GATE07I_PORTFOLIO_RECOMMENDATION</w:t>
            </w:r>
          </w:p>
        </w:tc>
        <w:tc>
          <w:tcPr>
            <w:tcW w:type="dxa" w:w="584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Estado: VALID</w:t>
              <w:br/>
              <w:t>Currentness: No expone (null)</w:t>
              <w:br/>
              <w:t>Cobertura: 100%; exigida: No expone (null)</w:t>
              <w:br/>
              <w:t>Razón: Fuente gobernada resuelta VALID; registro 1.</w:t>
              <w:br/>
              <w:t>Blockers: ninguno</w:t>
              <w:br/>
              <w:t>Warnings: ninguno</w:t>
            </w:r>
          </w:p>
        </w:tc>
      </w:tr>
      <w:tr>
        <w:trPr>
          <w:cantSplit/>
        </w:trPr>
        <w:tc>
          <w:tcPr>
            <w:tcW w:type="dxa" w:w="4320"/>
            <w:tcMar>
              <w:top w:w="100" w:type="dxa"/>
              <w:start w:w="100" w:type="dxa"/>
              <w:bottom w:w="100" w:type="dxa"/>
              <w:end w:w="100" w:type="dxa"/>
            </w:tcMar>
            <w:vAlign w:val="center"/>
          </w:tcPr>
          <w:p>
            <w:pPr>
              <w:spacing w:after="20" w:line="250" w:lineRule="auto"/>
            </w:pPr>
            <w:r>
              <w:rPr>
                <w:rFonts w:ascii="Aptos" w:hAnsi="Aptos" w:eastAsia="Aptos"/>
                <w:color w:val="202A33"/>
                <w:sz w:val="19"/>
              </w:rPr>
              <w:t>project-definition-readiness</w:t>
              <w:br/>
              <w:t>Clase A · Required: Sí · Bloqueante: Sí</w:t>
              <w:br/>
              <w:t>Origen: GATE07J_FEL_PROJECT_DEFINITION</w:t>
            </w:r>
          </w:p>
        </w:tc>
        <w:tc>
          <w:tcPr>
            <w:tcW w:type="dxa" w:w="5846"/>
            <w:tcMar>
              <w:top w:w="100" w:type="dxa"/>
              <w:start w:w="100" w:type="dxa"/>
              <w:bottom w:w="100" w:type="dxa"/>
              <w:end w:w="100" w:type="dxa"/>
            </w:tcMar>
            <w:vAlign w:val="center"/>
          </w:tcPr>
          <w:p>
            <w:pPr>
              <w:spacing w:after="20" w:line="250" w:lineRule="auto"/>
            </w:pPr>
            <w:r>
              <w:rPr>
                <w:rFonts w:ascii="Aptos" w:hAnsi="Aptos" w:eastAsia="Aptos"/>
                <w:color w:val="202A33"/>
                <w:sz w:val="19"/>
              </w:rPr>
              <w:t>Estado: VALID</w:t>
              <w:br/>
              <w:t>Currentness: True</w:t>
              <w:br/>
              <w:t>Cobertura: 100%; exigida: 100.0%</w:t>
              <w:br/>
              <w:t>Razón: Fuente gobernada resuelta VALID; registro 3.</w:t>
              <w:br/>
              <w:t>Blockers: ninguno</w:t>
              <w:br/>
              <w:t>Warnings: ninguno</w:t>
            </w:r>
          </w:p>
        </w:tc>
      </w:tr>
      <w:tr>
        <w:trPr>
          <w:cantSplit/>
        </w:trPr>
        <w:tc>
          <w:tcPr>
            <w:tcW w:type="dxa" w:w="43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resource-feasibility</w:t>
              <w:br/>
              <w:t>Clase A · Required: Sí · Bloqueante: Sí</w:t>
              <w:br/>
              <w:t>Origen: GATE07H_RESOURCE_FEASIBILITY</w:t>
            </w:r>
          </w:p>
        </w:tc>
        <w:tc>
          <w:tcPr>
            <w:tcW w:type="dxa" w:w="584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Estado: VALID</w:t>
              <w:br/>
              <w:t>Currentness: No expone (null)</w:t>
              <w:br/>
              <w:t>Cobertura: 100%; exigida: No expone (null)</w:t>
              <w:br/>
              <w:t>Razón: Fuente gobernada resuelta VALID; registro 1.</w:t>
              <w:br/>
              <w:t>Blockers: ninguno</w:t>
              <w:br/>
              <w:t>Warnings: ninguno</w:t>
            </w:r>
          </w:p>
        </w:tc>
      </w:tr>
      <w:tr>
        <w:trPr>
          <w:cantSplit/>
        </w:trPr>
        <w:tc>
          <w:tcPr>
            <w:tcW w:type="dxa" w:w="4320"/>
            <w:tcMar>
              <w:top w:w="100" w:type="dxa"/>
              <w:start w:w="100" w:type="dxa"/>
              <w:bottom w:w="100" w:type="dxa"/>
              <w:end w:w="100" w:type="dxa"/>
            </w:tcMar>
            <w:vAlign w:val="center"/>
          </w:tcPr>
          <w:p>
            <w:pPr>
              <w:spacing w:after="20" w:line="250" w:lineRule="auto"/>
            </w:pPr>
            <w:r>
              <w:rPr>
                <w:rFonts w:ascii="Aptos" w:hAnsi="Aptos" w:eastAsia="Aptos"/>
                <w:color w:val="202A33"/>
                <w:sz w:val="19"/>
              </w:rPr>
              <w:t>risk-readiness</w:t>
              <w:br/>
              <w:t>Clase A · Required: Sí · Bloqueante: Sí</w:t>
              <w:br/>
              <w:t>Origen: RISK_READINESS_PROVIDER</w:t>
            </w:r>
          </w:p>
        </w:tc>
        <w:tc>
          <w:tcPr>
            <w:tcW w:type="dxa" w:w="5846"/>
            <w:tcMar>
              <w:top w:w="100" w:type="dxa"/>
              <w:start w:w="100" w:type="dxa"/>
              <w:bottom w:w="100" w:type="dxa"/>
              <w:end w:w="100" w:type="dxa"/>
            </w:tcMar>
            <w:vAlign w:val="center"/>
          </w:tcPr>
          <w:p>
            <w:pPr>
              <w:spacing w:after="20" w:line="250" w:lineRule="auto"/>
            </w:pPr>
            <w:r>
              <w:rPr>
                <w:rFonts w:ascii="Aptos" w:hAnsi="Aptos" w:eastAsia="Aptos"/>
                <w:color w:val="202A33"/>
                <w:sz w:val="19"/>
              </w:rPr>
              <w:t>Estado: VALID</w:t>
              <w:br/>
              <w:t>Currentness: True</w:t>
              <w:br/>
              <w:t>Cobertura: 100%; exigida: 100.0%</w:t>
              <w:br/>
              <w:t>Razón: Fuente gobernada resuelta VALID; registro RISK-READINESS:2683b7724708f1ae59ad207cf6a489ff67c8de6842d02fb9beb49a8046fd0b27.</w:t>
              <w:br/>
              <w:t>Blockers: ninguno</w:t>
              <w:br/>
              <w:t>Warnings: ninguno</w:t>
            </w:r>
          </w:p>
        </w:tc>
      </w:tr>
      <w:tr>
        <w:trPr>
          <w:cantSplit/>
        </w:trPr>
        <w:tc>
          <w:tcPr>
            <w:tcW w:type="dxa" w:w="43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schedule-maturity</w:t>
              <w:br/>
              <w:t>Clase B · Required: Sí · Bloqueante: Sí</w:t>
              <w:br/>
              <w:t>Origen: Referencia</w:t>
            </w:r>
          </w:p>
        </w:tc>
        <w:tc>
          <w:tcPr>
            <w:tcW w:type="dxa" w:w="584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Estado: VALID</w:t>
              <w:br/>
              <w:t>Currentness: True</w:t>
              <w:br/>
              <w:t>Cobertura: 100%; exigida: 100.0%</w:t>
              <w:br/>
              <w:t>Razón: Referencia VALID por revisor 5.</w:t>
              <w:br/>
              <w:t>Blockers: ninguno</w:t>
              <w:br/>
              <w:t>Warnings: ninguno</w:t>
            </w:r>
          </w:p>
        </w:tc>
      </w:tr>
      <w:tr>
        <w:trPr>
          <w:cantSplit/>
        </w:trPr>
        <w:tc>
          <w:tcPr>
            <w:tcW w:type="dxa" w:w="4320"/>
            <w:tcMar>
              <w:top w:w="100" w:type="dxa"/>
              <w:start w:w="100" w:type="dxa"/>
              <w:bottom w:w="100" w:type="dxa"/>
              <w:end w:w="100" w:type="dxa"/>
            </w:tcMar>
            <w:vAlign w:val="center"/>
          </w:tcPr>
          <w:p>
            <w:pPr>
              <w:spacing w:after="20" w:line="250" w:lineRule="auto"/>
            </w:pPr>
            <w:r>
              <w:rPr>
                <w:rFonts w:ascii="Aptos" w:hAnsi="Aptos" w:eastAsia="Aptos"/>
                <w:color w:val="202A33"/>
                <w:sz w:val="19"/>
              </w:rPr>
              <w:t>stakeholder-readiness</w:t>
              <w:br/>
              <w:t>Clase B · Required: Sí · Bloqueante: No</w:t>
              <w:br/>
              <w:t>Origen: Referencia</w:t>
            </w:r>
          </w:p>
        </w:tc>
        <w:tc>
          <w:tcPr>
            <w:tcW w:type="dxa" w:w="5846"/>
            <w:tcMar>
              <w:top w:w="100" w:type="dxa"/>
              <w:start w:w="100" w:type="dxa"/>
              <w:bottom w:w="100" w:type="dxa"/>
              <w:end w:w="100" w:type="dxa"/>
            </w:tcMar>
            <w:vAlign w:val="center"/>
          </w:tcPr>
          <w:p>
            <w:pPr>
              <w:spacing w:after="20" w:line="250" w:lineRule="auto"/>
            </w:pPr>
            <w:r>
              <w:rPr>
                <w:rFonts w:ascii="Aptos" w:hAnsi="Aptos" w:eastAsia="Aptos"/>
                <w:color w:val="202A33"/>
                <w:sz w:val="19"/>
              </w:rPr>
              <w:t>Estado: MISSING</w:t>
              <w:br/>
              <w:t>Currentness: No expone (null)</w:t>
              <w:br/>
              <w:t>Cobertura: 0%; exigida: 100.0%</w:t>
              <w:br/>
              <w:t>Razón: No hay referencia válida; no bloqueante por política.</w:t>
              <w:br/>
              <w:t>Blockers: ninguno</w:t>
              <w:br/>
              <w:t>Warnings: ninguno</w:t>
            </w:r>
          </w:p>
        </w:tc>
      </w:tr>
      <w:tr>
        <w:trPr>
          <w:cantSplit/>
        </w:trPr>
        <w:tc>
          <w:tcPr>
            <w:tcW w:type="dxa" w:w="43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technical-assurance</w:t>
              <w:br/>
              <w:t>Clase B · Required: Sí · Bloqueante: No</w:t>
              <w:br/>
              <w:t>Origen: Referencia</w:t>
            </w:r>
          </w:p>
        </w:tc>
        <w:tc>
          <w:tcPr>
            <w:tcW w:type="dxa" w:w="584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Estado: MISSING</w:t>
              <w:br/>
              <w:t>Currentness: No expone (null)</w:t>
              <w:br/>
              <w:t>Cobertura: 0%; exigida: 100.0%</w:t>
              <w:br/>
              <w:t>Razón: No hay referencia válida; no bloqueante por política.</w:t>
              <w:br/>
              <w:t>Blockers: ninguno</w:t>
              <w:br/>
              <w:t>Warnings: ninguno</w:t>
            </w:r>
          </w:p>
        </w:tc>
      </w:tr>
    </w:tbl>
    <w:p>
      <w:pPr>
        <w:spacing w:after="20"/>
      </w:pPr>
    </w:p>
    <w:p>
      <w:pPr>
        <w:pStyle w:val="Heading1"/>
      </w:pPr>
      <w:r>
        <w:t>15 Consistencia entre Business Case y Gate</w:t>
      </w:r>
    </w:p>
    <w:p>
      <w:r>
        <w:t>Consistencia antes del freeze comprobada True; situación actual Post-FID NO_REACTIVATION_REQUIRED, source_current=True. Se conservan los IDs y hashes capturados de Business Case, FIN, Benefits, Commercial, FEL, Risk, Funding, Permit y QRA cuando aplica. Las nuevas referencias controladas no sustituyen esas fuentes.</w:t>
      </w:r>
    </w:p>
    <w:p>
      <w:pPr>
        <w:pStyle w:val="Heading1"/>
      </w:pPr>
      <w:r>
        <w:t>16 Paquete frozen A29</w:t>
      </w:r>
    </w:p>
    <w:p>
      <w:r>
        <w:t>Paquete 1 FROZEN; hash a43ef7a9362c102f0eb0d878d53b388379b4410c5b1e55d364b49c35f3999583. Freeze no es FID. La instantánea incluye perfil, política, criterios, evidencias, validaciones, ámbito y fuentes. El handoff mantiene can_enter_fid=false; la autoridad formal permanece en Gate07K.</w:t>
      </w:r>
    </w:p>
    <w:p>
      <w:pPr>
        <w:pStyle w:val="Heading1"/>
      </w:pPr>
      <w:r>
        <w:t>17 Inmutabilidad del paquete</w:t>
      </w:r>
    </w:p>
    <w:p>
      <w:r>
        <w:t>La prueba enfocada de sucesor controlado forma parte de la corrida Class B 29 PASS / 0 FAIL / 0 ERROR / 0 SKIP. En una fixture mínima aislada se clonó el paquete, actualizó y validó la referencia sucesora por comandos oficiales; el modelo íntegro del paquete frozen original permaneció idéntico. Esta prueba no altera las fuentes de la cadena seleccionada.</w:t>
      </w:r>
    </w:p>
    <w:p>
      <w:pPr>
        <w:pStyle w:val="Heading1"/>
      </w:pPr>
      <w:r>
        <w:t>18 Decisión FID A30</w:t>
      </w:r>
    </w:p>
    <w:p>
      <w:r>
        <w:t>Decisión 1 DECIDED / GO; PYP-FFA, is_fid=True; sin activación automática. La autoridad registrada es el actor 11, distinto del preparador y del revisor. Se conserva la ronda 1 y la fecha 2026-10-16T06:02:26.830631 UTC como decisión histórica real.</w:t>
      </w:r>
    </w:p>
    <w:p>
      <w:pPr>
        <w:pStyle w:val="Heading1"/>
      </w:pPr>
      <w:r>
        <w:t>19 Indicadores y hashes FID</w:t>
      </w:r>
    </w:p>
    <w:p>
      <w:r>
        <w:t>is_fid=True, investment_authorized=True, full_funds_authorized=True y can_activate_project=False. El hash de decisión y el hash del paquete fuente se conservan en la tabla de trazabilidad. El registro DECIDED no se borra cuando una evaluación de currentness posterior detecta un bloqueo.</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600"/>
        <w:gridCol w:w="6566"/>
      </w:tblGrid>
      <w:tr>
        <w:trPr>
          <w:tblHeader w:val="true"/>
        </w:trPr>
        <w:tc>
          <w:tcPr>
            <w:tcW w:type="dxa" w:w="3600"/>
            <w:shd w:fill="17324D"/>
            <w:tcMar>
              <w:top w:w="100" w:type="dxa"/>
              <w:start w:w="100" w:type="dxa"/>
              <w:bottom w:w="100" w:type="dxa"/>
              <w:end w:w="100" w:type="dxa"/>
            </w:tcMar>
            <w:vAlign w:val="center"/>
          </w:tcPr>
          <w:p>
            <w:pPr>
              <w:keepNext/>
              <w:jc w:val="left"/>
            </w:pPr>
            <w:r>
              <w:rPr>
                <w:rFonts w:ascii="Aptos" w:hAnsi="Aptos" w:eastAsia="Aptos"/>
                <w:b/>
                <w:color w:val="FFFFFF"/>
                <w:sz w:val="19"/>
              </w:rPr>
              <w:t>Referencia</w:t>
            </w:r>
          </w:p>
        </w:tc>
        <w:tc>
          <w:tcPr>
            <w:tcW w:type="dxa" w:w="6566"/>
            <w:shd w:fill="17324D"/>
            <w:tcMar>
              <w:top w:w="100" w:type="dxa"/>
              <w:start w:w="100" w:type="dxa"/>
              <w:bottom w:w="100" w:type="dxa"/>
              <w:end w:w="100" w:type="dxa"/>
            </w:tcMar>
            <w:vAlign w:val="center"/>
          </w:tcPr>
          <w:p>
            <w:pPr>
              <w:keepNext/>
              <w:jc w:val="left"/>
            </w:pPr>
            <w:r>
              <w:rPr>
                <w:rFonts w:ascii="Aptos" w:hAnsi="Aptos" w:eastAsia="Aptos"/>
                <w:b/>
                <w:color w:val="FFFFFF"/>
                <w:sz w:val="19"/>
              </w:rPr>
              <w:t>Hash capturado</w:t>
            </w:r>
          </w:p>
        </w:tc>
      </w:tr>
      <w:tr>
        <w:trPr>
          <w:cantSplit/>
        </w:trPr>
        <w:tc>
          <w:tcPr>
            <w:tcW w:type="dxa" w:w="3600"/>
            <w:tcMar>
              <w:top w:w="100" w:type="dxa"/>
              <w:start w:w="100" w:type="dxa"/>
              <w:bottom w:w="100" w:type="dxa"/>
              <w:end w:w="100" w:type="dxa"/>
            </w:tcMar>
            <w:vAlign w:val="center"/>
          </w:tcPr>
          <w:p>
            <w:pPr>
              <w:spacing w:after="20" w:line="250" w:lineRule="auto"/>
            </w:pPr>
            <w:r>
              <w:rPr>
                <w:rFonts w:ascii="Aptos" w:hAnsi="Aptos" w:eastAsia="Aptos"/>
                <w:color w:val="202A33"/>
                <w:sz w:val="19"/>
              </w:rPr>
              <w:t>decision_hash</w:t>
            </w:r>
          </w:p>
        </w:tc>
        <w:tc>
          <w:tcPr>
            <w:tcW w:type="dxa" w:w="6566"/>
            <w:tcMar>
              <w:top w:w="100" w:type="dxa"/>
              <w:start w:w="100" w:type="dxa"/>
              <w:bottom w:w="100" w:type="dxa"/>
              <w:end w:w="100" w:type="dxa"/>
            </w:tcMar>
            <w:vAlign w:val="center"/>
          </w:tcPr>
          <w:p>
            <w:pPr>
              <w:spacing w:after="20" w:line="250" w:lineRule="auto"/>
            </w:pPr>
            <w:r>
              <w:rPr>
                <w:rFonts w:ascii="Aptos" w:hAnsi="Aptos" w:eastAsia="Aptos"/>
                <w:color w:val="202A33"/>
                <w:sz w:val="19"/>
              </w:rPr>
              <w:t>34863f8ba9385b8770f2a016f26d7148e252f554d8ae90989937d367123ca8c8</w:t>
            </w:r>
          </w:p>
        </w:tc>
      </w:tr>
      <w:tr>
        <w:trPr>
          <w:cantSplit/>
        </w:trPr>
        <w:tc>
          <w:tcPr>
            <w:tcW w:type="dxa" w:w="360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source_preparation_hash</w:t>
            </w:r>
          </w:p>
        </w:tc>
        <w:tc>
          <w:tcPr>
            <w:tcW w:type="dxa" w:w="656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a43ef7a9362c102f0eb0d878d53b388379b4410c5b1e55d364b49c35f3999583</w:t>
            </w:r>
          </w:p>
        </w:tc>
      </w:tr>
      <w:tr>
        <w:trPr>
          <w:cantSplit/>
        </w:trPr>
        <w:tc>
          <w:tcPr>
            <w:tcW w:type="dxa" w:w="3600"/>
            <w:tcMar>
              <w:top w:w="100" w:type="dxa"/>
              <w:start w:w="100" w:type="dxa"/>
              <w:bottom w:w="100" w:type="dxa"/>
              <w:end w:w="100" w:type="dxa"/>
            </w:tcMar>
            <w:vAlign w:val="center"/>
          </w:tcPr>
          <w:p>
            <w:pPr>
              <w:spacing w:after="20" w:line="250" w:lineRule="auto"/>
            </w:pPr>
            <w:r>
              <w:rPr>
                <w:rFonts w:ascii="Aptos" w:hAnsi="Aptos" w:eastAsia="Aptos"/>
                <w:color w:val="202A33"/>
                <w:sz w:val="19"/>
              </w:rPr>
              <w:t>source_package_hash</w:t>
            </w:r>
          </w:p>
        </w:tc>
        <w:tc>
          <w:tcPr>
            <w:tcW w:type="dxa" w:w="6566"/>
            <w:tcMar>
              <w:top w:w="100" w:type="dxa"/>
              <w:start w:w="100" w:type="dxa"/>
              <w:bottom w:w="100" w:type="dxa"/>
              <w:end w:w="100" w:type="dxa"/>
            </w:tcMar>
            <w:vAlign w:val="center"/>
          </w:tcPr>
          <w:p>
            <w:pPr>
              <w:spacing w:after="20" w:line="250" w:lineRule="auto"/>
            </w:pPr>
            <w:r>
              <w:rPr>
                <w:rFonts w:ascii="Aptos" w:hAnsi="Aptos" w:eastAsia="Aptos"/>
                <w:color w:val="202A33"/>
                <w:sz w:val="19"/>
              </w:rPr>
              <w:t>90df5695f4760ba6549d61727eb87ee90bd93d1c5badc874ac47181aac8beaec</w:t>
            </w:r>
          </w:p>
        </w:tc>
      </w:tr>
      <w:tr>
        <w:trPr>
          <w:cantSplit/>
        </w:trPr>
        <w:tc>
          <w:tcPr>
            <w:tcW w:type="dxa" w:w="360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source_profile_hash</w:t>
            </w:r>
          </w:p>
        </w:tc>
        <w:tc>
          <w:tcPr>
            <w:tcW w:type="dxa" w:w="656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0e580e374ceb4f17a795bcd6ffddab6a61001a8d11f08b4b54f18c6eccc96acd</w:t>
            </w:r>
          </w:p>
        </w:tc>
      </w:tr>
      <w:tr>
        <w:trPr>
          <w:cantSplit/>
        </w:trPr>
        <w:tc>
          <w:tcPr>
            <w:tcW w:type="dxa" w:w="3600"/>
            <w:tcMar>
              <w:top w:w="100" w:type="dxa"/>
              <w:start w:w="100" w:type="dxa"/>
              <w:bottom w:w="100" w:type="dxa"/>
              <w:end w:w="100" w:type="dxa"/>
            </w:tcMar>
            <w:vAlign w:val="center"/>
          </w:tcPr>
          <w:p>
            <w:pPr>
              <w:spacing w:after="20" w:line="250" w:lineRule="auto"/>
            </w:pPr>
            <w:r>
              <w:rPr>
                <w:rFonts w:ascii="Aptos" w:hAnsi="Aptos" w:eastAsia="Aptos"/>
                <w:color w:val="202A33"/>
                <w:sz w:val="19"/>
              </w:rPr>
              <w:t>source_policy_hash</w:t>
            </w:r>
          </w:p>
        </w:tc>
        <w:tc>
          <w:tcPr>
            <w:tcW w:type="dxa" w:w="6566"/>
            <w:tcMar>
              <w:top w:w="100" w:type="dxa"/>
              <w:start w:w="100" w:type="dxa"/>
              <w:bottom w:w="100" w:type="dxa"/>
              <w:end w:w="100" w:type="dxa"/>
            </w:tcMar>
            <w:vAlign w:val="center"/>
          </w:tcPr>
          <w:p>
            <w:pPr>
              <w:spacing w:after="20" w:line="250" w:lineRule="auto"/>
            </w:pPr>
            <w:r>
              <w:rPr>
                <w:rFonts w:ascii="Aptos" w:hAnsi="Aptos" w:eastAsia="Aptos"/>
                <w:color w:val="202A33"/>
                <w:sz w:val="19"/>
              </w:rPr>
              <w:t>9e0e343f1e2d0244b913f0e8f48a2c8e1cb64a1b71122ae093ccf59b3576aa4f</w:t>
            </w:r>
          </w:p>
        </w:tc>
      </w:tr>
    </w:tbl>
    <w:p>
      <w:pPr>
        <w:spacing w:after="20"/>
      </w:pPr>
    </w:p>
    <w:p>
      <w:pPr>
        <w:pStyle w:val="Heading1"/>
      </w:pPr>
      <w:r>
        <w:t>20 Gobierno posterior a FID A31</w:t>
      </w:r>
    </w:p>
    <w:p>
      <w:r>
        <w:t>Post-FID inicial READY_FOR_PROJECT_WORKSPACE_INITIALIZATION; comando de activación ACTIVATED por actor 13; currentness posterior NO_REACTIVATION_REQUIRED, bloqueos []. Se separan las rondas históricas que habilitaron inicialización y activación de la evaluación viva posterior. Un resultado STALE no significa que el comando de activación haya fallado.</w:t>
      </w:r>
    </w:p>
    <w:p>
      <w:pPr>
        <w:pStyle w:val="Heading1"/>
      </w:pPr>
      <w:r>
        <w:t>21 Inicialización y activación</w:t>
      </w:r>
    </w:p>
    <w:p>
      <w:r>
        <w:t>El comando real dejó Project 4 active, versión 3, con estado ACTIVATED. Inicializó el actor 12 y activó 13; sus identidades son distintas. El primer bloqueo de inicialización y el checkpoint prematuro del harness se preservan como intentos anteriores. No se inicia ejecución operativa.</w:t>
      </w:r>
    </w:p>
    <w:p>
      <w:pPr>
        <w:pStyle w:val="Heading1"/>
      </w:pPr>
      <w:r>
        <w:t>22 Disposición UAT S2 003</w:t>
      </w:r>
    </w:p>
    <w:p>
      <w:r>
        <w:t>CLOSED_SCOPED_TECHNICAL. Cuatro Class B, freeze y FID acreditados en la nueva cadena autorizada. Cierre integral acreditado. La autorización de reconstrucción cambia únicamente el prerequisito de la base perdida, no las políticas de evidencia ni las condiciones de cierre.</w:t>
      </w:r>
    </w:p>
    <w:p>
      <w:pPr>
        <w:pStyle w:val="Heading1"/>
      </w:pPr>
      <w:r>
        <w:t>23 Reconciliación de la prueba FID heredada</w:t>
      </w:r>
    </w:p>
    <w:p>
      <w:r>
        <w:t>Clasificación explícita Category A: fixture desactualizada, prueba válida. La fixture positiva fue modernizada para consumir las fuentes actuales de Five Case y referencias controladas, sin relajar la prueba ni la política. La prueba enfocada independiente obtuvo 1 PASS / 0 FAIL / 0 ERROR / 0 SKIP. Su resultado no se suma a la corrida broad ni se usa como identidad alternativa de la UAT seleccionada. No se añade xfail para ocultar el fallo anterior.</w:t>
      </w:r>
    </w:p>
    <w:p>
      <w:pPr>
        <w:pStyle w:val="Heading1"/>
      </w:pPr>
      <w:r>
        <w:t>24 Presentación de Business Case y Funding</w:t>
      </w:r>
    </w:p>
    <w:p>
      <w:r>
        <w:t>CLOSED_SCOPED_PRESENTATION. La proyección visual de Business Case y Funding tiene regresión enfocada; su aceptación visual requiere Chromium actual sin falsa etiqueta STALE. Regresión frontend: 15 PASS / 0 FAIL / 0 ERROR / 0 SKIP. Build de producción PASS en 50.88 s; TypeScript exit 0; ESLint 0 errores y 9 advertencias. Las advertencias BIM preexistentes quedan fuera de este incremento. La pantalla debe mostrar currentness autoritativa sin alterar el dominio financiero.</w:t>
      </w:r>
    </w:p>
    <w:p>
      <w:pPr>
        <w:pStyle w:val="Heading1"/>
      </w:pPr>
      <w:r>
        <w:t>25 Lifecycle histórico de Proposal</w:t>
      </w:r>
    </w:p>
    <w:p>
      <w:r>
        <w:t>CLOSED_SCOPED_PRESENTATION. Se separan lifecycle histórico de Proposal y elegibilidad actual de reingreso; no se reescribe la aprobación histórica. Una restricción de reingreso posterior no cancela la aprobación Strategic Gate histórica.</w:t>
      </w:r>
    </w:p>
    <w:p>
      <w:pPr>
        <w:pStyle w:val="Heading1"/>
      </w:pPr>
      <w:r>
        <w:t>26 Regresión estratégica global</w:t>
      </w:r>
    </w:p>
    <w:p>
      <w:r>
        <w:t>Única corrida final seleccionada: 898 PASS / 0 FAIL / 0 ERROR / 16 SKIP; duración XML 2448.657 s. Se conservan 914 entradas y 914 identidades únicas, mediante comparación ordinal sensible a mayúsculas: el multiset coincide con la baseline, diferencia 0. Los parámetros project y PROJECT se consideran distintos; duplicados heredados detectados: 0. Los 16 SKIP son 13 específicos PostgreSQL, dos perfiles opt-in y un contrato CI no empaquetado en la imagen. Este último se ejecutó aparte desde la raíz read-only: 1 PASS / 0 FAIL / 0 ERROR / 0 SKIP, 6.514 s, sin sumarlo a los 914 ni convertir el SKIP original en PASS. Los intentos interrumpidos y el setup inicial del guard se conservan sin aportar conteos finales. Cada XML se informa por separado. Los focused y fixtures independientes no se suman a los 914 casos de la única corrida broad limpia final.</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28"/>
        <w:gridCol w:w="3888"/>
        <w:gridCol w:w="4550"/>
      </w:tblGrid>
      <w:tr>
        <w:trPr>
          <w:tblHeader w:val="true"/>
        </w:trPr>
        <w:tc>
          <w:tcPr>
            <w:tcW w:type="dxa" w:w="1728"/>
            <w:shd w:fill="17324D"/>
            <w:tcMar>
              <w:top w:w="100" w:type="dxa"/>
              <w:start w:w="100" w:type="dxa"/>
              <w:bottom w:w="100" w:type="dxa"/>
              <w:end w:w="100" w:type="dxa"/>
            </w:tcMar>
            <w:vAlign w:val="center"/>
          </w:tcPr>
          <w:p>
            <w:pPr>
              <w:keepNext/>
              <w:jc w:val="left"/>
            </w:pPr>
            <w:r>
              <w:rPr>
                <w:rFonts w:ascii="Aptos" w:hAnsi="Aptos" w:eastAsia="Aptos"/>
                <w:b/>
                <w:color w:val="FFFFFF"/>
                <w:sz w:val="19"/>
              </w:rPr>
              <w:t>Corrida</w:t>
            </w:r>
          </w:p>
        </w:tc>
        <w:tc>
          <w:tcPr>
            <w:tcW w:type="dxa" w:w="3888"/>
            <w:shd w:fill="17324D"/>
            <w:tcMar>
              <w:top w:w="100" w:type="dxa"/>
              <w:start w:w="100" w:type="dxa"/>
              <w:bottom w:w="100" w:type="dxa"/>
              <w:end w:w="100" w:type="dxa"/>
            </w:tcMar>
            <w:vAlign w:val="center"/>
          </w:tcPr>
          <w:p>
            <w:pPr>
              <w:keepNext/>
              <w:jc w:val="left"/>
            </w:pPr>
            <w:r>
              <w:rPr>
                <w:rFonts w:ascii="Aptos" w:hAnsi="Aptos" w:eastAsia="Aptos"/>
                <w:b/>
                <w:color w:val="FFFFFF"/>
                <w:sz w:val="19"/>
              </w:rPr>
              <w:t>Resultado sin sumar reruns</w:t>
            </w:r>
          </w:p>
        </w:tc>
        <w:tc>
          <w:tcPr>
            <w:tcW w:type="dxa" w:w="4550"/>
            <w:shd w:fill="17324D"/>
            <w:tcMar>
              <w:top w:w="100" w:type="dxa"/>
              <w:start w:w="100" w:type="dxa"/>
              <w:bottom w:w="100" w:type="dxa"/>
              <w:end w:w="100" w:type="dxa"/>
            </w:tcMar>
            <w:vAlign w:val="center"/>
          </w:tcPr>
          <w:p>
            <w:pPr>
              <w:keepNext/>
              <w:jc w:val="left"/>
            </w:pPr>
            <w:r>
              <w:rPr>
                <w:rFonts w:ascii="Aptos" w:hAnsi="Aptos" w:eastAsia="Aptos"/>
                <w:b/>
                <w:color w:val="FFFFFF"/>
                <w:sz w:val="19"/>
              </w:rPr>
              <w:t>XML de evidencia</w:t>
            </w:r>
          </w:p>
        </w:tc>
      </w:tr>
      <w:tr>
        <w:trPr>
          <w:cantSplit/>
        </w:trPr>
        <w:tc>
          <w:tcPr>
            <w:tcW w:type="dxa" w:w="1728"/>
            <w:tcMar>
              <w:top w:w="100" w:type="dxa"/>
              <w:start w:w="100" w:type="dxa"/>
              <w:bottom w:w="100" w:type="dxa"/>
              <w:end w:w="100" w:type="dxa"/>
            </w:tcMar>
            <w:vAlign w:val="center"/>
          </w:tcPr>
          <w:p>
            <w:pPr>
              <w:spacing w:after="20" w:line="250" w:lineRule="auto"/>
            </w:pPr>
            <w:r>
              <w:rPr>
                <w:rFonts w:ascii="Aptos" w:hAnsi="Aptos" w:eastAsia="Aptos"/>
                <w:color w:val="202A33"/>
                <w:sz w:val="19"/>
              </w:rPr>
              <w:t>class_b</w:t>
            </w:r>
          </w:p>
        </w:tc>
        <w:tc>
          <w:tcPr>
            <w:tcW w:type="dxa" w:w="3888"/>
            <w:tcMar>
              <w:top w:w="100" w:type="dxa"/>
              <w:start w:w="100" w:type="dxa"/>
              <w:bottom w:w="100" w:type="dxa"/>
              <w:end w:w="100" w:type="dxa"/>
            </w:tcMar>
            <w:vAlign w:val="center"/>
          </w:tcPr>
          <w:p>
            <w:pPr>
              <w:spacing w:after="20" w:line="250" w:lineRule="auto"/>
            </w:pPr>
            <w:r>
              <w:rPr>
                <w:rFonts w:ascii="Aptos" w:hAnsi="Aptos" w:eastAsia="Aptos"/>
                <w:color w:val="202A33"/>
                <w:sz w:val="19"/>
              </w:rPr>
              <w:t>29 PASS / 0 FAIL / 0 ERROR / 0 SKIP</w:t>
            </w:r>
          </w:p>
        </w:tc>
        <w:tc>
          <w:tcPr>
            <w:tcW w:type="dxa" w:w="4550"/>
            <w:tcMar>
              <w:top w:w="100" w:type="dxa"/>
              <w:start w:w="100" w:type="dxa"/>
              <w:bottom w:w="100" w:type="dxa"/>
              <w:end w:w="100" w:type="dxa"/>
            </w:tcMar>
            <w:vAlign w:val="center"/>
          </w:tcPr>
          <w:p>
            <w:pPr>
              <w:spacing w:after="20" w:line="250" w:lineRule="auto"/>
            </w:pPr>
            <w:r>
              <w:rPr>
                <w:rFonts w:ascii="Aptos" w:hAnsi="Aptos" w:eastAsia="Aptos"/>
                <w:color w:val="202A33"/>
                <w:sz w:val="19"/>
              </w:rPr>
              <w:t>class-b-focused-final/class-b-all-current.xml</w:t>
            </w:r>
          </w:p>
        </w:tc>
      </w:tr>
      <w:tr>
        <w:trPr>
          <w:cantSplit/>
        </w:trPr>
        <w:tc>
          <w:tcPr>
            <w:tcW w:type="dxa" w:w="172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bridge</w:t>
            </w:r>
          </w:p>
        </w:tc>
        <w:tc>
          <w:tcPr>
            <w:tcW w:type="dxa" w:w="388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20 PASS / 0 FAIL / 0 ERROR / 0 SKIP</w:t>
            </w:r>
          </w:p>
        </w:tc>
        <w:tc>
          <w:tcPr>
            <w:tcW w:type="dxa" w:w="455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project-initialization-post-fid-bridge.xml</w:t>
            </w:r>
          </w:p>
        </w:tc>
      </w:tr>
      <w:tr>
        <w:trPr>
          <w:cantSplit/>
        </w:trPr>
        <w:tc>
          <w:tcPr>
            <w:tcW w:type="dxa" w:w="1728"/>
            <w:tcMar>
              <w:top w:w="100" w:type="dxa"/>
              <w:start w:w="100" w:type="dxa"/>
              <w:bottom w:w="100" w:type="dxa"/>
              <w:end w:w="100" w:type="dxa"/>
            </w:tcMar>
            <w:vAlign w:val="center"/>
          </w:tcPr>
          <w:p>
            <w:pPr>
              <w:spacing w:after="20" w:line="250" w:lineRule="auto"/>
            </w:pPr>
            <w:r>
              <w:rPr>
                <w:rFonts w:ascii="Aptos" w:hAnsi="Aptos" w:eastAsia="Aptos"/>
                <w:color w:val="202A33"/>
                <w:sz w:val="19"/>
              </w:rPr>
              <w:t>canonical</w:t>
            </w:r>
          </w:p>
        </w:tc>
        <w:tc>
          <w:tcPr>
            <w:tcW w:type="dxa" w:w="3888"/>
            <w:tcMar>
              <w:top w:w="100" w:type="dxa"/>
              <w:start w:w="100" w:type="dxa"/>
              <w:bottom w:w="100" w:type="dxa"/>
              <w:end w:w="100" w:type="dxa"/>
            </w:tcMar>
            <w:vAlign w:val="center"/>
          </w:tcPr>
          <w:p>
            <w:pPr>
              <w:spacing w:after="20" w:line="250" w:lineRule="auto"/>
            </w:pPr>
            <w:r>
              <w:rPr>
                <w:rFonts w:ascii="Aptos" w:hAnsi="Aptos" w:eastAsia="Aptos"/>
                <w:color w:val="202A33"/>
                <w:sz w:val="19"/>
              </w:rPr>
              <w:t>54 PASS / 0 FAIL / 0 ERROR / 2 SKIP</w:t>
            </w:r>
          </w:p>
        </w:tc>
        <w:tc>
          <w:tcPr>
            <w:tcW w:type="dxa" w:w="4550"/>
            <w:tcMar>
              <w:top w:w="100" w:type="dxa"/>
              <w:start w:w="100" w:type="dxa"/>
              <w:bottom w:w="100" w:type="dxa"/>
              <w:end w:w="100" w:type="dxa"/>
            </w:tcMar>
            <w:vAlign w:val="center"/>
          </w:tcPr>
          <w:p>
            <w:pPr>
              <w:spacing w:after="20" w:line="250" w:lineRule="auto"/>
            </w:pPr>
            <w:r>
              <w:rPr>
                <w:rFonts w:ascii="Aptos" w:hAnsi="Aptos" w:eastAsia="Aptos"/>
                <w:color w:val="202A33"/>
                <w:sz w:val="19"/>
              </w:rPr>
              <w:t>project-initialization-canonical-guards.xml</w:t>
            </w:r>
          </w:p>
        </w:tc>
      </w:tr>
      <w:tr>
        <w:trPr>
          <w:cantSplit/>
        </w:trPr>
        <w:tc>
          <w:tcPr>
            <w:tcW w:type="dxa" w:w="172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frontend</w:t>
            </w:r>
          </w:p>
        </w:tc>
        <w:tc>
          <w:tcPr>
            <w:tcW w:type="dxa" w:w="388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15 PASS / 0 FAIL / 0 ERROR / 0 SKIP</w:t>
            </w:r>
          </w:p>
        </w:tc>
        <w:tc>
          <w:tcPr>
            <w:tcW w:type="dxa" w:w="455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frontend-presentations-focused.xml</w:t>
            </w:r>
          </w:p>
        </w:tc>
      </w:tr>
      <w:tr>
        <w:trPr>
          <w:cantSplit/>
        </w:trPr>
        <w:tc>
          <w:tcPr>
            <w:tcW w:type="dxa" w:w="1728"/>
            <w:tcMar>
              <w:top w:w="100" w:type="dxa"/>
              <w:start w:w="100" w:type="dxa"/>
              <w:bottom w:w="100" w:type="dxa"/>
              <w:end w:w="100" w:type="dxa"/>
            </w:tcMar>
            <w:vAlign w:val="center"/>
          </w:tcPr>
          <w:p>
            <w:pPr>
              <w:spacing w:after="20" w:line="250" w:lineRule="auto"/>
            </w:pPr>
            <w:r>
              <w:rPr>
                <w:rFonts w:ascii="Aptos" w:hAnsi="Aptos" w:eastAsia="Aptos"/>
                <w:color w:val="202A33"/>
                <w:sz w:val="19"/>
              </w:rPr>
              <w:t>legacy</w:t>
            </w:r>
          </w:p>
        </w:tc>
        <w:tc>
          <w:tcPr>
            <w:tcW w:type="dxa" w:w="3888"/>
            <w:tcMar>
              <w:top w:w="100" w:type="dxa"/>
              <w:start w:w="100" w:type="dxa"/>
              <w:bottom w:w="100" w:type="dxa"/>
              <w:end w:w="100" w:type="dxa"/>
            </w:tcMar>
            <w:vAlign w:val="center"/>
          </w:tcPr>
          <w:p>
            <w:pPr>
              <w:spacing w:after="20" w:line="250" w:lineRule="auto"/>
            </w:pPr>
            <w:r>
              <w:rPr>
                <w:rFonts w:ascii="Aptos" w:hAnsi="Aptos" w:eastAsia="Aptos"/>
                <w:color w:val="202A33"/>
                <w:sz w:val="19"/>
              </w:rPr>
              <w:t>1 PASS / 0 FAIL / 0 ERROR / 0 SKIP</w:t>
            </w:r>
          </w:p>
        </w:tc>
        <w:tc>
          <w:tcPr>
            <w:tcW w:type="dxa" w:w="4550"/>
            <w:tcMar>
              <w:top w:w="100" w:type="dxa"/>
              <w:start w:w="100" w:type="dxa"/>
              <w:bottom w:w="100" w:type="dxa"/>
              <w:end w:w="100" w:type="dxa"/>
            </w:tcMar>
            <w:vAlign w:val="center"/>
          </w:tcPr>
          <w:p>
            <w:pPr>
              <w:spacing w:after="20" w:line="250" w:lineRule="auto"/>
            </w:pPr>
            <w:r>
              <w:rPr>
                <w:rFonts w:ascii="Aptos" w:hAnsi="Aptos" w:eastAsia="Aptos"/>
                <w:color w:val="202A33"/>
                <w:sz w:val="19"/>
              </w:rPr>
              <w:t>legacy-focused-attempt-2/legacy-focused.xml</w:t>
            </w:r>
          </w:p>
        </w:tc>
      </w:tr>
      <w:tr>
        <w:trPr>
          <w:cantSplit/>
        </w:trPr>
        <w:tc>
          <w:tcPr>
            <w:tcW w:type="dxa" w:w="172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postactivation</w:t>
            </w:r>
          </w:p>
        </w:tc>
        <w:tc>
          <w:tcPr>
            <w:tcW w:type="dxa" w:w="388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38 PASS / 0 FAIL / 0 ERROR / 0 SKIP</w:t>
            </w:r>
          </w:p>
        </w:tc>
        <w:tc>
          <w:tcPr>
            <w:tcW w:type="dxa" w:w="455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postactivation-focused-final-3/currentness-focused.xml</w:t>
            </w:r>
          </w:p>
        </w:tc>
      </w:tr>
      <w:tr>
        <w:trPr>
          <w:cantSplit/>
        </w:trPr>
        <w:tc>
          <w:tcPr>
            <w:tcW w:type="dxa" w:w="1728"/>
            <w:tcMar>
              <w:top w:w="100" w:type="dxa"/>
              <w:start w:w="100" w:type="dxa"/>
              <w:bottom w:w="100" w:type="dxa"/>
              <w:end w:w="100" w:type="dxa"/>
            </w:tcMar>
            <w:vAlign w:val="center"/>
          </w:tcPr>
          <w:p>
            <w:pPr>
              <w:spacing w:after="20" w:line="250" w:lineRule="auto"/>
            </w:pPr>
            <w:r>
              <w:rPr>
                <w:rFonts w:ascii="Aptos" w:hAnsi="Aptos" w:eastAsia="Aptos"/>
                <w:color w:val="202A33"/>
                <w:sz w:val="19"/>
              </w:rPr>
              <w:t>ci_contract_guard</w:t>
            </w:r>
          </w:p>
        </w:tc>
        <w:tc>
          <w:tcPr>
            <w:tcW w:type="dxa" w:w="3888"/>
            <w:tcMar>
              <w:top w:w="100" w:type="dxa"/>
              <w:start w:w="100" w:type="dxa"/>
              <w:bottom w:w="100" w:type="dxa"/>
              <w:end w:w="100" w:type="dxa"/>
            </w:tcMar>
            <w:vAlign w:val="center"/>
          </w:tcPr>
          <w:p>
            <w:pPr>
              <w:spacing w:after="20" w:line="250" w:lineRule="auto"/>
            </w:pPr>
            <w:r>
              <w:rPr>
                <w:rFonts w:ascii="Aptos" w:hAnsi="Aptos" w:eastAsia="Aptos"/>
                <w:color w:val="202A33"/>
                <w:sz w:val="19"/>
              </w:rPr>
              <w:t>1 PASS / 0 FAIL / 0 ERROR / 0 SKIP</w:t>
            </w:r>
          </w:p>
        </w:tc>
        <w:tc>
          <w:tcPr>
            <w:tcW w:type="dxa" w:w="4550"/>
            <w:tcMar>
              <w:top w:w="100" w:type="dxa"/>
              <w:start w:w="100" w:type="dxa"/>
              <w:bottom w:w="100" w:type="dxa"/>
              <w:end w:w="100" w:type="dxa"/>
            </w:tcMar>
            <w:vAlign w:val="center"/>
          </w:tcPr>
          <w:p>
            <w:pPr>
              <w:spacing w:after="20" w:line="250" w:lineRule="auto"/>
            </w:pPr>
            <w:r>
              <w:rPr>
                <w:rFonts w:ascii="Aptos" w:hAnsi="Aptos" w:eastAsia="Aptos"/>
                <w:color w:val="202A33"/>
                <w:sz w:val="19"/>
              </w:rPr>
              <w:t>ci-contract-guard-final/ci-contract-guard.xml</w:t>
            </w:r>
          </w:p>
        </w:tc>
      </w:tr>
      <w:tr>
        <w:trPr>
          <w:cantSplit/>
        </w:trPr>
        <w:tc>
          <w:tcPr>
            <w:tcW w:type="dxa" w:w="172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broad</w:t>
            </w:r>
          </w:p>
        </w:tc>
        <w:tc>
          <w:tcPr>
            <w:tcW w:type="dxa" w:w="388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898 PASS / 0 FAIL / 0 ERROR / 16 SKIP</w:t>
            </w:r>
          </w:p>
        </w:tc>
        <w:tc>
          <w:tcPr>
            <w:tcW w:type="dxa" w:w="455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broad-clean/backend-strategic-regression-clean.xml</w:t>
            </w:r>
          </w:p>
        </w:tc>
      </w:tr>
      <w:tr>
        <w:trPr>
          <w:cantSplit/>
        </w:trPr>
        <w:tc>
          <w:tcPr>
            <w:tcW w:type="dxa" w:w="1728"/>
            <w:tcMar>
              <w:top w:w="100" w:type="dxa"/>
              <w:start w:w="100" w:type="dxa"/>
              <w:bottom w:w="100" w:type="dxa"/>
              <w:end w:w="100" w:type="dxa"/>
            </w:tcMar>
            <w:vAlign w:val="center"/>
          </w:tcPr>
          <w:p>
            <w:pPr>
              <w:spacing w:after="20" w:line="250" w:lineRule="auto"/>
            </w:pPr>
            <w:r>
              <w:rPr>
                <w:rFonts w:ascii="Aptos" w:hAnsi="Aptos" w:eastAsia="Aptos"/>
                <w:color w:val="202A33"/>
                <w:sz w:val="19"/>
              </w:rPr>
              <w:t>browser</w:t>
            </w:r>
          </w:p>
        </w:tc>
        <w:tc>
          <w:tcPr>
            <w:tcW w:type="dxa" w:w="3888"/>
            <w:tcMar>
              <w:top w:w="100" w:type="dxa"/>
              <w:start w:w="100" w:type="dxa"/>
              <w:bottom w:w="100" w:type="dxa"/>
              <w:end w:w="100" w:type="dxa"/>
            </w:tcMar>
            <w:vAlign w:val="center"/>
          </w:tcPr>
          <w:p>
            <w:pPr>
              <w:spacing w:after="20" w:line="250" w:lineRule="auto"/>
            </w:pPr>
            <w:r>
              <w:rPr>
                <w:rFonts w:ascii="Aptos" w:hAnsi="Aptos" w:eastAsia="Aptos"/>
                <w:color w:val="202A33"/>
                <w:sz w:val="19"/>
              </w:rPr>
              <w:t>1 PASS / 0 FAIL / 0 ERROR / 0 SKIP</w:t>
            </w:r>
          </w:p>
        </w:tc>
        <w:tc>
          <w:tcPr>
            <w:tcW w:type="dxa" w:w="4550"/>
            <w:tcMar>
              <w:top w:w="100" w:type="dxa"/>
              <w:start w:w="100" w:type="dxa"/>
              <w:bottom w:w="100" w:type="dxa"/>
              <w:end w:w="100" w:type="dxa"/>
            </w:tcMar>
            <w:vAlign w:val="center"/>
          </w:tcPr>
          <w:p>
            <w:pPr>
              <w:spacing w:after="20" w:line="250" w:lineRule="auto"/>
            </w:pPr>
            <w:r>
              <w:rPr>
                <w:rFonts w:ascii="Aptos" w:hAnsi="Aptos" w:eastAsia="Aptos"/>
                <w:color w:val="202A33"/>
                <w:sz w:val="19"/>
              </w:rPr>
              <w:t>browser-actual-3/strategic-capital-current.xml</w:t>
            </w:r>
          </w:p>
        </w:tc>
      </w:tr>
    </w:tbl>
    <w:p>
      <w:pPr>
        <w:spacing w:after="20"/>
      </w:pPr>
    </w:p>
    <w:p>
      <w:pPr>
        <w:pStyle w:val="Heading1"/>
      </w:pPr>
      <w:r>
        <w:t>27 Verificación PostgreSQL y persistencia</w:t>
      </w:r>
    </w:p>
    <w:p>
      <w:r>
        <w:t>Los comandos del recorrido actual se ejecutaron en PostgreSQL 16 separado de la base operativa. Los dumps se conservan con tamaño, fecha, SHA-256 y verificación de listado. Persistencia tras reiniciar únicamente los servicios UAT: named_volume_restart_verified=True. El bootstrap de compatibilidad hasta 0067 seguido del upgrade real 0068 no acredita un roundtrip de todas las migraciones históricas.</w:t>
      </w:r>
    </w:p>
    <w:p>
      <w:pPr>
        <w:pStyle w:val="Heading1"/>
      </w:pPr>
      <w:r>
        <w:t>28 Verificación de navegador</w:t>
      </w:r>
    </w:p>
    <w:p>
      <w:r>
        <w:t>Chromium actual: 1 PASS / 0 FAIL / 0 ERROR / 0 SKIP; resultado PASS; TOTAL JUnit 158.672 s y testcase 152.964 s, sin sumar la duración raíz a la del caso. La identidad, las vistas visitadas, errores y escrituras se conservan en el JSON de navegador. No se presenta como una sesión totalmente read-only: el GET de WorkspaceContext registra la auditoría normal SecurityEvent; el POST existente de apertura actualiza metadatos RecentWorkspace y auditoría de navegación. Estos metadatos se distinguen de los business writes, que no se permiten desde el navegador; los comandos de negocio pertenecen al recorrido backend. No se reutilizan capturas de otro tenant. Intentos previos conservados por separado, sin sumarlos al resultado actual: 0 PASS / 1 FAIL / 0 ERROR / 0 SKIP / FAIL_DRIVER_SELECTOR; 0 PASS / 1 FAIL / 0 ERROR / 0 SKIP / FAIL_DRIVER_CONTEXT_CASING.</w:t>
      </w:r>
    </w:p>
    <w:p>
      <w:pPr>
        <w:pStyle w:val="Heading1"/>
      </w:pPr>
      <w:r>
        <w:t>29 Seguridad y segregación de funciones</w:t>
      </w:r>
    </w:p>
    <w:p>
      <w:r>
        <w:t>Class B: 29 PASS / 0 FAIL / 0 ERROR / 0 SKIP; puente Post-FID: 20 PASS / 0 FAIL / 0 ERROR / 0 SKIP; guardas canónicas: 54 PASS / 0 FAIL / 0 ERROR / 2 SKIP; currentness posterior: 38 PASS / 0 FAIL / 0 ERROR / 0 SKIP. Los saltos de ámbito, actor, configuración, hash o vigencia no se aceptan como autorización. Los SKIP se mantienen explícitos y no equivalen a PASS.</w:t>
      </w:r>
    </w:p>
    <w:p>
      <w:pPr>
        <w:pStyle w:val="Heading1"/>
      </w:pPr>
      <w:r>
        <w:t>30 Preservación del Project operativo 14</w:t>
      </w:r>
    </w:p>
    <w:p>
      <w:r>
        <w:t>La comparación actual es PASS_READ_ONLY_IDENTICAL. La referencia protegida es PRJ-PPMIS, external_key PRJ-PYP-PPMIS, active, versión 1 y MD5 ef67b78a4d4902d2dc6db3efb017b80b. Las observaciones before y after actuales coinciden, incluidas la cabeza, las políticas publicadas y los conteos protegidos; no se sustituye el after por una captura histórica.</w:t>
      </w:r>
    </w:p>
    <w:p>
      <w:pPr>
        <w:pStyle w:val="Heading1"/>
      </w:pPr>
      <w:r>
        <w:t>31 Hallazgos restantes</w:t>
      </w:r>
    </w:p>
    <w:p>
      <w:r>
        <w:t>El registro siguiente distingue el bloqueo de entorno resuelto por reconstrucción autorizada, los hallazgos de presentación y la integración de lifecycle. UAT-S2-005 no se cierra únicamente porque activar haya funcionado; exige currentness correcta posterior, pruebas del fix y navegador de la misma identidad. Permanecen OPEN los hallazgos menores previos UAT-S4-001 (rutas no aplicables), UAT-S4-002 (renderers legacy de Business Case), UAT-S4-003 (metadatos de Explorer), UAT-S4-004 (desbordamiento visual en Gate) y UAT-S4-005 (navegación móvil). No se convierten en cerrados por aprobar este recorrido técnico. El navegador actual reobservó el desbordamiento de hashes en Strategic Gate, evidencia del mismo UAT-S4-004; no se abre un duplicado. No se declara una interfaz 100% libre de incidencias de layout. Lecturas literales actuales: el header de Gate muestra BLOCKED Governance y su cuerpo muestra READY_FOR_INVESTMENT_DECISION, Source CURRENT, Decision entry READY y can_enter_fid=false. En Post-FID las columnas Initialization Status y Activation Status muestran guiones mientras la API registra initialization_state=ACTIVATED, can_initialize=false y can_activate=false. Se documentan ambas proyecciones sin inventar una explicación de su semántica ni afirmar que la UI sea impecable; los guiones no se convierten en una activación fallida. Además, UAT-S3-006 permanece OPEN / S3 MAJOR por proyección de responsable y plantilla en Home y posible omisión del Project al filtrar por responsable. Es distinto de UAT-S4-003. El triage posterior y la auditoría de consumidores conservan la observación original, sin cambiarla: no se halló acoplamiento a autorización, lifecycle, elegibilidad o selección de Project en los consumidores actuales revisados. Workaround: Overview canónico y ruta directa sin filtro por responsable. No se afirma que esté corregido ni que se hayan probado clientes externos.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84"/>
        <w:gridCol w:w="2952"/>
        <w:gridCol w:w="5630"/>
      </w:tblGrid>
      <w:tr>
        <w:trPr>
          <w:tblHeader w:val="true"/>
        </w:trPr>
        <w:tc>
          <w:tcPr>
            <w:tcW w:type="dxa" w:w="1584"/>
            <w:shd w:fill="17324D"/>
            <w:tcMar>
              <w:top w:w="100" w:type="dxa"/>
              <w:start w:w="100" w:type="dxa"/>
              <w:bottom w:w="100" w:type="dxa"/>
              <w:end w:w="100" w:type="dxa"/>
            </w:tcMar>
            <w:vAlign w:val="center"/>
          </w:tcPr>
          <w:p>
            <w:pPr>
              <w:keepNext/>
              <w:jc w:val="left"/>
            </w:pPr>
            <w:r>
              <w:rPr>
                <w:rFonts w:ascii="Aptos" w:hAnsi="Aptos" w:eastAsia="Aptos"/>
                <w:b/>
                <w:color w:val="FFFFFF"/>
                <w:sz w:val="19"/>
              </w:rPr>
              <w:t>Hallazgo</w:t>
            </w:r>
          </w:p>
        </w:tc>
        <w:tc>
          <w:tcPr>
            <w:tcW w:type="dxa" w:w="2952"/>
            <w:shd w:fill="17324D"/>
            <w:tcMar>
              <w:top w:w="100" w:type="dxa"/>
              <w:start w:w="100" w:type="dxa"/>
              <w:bottom w:w="100" w:type="dxa"/>
              <w:end w:w="100" w:type="dxa"/>
            </w:tcMar>
            <w:vAlign w:val="center"/>
          </w:tcPr>
          <w:p>
            <w:pPr>
              <w:keepNext/>
              <w:jc w:val="left"/>
            </w:pPr>
            <w:r>
              <w:rPr>
                <w:rFonts w:ascii="Aptos" w:hAnsi="Aptos" w:eastAsia="Aptos"/>
                <w:b/>
                <w:color w:val="FFFFFF"/>
                <w:sz w:val="19"/>
              </w:rPr>
              <w:t>Disposición</w:t>
            </w:r>
          </w:p>
        </w:tc>
        <w:tc>
          <w:tcPr>
            <w:tcW w:type="dxa" w:w="5630"/>
            <w:shd w:fill="17324D"/>
            <w:tcMar>
              <w:top w:w="100" w:type="dxa"/>
              <w:start w:w="100" w:type="dxa"/>
              <w:bottom w:w="100" w:type="dxa"/>
              <w:end w:w="100" w:type="dxa"/>
            </w:tcMar>
            <w:vAlign w:val="center"/>
          </w:tcPr>
          <w:p>
            <w:pPr>
              <w:keepNext/>
              <w:jc w:val="left"/>
            </w:pPr>
            <w:r>
              <w:rPr>
                <w:rFonts w:ascii="Aptos" w:hAnsi="Aptos" w:eastAsia="Aptos"/>
                <w:b/>
                <w:color w:val="FFFFFF"/>
                <w:sz w:val="19"/>
              </w:rPr>
              <w:t>Resultado actual</w:t>
            </w:r>
          </w:p>
        </w:tc>
      </w:tr>
      <w:tr>
        <w:trPr>
          <w:cantSplit/>
        </w:trPr>
        <w:tc>
          <w:tcPr>
            <w:tcW w:type="dxa" w:w="1584"/>
            <w:tcMar>
              <w:top w:w="100" w:type="dxa"/>
              <w:start w:w="100" w:type="dxa"/>
              <w:bottom w:w="100" w:type="dxa"/>
              <w:end w:w="100" w:type="dxa"/>
            </w:tcMar>
            <w:vAlign w:val="center"/>
          </w:tcPr>
          <w:p>
            <w:pPr>
              <w:spacing w:after="20" w:line="250" w:lineRule="auto"/>
            </w:pPr>
            <w:r>
              <w:rPr>
                <w:rFonts w:ascii="Aptos" w:hAnsi="Aptos" w:eastAsia="Aptos"/>
                <w:color w:val="202A33"/>
                <w:sz w:val="19"/>
              </w:rPr>
              <w:t>UAT-S2-003</w:t>
            </w:r>
          </w:p>
        </w:tc>
        <w:tc>
          <w:tcPr>
            <w:tcW w:type="dxa" w:w="2952"/>
            <w:tcMar>
              <w:top w:w="100" w:type="dxa"/>
              <w:start w:w="100" w:type="dxa"/>
              <w:bottom w:w="100" w:type="dxa"/>
              <w:end w:w="100" w:type="dxa"/>
            </w:tcMar>
            <w:vAlign w:val="center"/>
          </w:tcPr>
          <w:p>
            <w:pPr>
              <w:spacing w:after="20" w:line="250" w:lineRule="auto"/>
            </w:pPr>
            <w:r>
              <w:rPr>
                <w:rFonts w:ascii="Aptos" w:hAnsi="Aptos" w:eastAsia="Aptos"/>
                <w:color w:val="202A33"/>
                <w:sz w:val="19"/>
              </w:rPr>
              <w:t>CLOSED_SCOPED_TECHNICAL</w:t>
            </w:r>
          </w:p>
        </w:tc>
        <w:tc>
          <w:tcPr>
            <w:tcW w:type="dxa" w:w="5630"/>
            <w:tcMar>
              <w:top w:w="100" w:type="dxa"/>
              <w:start w:w="100" w:type="dxa"/>
              <w:bottom w:w="100" w:type="dxa"/>
              <w:end w:w="100" w:type="dxa"/>
            </w:tcMar>
            <w:vAlign w:val="center"/>
          </w:tcPr>
          <w:p>
            <w:pPr>
              <w:spacing w:after="20" w:line="250" w:lineRule="auto"/>
            </w:pPr>
            <w:r>
              <w:rPr>
                <w:rFonts w:ascii="Aptos" w:hAnsi="Aptos" w:eastAsia="Aptos"/>
                <w:color w:val="202A33"/>
                <w:sz w:val="19"/>
              </w:rPr>
              <w:t>Cuatro Class B, freeze y FID acreditados en la nueva cadena autorizada. Cierre integral acreditado.</w:t>
            </w:r>
          </w:p>
        </w:tc>
      </w:tr>
      <w:tr>
        <w:trPr>
          <w:cantSplit/>
        </w:trPr>
        <w:tc>
          <w:tcPr>
            <w:tcW w:type="dxa" w:w="158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UAT-S3-005</w:t>
            </w:r>
          </w:p>
        </w:tc>
        <w:tc>
          <w:tcPr>
            <w:tcW w:type="dxa" w:w="295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CLOSED_SCOPED_PRESENTATION</w:t>
            </w:r>
          </w:p>
        </w:tc>
        <w:tc>
          <w:tcPr>
            <w:tcW w:type="dxa" w:w="563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La proyección visual de Business Case y Funding tiene regresión enfocada; su aceptación visual requiere Chromium actual sin falsa etiqueta STALE.</w:t>
            </w:r>
          </w:p>
        </w:tc>
      </w:tr>
      <w:tr>
        <w:trPr>
          <w:cantSplit/>
        </w:trPr>
        <w:tc>
          <w:tcPr>
            <w:tcW w:type="dxa" w:w="1584"/>
            <w:tcMar>
              <w:top w:w="100" w:type="dxa"/>
              <w:start w:w="100" w:type="dxa"/>
              <w:bottom w:w="100" w:type="dxa"/>
              <w:end w:w="100" w:type="dxa"/>
            </w:tcMar>
            <w:vAlign w:val="center"/>
          </w:tcPr>
          <w:p>
            <w:pPr>
              <w:spacing w:after="20" w:line="250" w:lineRule="auto"/>
            </w:pPr>
            <w:r>
              <w:rPr>
                <w:rFonts w:ascii="Aptos" w:hAnsi="Aptos" w:eastAsia="Aptos"/>
                <w:color w:val="202A33"/>
                <w:sz w:val="19"/>
              </w:rPr>
              <w:t>UAT-S4-006</w:t>
            </w:r>
          </w:p>
        </w:tc>
        <w:tc>
          <w:tcPr>
            <w:tcW w:type="dxa" w:w="2952"/>
            <w:tcMar>
              <w:top w:w="100" w:type="dxa"/>
              <w:start w:w="100" w:type="dxa"/>
              <w:bottom w:w="100" w:type="dxa"/>
              <w:end w:w="100" w:type="dxa"/>
            </w:tcMar>
            <w:vAlign w:val="center"/>
          </w:tcPr>
          <w:p>
            <w:pPr>
              <w:spacing w:after="20" w:line="250" w:lineRule="auto"/>
            </w:pPr>
            <w:r>
              <w:rPr>
                <w:rFonts w:ascii="Aptos" w:hAnsi="Aptos" w:eastAsia="Aptos"/>
                <w:color w:val="202A33"/>
                <w:sz w:val="19"/>
              </w:rPr>
              <w:t>CLOSED_SCOPED_PRESENTATION</w:t>
            </w:r>
          </w:p>
        </w:tc>
        <w:tc>
          <w:tcPr>
            <w:tcW w:type="dxa" w:w="5630"/>
            <w:tcMar>
              <w:top w:w="100" w:type="dxa"/>
              <w:start w:w="100" w:type="dxa"/>
              <w:bottom w:w="100" w:type="dxa"/>
              <w:end w:w="100" w:type="dxa"/>
            </w:tcMar>
            <w:vAlign w:val="center"/>
          </w:tcPr>
          <w:p>
            <w:pPr>
              <w:spacing w:after="20" w:line="250" w:lineRule="auto"/>
            </w:pPr>
            <w:r>
              <w:rPr>
                <w:rFonts w:ascii="Aptos" w:hAnsi="Aptos" w:eastAsia="Aptos"/>
                <w:color w:val="202A33"/>
                <w:sz w:val="19"/>
              </w:rPr>
              <w:t>Se separan lifecycle histórico de Proposal y elegibilidad actual de reingreso; no se reescribe la aprobación histórica.</w:t>
            </w:r>
          </w:p>
        </w:tc>
      </w:tr>
      <w:tr>
        <w:trPr>
          <w:cantSplit/>
        </w:trPr>
        <w:tc>
          <w:tcPr>
            <w:tcW w:type="dxa" w:w="158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UAT-ENV-001</w:t>
            </w:r>
          </w:p>
        </w:tc>
        <w:tc>
          <w:tcPr>
            <w:tcW w:type="dxa" w:w="295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CLOSED_AUTHORIZED_RECONSTRUCTION</w:t>
            </w:r>
          </w:p>
        </w:tc>
        <w:tc>
          <w:tcPr>
            <w:tcW w:type="dxa" w:w="563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La UAT tmpfs original se perdió. El usuario autorizó una reconstrucción gobernada en otra base persistente; no es el antiguo Tenant 4 / Project 16.</w:t>
            </w:r>
          </w:p>
        </w:tc>
      </w:tr>
      <w:tr>
        <w:trPr>
          <w:cantSplit/>
        </w:trPr>
        <w:tc>
          <w:tcPr>
            <w:tcW w:type="dxa" w:w="1584"/>
            <w:tcMar>
              <w:top w:w="100" w:type="dxa"/>
              <w:start w:w="100" w:type="dxa"/>
              <w:bottom w:w="100" w:type="dxa"/>
              <w:end w:w="100" w:type="dxa"/>
            </w:tcMar>
            <w:vAlign w:val="center"/>
          </w:tcPr>
          <w:p>
            <w:pPr>
              <w:spacing w:after="20" w:line="250" w:lineRule="auto"/>
            </w:pPr>
            <w:r>
              <w:rPr>
                <w:rFonts w:ascii="Aptos" w:hAnsi="Aptos" w:eastAsia="Aptos"/>
                <w:color w:val="202A33"/>
                <w:sz w:val="19"/>
              </w:rPr>
              <w:t>UAT-S2-005</w:t>
            </w:r>
          </w:p>
        </w:tc>
        <w:tc>
          <w:tcPr>
            <w:tcW w:type="dxa" w:w="2952"/>
            <w:tcMar>
              <w:top w:w="100" w:type="dxa"/>
              <w:start w:w="100" w:type="dxa"/>
              <w:bottom w:w="100" w:type="dxa"/>
              <w:end w:w="100" w:type="dxa"/>
            </w:tcMar>
            <w:vAlign w:val="center"/>
          </w:tcPr>
          <w:p>
            <w:pPr>
              <w:spacing w:after="20" w:line="250" w:lineRule="auto"/>
            </w:pPr>
            <w:r>
              <w:rPr>
                <w:rFonts w:ascii="Aptos" w:hAnsi="Aptos" w:eastAsia="Aptos"/>
                <w:color w:val="202A33"/>
                <w:sz w:val="19"/>
              </w:rPr>
              <w:t>CLOSED_SCOPED_TECHNICAL</w:t>
            </w:r>
          </w:p>
        </w:tc>
        <w:tc>
          <w:tcPr>
            <w:tcW w:type="dxa" w:w="5630"/>
            <w:tcMar>
              <w:top w:w="100" w:type="dxa"/>
              <w:start w:w="100" w:type="dxa"/>
              <w:bottom w:w="100" w:type="dxa"/>
              <w:end w:w="100" w:type="dxa"/>
            </w:tcMar>
            <w:vAlign w:val="center"/>
          </w:tcPr>
          <w:p>
            <w:pPr>
              <w:spacing w:after="20" w:line="250" w:lineRule="auto"/>
            </w:pPr>
            <w:r>
              <w:rPr>
                <w:rFonts w:ascii="Aptos" w:hAnsi="Aptos" w:eastAsia="Aptos"/>
                <w:color w:val="202A33"/>
                <w:sz w:val="19"/>
              </w:rPr>
              <w:t>Se reprodujeron dos desacoplamientos: inicialización no reconocía el FID real y la activación canónica provocaba PREPARATION_STALE al reevaluar reglas de ingreso pending-only. El puente de inicialización cuenta con regresión; activación real=True. Post-FID actual=NO_REACTIVATION_REQUIRED; bloqueos=[]. Focused de currentness: 38 PASS / 0 FAIL / 0 ERROR / 0 SKIP; los errores compartidos de setup se distinguen de fallos de cada caso.</w:t>
            </w:r>
          </w:p>
        </w:tc>
      </w:tr>
      <w:tr>
        <w:trPr>
          <w:cantSplit/>
        </w:trPr>
        <w:tc>
          <w:tcPr>
            <w:tcW w:type="dxa" w:w="158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UAT-S3-006</w:t>
            </w:r>
          </w:p>
        </w:tc>
        <w:tc>
          <w:tcPr>
            <w:tcW w:type="dxa" w:w="295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OPEN</w:t>
            </w:r>
          </w:p>
        </w:tc>
        <w:tc>
          <w:tcPr>
            <w:tcW w:type="dxa" w:w="563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El mismo Project 4 muestra responsable y plantilla en el Overview canónico, pero Home proyecta Not assigned y No template snapshot. La auditoría fuente identifica impacto en presentación, lista, filtro por responsable y ETag: ese filtro puede omitir el Project. No se encontró consumo en autorización, lifecycle, elegibilidad o selección de Project en el repositorio actual; no se afirma cobertura de clientes externos o futuros. No es UAT-S4-003. La observación inicial sin clasificación se conserva y el triage posterior la clasifica S3 MAJOR OPEN.</w:t>
            </w:r>
          </w:p>
        </w:tc>
      </w:tr>
    </w:tbl>
    <w:p>
      <w:pPr>
        <w:spacing w:after="20"/>
      </w:pPr>
    </w:p>
    <w:p>
      <w:pPr>
        <w:pStyle w:val="Heading1"/>
      </w:pPr>
      <w:r>
        <w:t>32 Decisión técnica de liberación</w:t>
      </w:r>
    </w:p>
    <w:p>
      <w:r>
        <w:t>STRATEGIC_MACROPROCESS_TECHNICALLY_READY_UAT_SIGNOFF_PENDING / UAT_SIGNOFF_PENDING. Condiciones verificadas: same_identity, controlled_references, reconciliation_19_required_plus_optional, frozen_material_hashes_unchanged, backend_chain, activation_command, post_activation_currentness, focused, broad, browser, browser_functional, browser_visual_review, operational_preservation, named_volume_restart_verified, frontend_build_typecheck_lint. Condiciones pendientes: ninguna técnica del alcance. Esta conclusión se limita al objetivo técnico Class B/FID/Post-FID; no certifica toda la metadata de Home, la limpieza completa de UI ni producción. UAT-S3-006 y los menores abiertos se conservan con sus límites de revisión. No se declara STRATEGIC_MACROPROCESS_READY_FOR_BUSINESS_RELEASE.</w:t>
      </w:r>
    </w:p>
    <w:p>
      <w:pPr>
        <w:pStyle w:val="Heading1"/>
      </w:pPr>
      <w:r>
        <w:t>33 Aceptación humana</w:t>
      </w:r>
    </w:p>
    <w:p>
      <w:r>
        <w:t>PENDING_NOT_ASSUMED. Las quince áreas de aceptación mantienen vacíos el firmante, la fecha y la evidencia. Una prueba técnica aprobada o una celda ACCEPTED aislada no constituye aceptación de negocio ni autorización de despliegue.</w:t>
      </w:r>
    </w:p>
    <w:p>
      <w:pPr>
        <w:pStyle w:val="Heading1"/>
      </w:pPr>
      <w:r>
        <w:t>34 Recomendación siguiente</w:t>
      </w:r>
    </w:p>
    <w:p>
      <w:r>
        <w:t>AUTHORIZED BUSINESS UAT SIGN-OFF</w:t>
      </w:r>
    </w:p>
    <w:sectPr w:rsidR="00FC693F" w:rsidRPr="0006063C" w:rsidSect="00034616">
      <w:footerReference w:type="default" r:id="rId10"/>
      <w:pgSz w:w="12240" w:h="15840"/>
      <w:pgMar w:top="1037" w:right="1037" w:bottom="1037"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000000"/>
        <w:sz w:val="16"/>
      </w:rPr>
      <w:t xml:space="preserve">16 octubre 2026  Página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eastAsia="Aptos"/>
      <w:color w:val="202A33"/>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Display"/>
      <w:b/>
      <w:bCs/>
      <w:color w:val="000000"/>
      <w:sz w:val="30"/>
      <w:szCs w:val="28"/>
      <w:u w:val="none"/>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Display"/>
      <w:b/>
      <w:bCs/>
      <w:color w:val="000000"/>
      <w:sz w:val="24"/>
      <w:szCs w:val="26"/>
      <w:u w:val="none"/>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Display"/>
      <w:b/>
      <w:bCs/>
      <w:color w:val="000000"/>
      <w:sz w:val="21"/>
      <w:u w:val="none"/>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w:hAnsi="Aptos" w:eastAsia="Aptos Display"/>
      <w:b/>
      <w:color w:val="000000"/>
      <w:spacing w:val="5"/>
      <w:kern w:val="28"/>
      <w:sz w:val="48"/>
      <w:szCs w:val="52"/>
      <w:u w:val="none"/>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u w:val="none"/>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controladas Gate07J FID y Post FID</dc:title>
  <dc:subject>Validación final del macroproceso estratégico</dc:subject>
  <dc:creator>P&amp;Pmis Construction AI</dc:creator>
  <cp:keywords>CPIG, arquitectura, PDRI, Capital Planning, QRA, Gate07J</cp:keywords>
  <dc:description>Validación, guías y cierre estratégico; ninguna firma de negocio es inferida.</dc:description>
  <cp:lastModifiedBy/>
  <cp:revision>4</cp:revision>
  <dcterms:created xsi:type="dcterms:W3CDTF">2013-12-23T23:15:00Z</dcterms:created>
  <dcterms:modified xsi:type="dcterms:W3CDTF">2013-12-23T23:15:00Z</dcterms:modified>
  <cp:category/>
</cp:coreProperties>
</file>