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 cy="494088"/>
            <wp:docPr id="1" name="Picture 1" title="P&amp;Pmis Construction AI"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548640" cy="494088"/>
                    </a:xfrm>
                    <a:prstGeom prst="rect"/>
                  </pic:spPr>
                </pic:pic>
              </a:graphicData>
            </a:graphic>
          </wp:inline>
        </w:drawing>
      </w:r>
    </w:p>
    <w:p>
      <w:pPr>
        <w:pStyle w:val="Title"/>
      </w:pPr>
      <w:r>
        <w:t>Guía de administración del macroproceso estratégico</w:t>
      </w:r>
    </w:p>
    <w:p>
      <w:r>
        <w:t>P&amp;Pmis Construction AI. Capital Portfolio &amp; Investment Governance. Corte del 14 de octubre de 2026.</w:t>
      </w:r>
    </w:p>
    <w:p>
      <w:r>
        <w:t>ADMIN configura y USER opera. Esta guía cubre la configuración reutilizable previa a las transacciones. Cambiar una política exige revisar alcance, versiones, vigencia, publicación, separación de funciones e impacto histórico.</w:t>
      </w:r>
    </w:p>
    <w:p>
      <w:r>
        <w:t>La aceptación de negocio requiere firmas de representantes autorizados. Una prueba técnica aprobada o un inventario de código no constituye esa aceptación.</w:t>
      </w:r>
    </w:p>
    <w:p>
      <w:pPr>
        <w:pStyle w:val="Heading1"/>
      </w:pPr>
      <w:r>
        <w:t>Modelo de administración y cambio seguro</w:t>
      </w:r>
    </w:p>
    <w:p>
      <w:r>
        <w:t>El propietario de negocio define los criterios y la autoridad configurada. El administrador prepara el draft y un publicador independiente actúa cuando la SoD efectiva lo exige. La asignación de organización no se inventa: use roles y concesiones actuales, acotadas a Workspace y periodo válido.</w:t>
      </w:r>
    </w:p>
    <w:p>
      <w:r>
        <w:t>Abra ADMIN MODE, seleccione el Workspace de configuración, consulte la política efectiva y sus fuentes heredadas, clone la revisión publicada a draft cuando el dominio lo soporte, edite, valide y use preview. Compare el impacto en USER antes de publicar. La disponibilidad de un botón no sustituye autorización de backend.</w:t>
      </w:r>
    </w:p>
    <w:p>
      <w:r>
        <w:t>Una revisión publicada es inmutable. Un sucesor cambia el contexto efectivo futuro según su vigencia; no modifica snapshots COMPLETED, FROZEN o DECIDED. Si cambia una fuente material, el estado actual puede resultar STALE y requerir una nueva revisión de evaluación.</w:t>
      </w:r>
    </w:p>
    <w:p>
      <w:r>
        <w:t>Al solicitar una revisión CORE, el servicio incorpora al borrador las identidades Project ya creadas por USER y su estado live actual. También reconcilia un borrador existente conservando sus demás ediciones; si cambia su contenido, invalida validación y aprobación anteriores. No crea Project ni modifica su lifecycle. Si el padre live no está representado con su identidad exacta, PROJECT_PARENT_RECONCILIATION_REQUIRED exige reconciliación controlada y detiene la operación antes de escribir. No se inventan ancestros ni se modifica el snapshot publicado.</w:t>
      </w:r>
    </w:p>
    <w:p>
      <w:pPr>
        <w:pStyle w:val="Heading1"/>
      </w:pPr>
      <w:r>
        <w:t>Enterprise Structure Workspace Manager</w:t>
      </w:r>
    </w:p>
    <w:p>
      <w:r>
        <w:rPr>
          <w:b/>
        </w:rPr>
        <w:t xml:space="preserve">Propósito </w:t>
      </w:r>
      <w:r>
        <w:t>Definir los criterios reutilizables de Enterprise Structure &amp; Workspace Manager antes de las transacciones aplicables de USER.</w:t>
      </w:r>
    </w:p>
    <w:p>
      <w:r>
        <w:rPr>
          <w:b/>
        </w:rPr>
        <w:t xml:space="preserve">Controles propios del dominio </w:t>
      </w:r>
      <w:r>
        <w:t>Tipos permitidos, categorías, composición y revisión de estructura. Ninguna revisión de configuración debe crear o activar PROJECT live fuera del proceso gobernado.</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/app/admin/strategy/enterprise-structure-configuration.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Workspace Types</w:t>
      </w:r>
    </w:p>
    <w:p>
      <w:r>
        <w:rPr>
          <w:b/>
        </w:rPr>
        <w:t xml:space="preserve">Propósito </w:t>
      </w:r>
      <w:r>
        <w:t>Definir los criterios reutilizables de Workspace Types antes de las transacciones aplicables de USER.</w:t>
      </w:r>
    </w:p>
    <w:p>
      <w:r>
        <w:rPr>
          <w:b/>
        </w:rPr>
        <w:t xml:space="preserve">Controles propios del dominio </w:t>
      </w:r>
      <w:r>
        <w:t>Workspace Type, categorías, semántica de instancia y reglas de pertenencia. PROJECT conserva su identidad en enterprise_workspaces.</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/app/admin/strategy/workspace-types.</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Composition Rules</w:t>
      </w:r>
    </w:p>
    <w:p>
      <w:r>
        <w:rPr>
          <w:b/>
        </w:rPr>
        <w:t xml:space="preserve">Propósito </w:t>
      </w:r>
      <w:r>
        <w:t>Definir los criterios reutilizables de Composition Rules antes de las transacciones aplicables de USER.</w:t>
      </w:r>
    </w:p>
    <w:p>
      <w:r>
        <w:rPr>
          <w:b/>
        </w:rPr>
        <w:t xml:space="preserve">Controles propios del dominio </w:t>
      </w:r>
      <w:r>
        <w:t>Relaciones parent/child, tipos admitidos, límites y publicación de Composition Rules. Esta pantalla edita reglas reutilizables, no instancias Project.</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/app/admin/strategy/enterprise-workspace-structure.</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Strategic Objectives</w:t>
      </w:r>
    </w:p>
    <w:p>
      <w:r>
        <w:rPr>
          <w:b/>
        </w:rPr>
        <w:t xml:space="preserve">Propósito </w:t>
      </w:r>
      <w:r>
        <w:t>Definir los criterios reutilizables de Strategic Objectives antes de las transacciones aplicables de USER.</w:t>
      </w:r>
    </w:p>
    <w:p>
      <w:r>
        <w:rPr>
          <w:b/>
        </w:rPr>
        <w:t xml:space="preserve">Controles propios del dominio </w:t>
      </w:r>
      <w:r>
        <w:t>Objetivos estratégicos y trazabilidad de demandas e inversiones. Mantener códigos y referencias históricas al publicar cambios.</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/app/admin/strategy/foundation-strategic-objectives.</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Workspace Defaults Inheritance</w:t>
      </w:r>
    </w:p>
    <w:p>
      <w:r>
        <w:rPr>
          <w:b/>
        </w:rPr>
        <w:t xml:space="preserve">Propósito </w:t>
      </w:r>
      <w:r>
        <w:t>Definir los criterios reutilizables de Workspace Defaults &amp; Inheritance antes de las transacciones aplicables de USER.</w:t>
      </w:r>
    </w:p>
    <w:p>
      <w:r>
        <w:rPr>
          <w:b/>
        </w:rPr>
        <w:t xml:space="preserve">Controles propios del dominio </w:t>
      </w:r>
      <w:r>
        <w:t>Defaults y resolución heredada por contexto. Comparar fuente efectiva y overrides antes de modificar descendientes.</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/app/admin/strategy/workspace-defaults.</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Module Catalog Activation</w:t>
      </w:r>
    </w:p>
    <w:p>
      <w:r>
        <w:rPr>
          <w:b/>
        </w:rPr>
        <w:t xml:space="preserve">Propósito </w:t>
      </w:r>
      <w:r>
        <w:t>Definir los criterios reutilizables de Module Catalog &amp; Activation antes de las transacciones aplicables de USER.</w:t>
      </w:r>
    </w:p>
    <w:p>
      <w:r>
        <w:rPr>
          <w:b/>
        </w:rPr>
        <w:t xml:space="preserve">Controles propios del dominio </w:t>
      </w:r>
      <w:r>
        <w:t>Catálogo y disponibilidad modular por Workspace. Activación de módulo no es activación de un Project Workspace ni autorización de inversión.</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/app/admin/strategy/module-catalog-activation.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Workspace Navigation Profiles</w:t>
      </w:r>
    </w:p>
    <w:p>
      <w:r>
        <w:rPr>
          <w:b/>
        </w:rPr>
        <w:t xml:space="preserve">Propósito </w:t>
      </w:r>
      <w:r>
        <w:t>Definir los criterios reutilizables de Workspace Navigation Profiles antes de las transacciones aplicables de USER.</w:t>
      </w:r>
    </w:p>
    <w:p>
      <w:r>
        <w:rPr>
          <w:b/>
        </w:rPr>
        <w:t xml:space="preserve">Controles propios del dominio </w:t>
      </w:r>
      <w:r>
        <w:t>Perfiles de navegación y visibilidad. La UI ayuda a descubrir acciones, pero no sustituye permisos ni reglas de elegibilidad del backend.</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/app/admin/strategy/workspace-navigation-profiles.</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Risk Governance</w:t>
      </w:r>
    </w:p>
    <w:p>
      <w:r>
        <w:rPr>
          <w:b/>
        </w:rPr>
        <w:t xml:space="preserve">Propósito </w:t>
      </w:r>
      <w:r>
        <w:t>Definir los criterios reutilizables de Risk Governance antes de las transacciones aplicables de USER.</w:t>
      </w:r>
    </w:p>
    <w:p>
      <w:r>
        <w:rPr>
          <w:b/>
        </w:rPr>
        <w:t xml:space="preserve">Controles propios del dominio </w:t>
      </w:r>
      <w:r>
        <w:t>Capacidad, apetito y umbrales de riesgo. Son configuración ADMIN; USER consume el contexto efectivo y registra sus evaluaciones de riesgo separadas.</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/app/admin/strategy/risk-governance-configuration.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Strategic Capital Planning Demand Configuration</w:t>
      </w:r>
    </w:p>
    <w:p>
      <w:r>
        <w:rPr>
          <w:b/>
        </w:rPr>
        <w:t xml:space="preserve">Propósito </w:t>
      </w:r>
      <w:r>
        <w:t>Definir los criterios reutilizables de Strategic Capital Planning &amp; Demand Configuration antes de las transacciones aplicables de USER.</w:t>
      </w:r>
    </w:p>
    <w:p>
      <w:r>
        <w:rPr>
          <w:b/>
        </w:rPr>
        <w:t xml:space="preserve">Controles propios del dominio </w:t>
      </w:r>
      <w:r>
        <w:t>Ciclos y taxonomías de demanda, evaluación, handoffs y reglas de planeación. Diferenciar posiciones Target, Current, Recommended y Approved.</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/app/admin/strategy/capital-planning-configuration.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Strategic Capital Buckets</w:t>
      </w:r>
    </w:p>
    <w:p>
      <w:r>
        <w:rPr>
          <w:b/>
        </w:rPr>
        <w:t xml:space="preserve">Propósito </w:t>
      </w:r>
      <w:r>
        <w:t>Definir los criterios reutilizables de Strategic Capital Buckets antes de las transacciones aplicables de USER.</w:t>
      </w:r>
    </w:p>
    <w:p>
      <w:r>
        <w:rPr>
          <w:b/>
        </w:rPr>
        <w:t xml:space="preserve">Controles propios del dominio </w:t>
      </w:r>
      <w:r>
        <w:t>Buckets estratégicos, reglas de asignación y objetivos. Los targets y posiciones no se convierten en Budget o Funding autorizados.</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/app/admin/strategy/strategic-capital-bucket-configuration.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Idea Demand Configuration</w:t>
      </w:r>
    </w:p>
    <w:p>
      <w:r>
        <w:rPr>
          <w:b/>
        </w:rPr>
        <w:t xml:space="preserve">Propósito </w:t>
      </w:r>
      <w:r>
        <w:t>Definir los criterios reutilizables de Idea &amp; Demand Configuration antes de las transacciones aplicables de USER.</w:t>
      </w:r>
    </w:p>
    <w:p>
      <w:r>
        <w:rPr>
          <w:b/>
        </w:rPr>
        <w:t xml:space="preserve">Controles propios del dominio </w:t>
      </w:r>
      <w:r>
        <w:t>Elegibilidad del Workspace propietario, taxonomía Idea y requisitos de evaluación/aceptación. No convertir Idea en Workspace.</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/app/admin/strategy/idea-demand-configuration.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Business Analysis Configuration</w:t>
      </w:r>
    </w:p>
    <w:p>
      <w:r>
        <w:rPr>
          <w:b/>
        </w:rPr>
        <w:t xml:space="preserve">Propósito </w:t>
      </w:r>
      <w:r>
        <w:t>Definir los criterios reutilizables de Business Analysis Configuration antes de las transacciones aplicables de USER.</w:t>
      </w:r>
    </w:p>
    <w:p>
      <w:r>
        <w:rPr>
          <w:b/>
        </w:rPr>
        <w:t xml:space="preserve">Controles propios del dominio </w:t>
      </w:r>
      <w:r>
        <w:t>Aplicabilidad de BA, requisitos de opciones, criterios, recomendación y revisión independiente. Resolver si BA es obligatorio antes del handoff a Proposal.</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/app/admin/strategy/business-analysis-configuration.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Project Proposal Configuration</w:t>
      </w:r>
    </w:p>
    <w:p>
      <w:r>
        <w:rPr>
          <w:b/>
        </w:rPr>
        <w:t xml:space="preserve">Propósito </w:t>
      </w:r>
      <w:r>
        <w:t>Definir los criterios reutilizables de Project Proposal Configuration antes de las transacciones aplicables de USER.</w:t>
      </w:r>
    </w:p>
    <w:p>
      <w:r>
        <w:rPr>
          <w:b/>
        </w:rPr>
        <w:t xml:space="preserve">Controles propios del dominio </w:t>
      </w:r>
      <w:r>
        <w:t>Requisitos de alcance, beneficios, ROM, fechas, riesgos, supuestos y restricciones. Evaluación y handoff no sustituyen Strategic Gate.</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/app/admin/strategy/project-proposal-configuration.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Strategic Gate Decision Configuration</w:t>
      </w:r>
    </w:p>
    <w:p>
      <w:r>
        <w:rPr>
          <w:b/>
        </w:rPr>
        <w:t xml:space="preserve">Propósito </w:t>
      </w:r>
      <w:r>
        <w:t>Definir los criterios reutilizables de Strategic Gate Decision Configuration antes de las transacciones aplicables de USER.</w:t>
      </w:r>
    </w:p>
    <w:p>
      <w:r>
        <w:rPr>
          <w:b/>
        </w:rPr>
        <w:t xml:space="preserve">Controles propios del dominio </w:t>
      </w:r>
      <w:r>
        <w:t>Perfil Strategic Gate, criterios y autoridad para APPROVE, RETURN, REJECT y DEFER. Esta autoridad no constituye FID.</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/app/admin/strategy/strategic-gate-configuration.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Portfolio Intake</w:t>
      </w:r>
    </w:p>
    <w:p>
      <w:r>
        <w:rPr>
          <w:b/>
        </w:rPr>
        <w:t xml:space="preserve">Propósito </w:t>
      </w:r>
      <w:r>
        <w:t>Definir los criterios reutilizables de Portfolio Intake antes de las transacciones aplicables de USER.</w:t>
      </w:r>
    </w:p>
    <w:p>
      <w:r>
        <w:rPr>
          <w:b/>
        </w:rPr>
        <w:t xml:space="preserve">Controles propios del dominio </w:t>
      </w:r>
      <w:r>
        <w:t>Elegibilidad de intake, membership, contexto Portfolio y gobierno de la entrada de un Project canónico.</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/app/admin/strategy/portfolio-planning-configuration.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Evaluation Prioritization</w:t>
      </w:r>
    </w:p>
    <w:p>
      <w:r>
        <w:rPr>
          <w:b/>
        </w:rPr>
        <w:t xml:space="preserve">Propósito </w:t>
      </w:r>
      <w:r>
        <w:t>Definir los criterios reutilizables de Evaluation &amp; Prioritization antes de las transacciones aplicables de USER.</w:t>
      </w:r>
    </w:p>
    <w:p>
      <w:r>
        <w:rPr>
          <w:b/>
        </w:rPr>
        <w:t xml:space="preserve">Controles propios del dominio </w:t>
      </w:r>
      <w:r>
        <w:t>Criterios y pesos de evaluación contextual, revisión y priorización. Conservar el Portfolio Rank en su contexto, no un ranking global paralelo.</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/app/admin/strategy/portfolio-evaluation-configuration.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Portfolio Analysis</w:t>
      </w:r>
    </w:p>
    <w:p>
      <w:r>
        <w:rPr>
          <w:b/>
        </w:rPr>
        <w:t xml:space="preserve">Propósito </w:t>
      </w:r>
      <w:r>
        <w:t>Definir los criterios reutilizables de Portfolio Analysis antes de las transacciones aplicables de USER.</w:t>
      </w:r>
    </w:p>
    <w:p>
      <w:r>
        <w:rPr>
          <w:b/>
        </w:rPr>
        <w:t xml:space="preserve">Controles propios del dominio </w:t>
      </w:r>
      <w:r>
        <w:t>Investor Map y Scorecard, comparabilidad, umbrales y restricciones de moneda. No mezclar monedas silenciosamente.</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/app/admin/strategy/portfolio-analysis-configuration.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Periodic Portfolio Review</w:t>
      </w:r>
    </w:p>
    <w:p>
      <w:r>
        <w:rPr>
          <w:b/>
        </w:rPr>
        <w:t xml:space="preserve">Propósito </w:t>
      </w:r>
      <w:r>
        <w:t>Definir los criterios reutilizables de Periodic Portfolio Review antes de las transacciones aplicables de USER.</w:t>
      </w:r>
    </w:p>
    <w:p>
      <w:r>
        <w:rPr>
          <w:b/>
        </w:rPr>
        <w:t xml:space="preserve">Controles propios del dominio </w:t>
      </w:r>
      <w:r>
        <w:t>Ciclo de revisión, snapshot, Project Matrix, conclusiones, acciones y revisión. HOLD_FOR_CAPACITY no equivale a Gate07K HOLD.</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/app/admin/strategy/portfolio-review-configuration.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Budget Planning</w:t>
      </w:r>
    </w:p>
    <w:p>
      <w:r>
        <w:rPr>
          <w:b/>
        </w:rPr>
        <w:t xml:space="preserve">Propósito </w:t>
      </w:r>
      <w:r>
        <w:t>Definir los criterios reutilizables de Budget Planning antes de las transacciones aplicables de USER.</w:t>
      </w:r>
    </w:p>
    <w:p>
      <w:r>
        <w:rPr>
          <w:b/>
        </w:rPr>
        <w:t xml:space="preserve">Controles propios del dominio </w:t>
      </w:r>
      <w:r>
        <w:t>Budget Target, escenarios, selección, fases temporales, Waterline y CAPEX/Expense. FROZEN protege una alternativa, no la aprueba.</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/app/admin/strategy/portfolio-budget-planning-configuration.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Resource Planning</w:t>
      </w:r>
    </w:p>
    <w:p>
      <w:r>
        <w:rPr>
          <w:b/>
        </w:rPr>
        <w:t xml:space="preserve">Propósito </w:t>
      </w:r>
      <w:r>
        <w:t>Definir los criterios reutilizables de Resource Planning antes de las transacciones aplicables de USER.</w:t>
      </w:r>
    </w:p>
    <w:p>
      <w:r>
        <w:rPr>
          <w:b/>
        </w:rPr>
        <w:t xml:space="preserve">Controles propios del dominio </w:t>
      </w:r>
      <w:r>
        <w:t>Taxonomía de capacidad y demanda, periodos, escenarios y sobrecargas. No asigna personas ni nivela recursos P6.</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/app/admin/strategy/portfolio-resource-planning-configuration.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Scenario Convergence</w:t>
      </w:r>
    </w:p>
    <w:p>
      <w:r>
        <w:rPr>
          <w:b/>
        </w:rPr>
        <w:t xml:space="preserve">Propósito </w:t>
      </w:r>
      <w:r>
        <w:t>Definir los criterios reutilizables de Scenario Convergence antes de las transacciones aplicables de USER.</w:t>
      </w:r>
    </w:p>
    <w:p>
      <w:r>
        <w:rPr>
          <w:b/>
        </w:rPr>
        <w:t xml:space="preserve">Controles propios del dominio </w:t>
      </w:r>
      <w:r>
        <w:t>Comparabilidad de conjuntos Budget/Resource, viabilidad combinada, conflictos y reglas de recomendación. Recomendación sigue separada de inversión.</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/app/admin/strategy/portfolio-scenario-convergence-configuration.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Project Definition FEL</w:t>
      </w:r>
    </w:p>
    <w:p>
      <w:r>
        <w:rPr>
          <w:b/>
        </w:rPr>
        <w:t xml:space="preserve">Propósito </w:t>
      </w:r>
      <w:r>
        <w:t>Definir los criterios reutilizables de Project Definition / FEL antes de las transacciones aplicables de USER.</w:t>
      </w:r>
    </w:p>
    <w:p>
      <w:r>
        <w:rPr>
          <w:b/>
        </w:rPr>
        <w:t xml:space="preserve">Controles propios del dominio </w:t>
      </w:r>
      <w:r>
        <w:t>Etapas FEL, requisitos por etapa y evaluación de madurez compatible PDRI. No equiparar etapa FEL, madurez y puntaje ni ocultar gaps bloqueantes.</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/app/admin/strategy/project-definition-configuration.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Business Case Manager</w:t>
      </w:r>
    </w:p>
    <w:p>
      <w:r>
        <w:rPr>
          <w:b/>
        </w:rPr>
        <w:t xml:space="preserve">Propósito </w:t>
      </w:r>
      <w:r>
        <w:t>Definir los criterios reutilizables de Business Case Manager antes de las transacciones aplicables de USER.</w:t>
      </w:r>
    </w:p>
    <w:p>
      <w:r>
        <w:rPr>
          <w:b/>
        </w:rPr>
        <w:t xml:space="preserve">Controles propios del dominio </w:t>
      </w:r>
      <w:r>
        <w:t>Casos Strategic, Economic, Commercial, Financial y Management; fuentes y cobertura requeridas, revisión, completion y consistencia con Gate.</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/app/admin/strategy/business-case-configuration.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Benefits Configuration</w:t>
      </w:r>
    </w:p>
    <w:p>
      <w:r>
        <w:rPr>
          <w:b/>
        </w:rPr>
        <w:t xml:space="preserve">Propósito </w:t>
      </w:r>
      <w:r>
        <w:t>Definir los criterios reutilizables de Benefits Configuration antes de las transacciones aplicables de USER.</w:t>
      </w:r>
    </w:p>
    <w:p>
      <w:r>
        <w:rPr>
          <w:b/>
        </w:rPr>
        <w:t xml:space="preserve">Controles propios del dominio </w:t>
      </w:r>
      <w:r>
        <w:t>Plan, registro, propietarios, medidas, baseline conocida o desconocida y trazabilidad estratégica. La configuración no ejecuta realización operativa.</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/app/admin/strategy/benefits-configuration.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Commercial Strategy Configuration</w:t>
      </w:r>
    </w:p>
    <w:p>
      <w:r>
        <w:rPr>
          <w:b/>
        </w:rPr>
        <w:t xml:space="preserve">Propósito </w:t>
      </w:r>
      <w:r>
        <w:t>Definir los criterios reutilizables de Commercial Strategy Configuration antes de las transacciones aplicables de USER.</w:t>
      </w:r>
    </w:p>
    <w:p>
      <w:r>
        <w:rPr>
          <w:b/>
        </w:rPr>
        <w:t xml:space="preserve">Controles propios del dominio </w:t>
      </w:r>
      <w:r>
        <w:t>Modelo de entrega, packaging, modelo comercial, enfoque contractual y distribución de riesgos. No habilita ejecución de Procurement.</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/app/admin/strategy/commercial-strategy-configuration.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Funds Funding Readiness</w:t>
      </w:r>
    </w:p>
    <w:p>
      <w:r>
        <w:rPr>
          <w:b/>
        </w:rPr>
        <w:t xml:space="preserve">Propósito </w:t>
      </w:r>
      <w:r>
        <w:t>Definir los criterios reutilizables de Funds &amp; Funding Readiness antes de las transacciones aplicables de USER.</w:t>
      </w:r>
    </w:p>
    <w:p>
      <w:r>
        <w:rPr>
          <w:b/>
        </w:rPr>
        <w:t xml:space="preserve">Controles propios del dominio </w:t>
      </w:r>
      <w:r>
        <w:t>Tipos de Funding Source, Fund y Assignment; condiciones y cobertura de Funding Readiness. Mantener la autoridad de fondos separada de Budget y Treasury.</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/app/admin/strategy/funds-manager-configuration.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Economic Financial Model</w:t>
      </w:r>
    </w:p>
    <w:p>
      <w:r>
        <w:rPr>
          <w:b/>
        </w:rPr>
        <w:t xml:space="preserve">Propósito </w:t>
      </w:r>
      <w:r>
        <w:t>Definir los criterios reutilizables de Economic &amp; Financial Model antes de las transacciones aplicables de USER.</w:t>
      </w:r>
    </w:p>
    <w:p>
      <w:r>
        <w:rPr>
          <w:b/>
        </w:rPr>
        <w:t xml:space="preserve">Controles propios del dominio </w:t>
      </w:r>
      <w:r>
        <w:t>Periodos, métricas, reconciliación, tasas, estructura de capital, inversionistas y deuda del modelo determinístico. No ejecuta contabilidad ni tesorería.</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/app/admin/strategy/financial-model-configuration.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Risk Readiness</w:t>
      </w:r>
    </w:p>
    <w:p>
      <w:r>
        <w:rPr>
          <w:b/>
        </w:rPr>
        <w:t xml:space="preserve">Propósito </w:t>
      </w:r>
      <w:r>
        <w:t>Definir los criterios reutilizables de Risk Readiness antes de las transacciones aplicables de USER.</w:t>
      </w:r>
    </w:p>
    <w:p>
      <w:r>
        <w:rPr>
          <w:b/>
        </w:rPr>
        <w:t xml:space="preserve">Controles propios del dominio </w:t>
      </w:r>
      <w:r>
        <w:t>Aplicabilidad, cobertura, riesgo inherente y residual, tratamientos y aceptación. Conservar fuentes y su vigencia para el provider gobernado.</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/app/admin/strategy/risk-readiness-configuration.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Permit Readiness</w:t>
      </w:r>
    </w:p>
    <w:p>
      <w:r>
        <w:rPr>
          <w:b/>
        </w:rPr>
        <w:t xml:space="preserve">Propósito </w:t>
      </w:r>
      <w:r>
        <w:t>Definir los criterios reutilizables de Permit Readiness antes de las transacciones aplicables de USER.</w:t>
      </w:r>
    </w:p>
    <w:p>
      <w:r>
        <w:rPr>
          <w:b/>
        </w:rPr>
        <w:t xml:space="preserve">Controles propios del dominio </w:t>
      </w:r>
      <w:r>
        <w:t>Requisitos, permisos Project, condiciones, aplicabilidad y cobertura. La política no emite una licencia ni elimina condiciones regulatorias.</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/app/admin/strategy/permit-readiness-configuration.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Basic Data Readiness Configuration</w:t>
      </w:r>
    </w:p>
    <w:p>
      <w:r>
        <w:rPr>
          <w:b/>
        </w:rPr>
        <w:t xml:space="preserve">Propósito </w:t>
      </w:r>
      <w:r>
        <w:t>Definir los criterios reutilizables de Basic Data Readiness Configuration antes de las transacciones aplicables de USER.</w:t>
      </w:r>
    </w:p>
    <w:p>
      <w:r>
        <w:rPr>
          <w:b/>
        </w:rPr>
        <w:t xml:space="preserve">Controles propios del dominio </w:t>
      </w:r>
      <w:r>
        <w:t>Requisitos por etapa, disponibilidad, validación, calidad, confianza y frescura. Distinguir estas dimensiones de FEL/PDRI.</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/app/admin/strategy/basic-data-configuration.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Owner Capability Readiness Configuration</w:t>
      </w:r>
    </w:p>
    <w:p>
      <w:r>
        <w:rPr>
          <w:b/>
        </w:rPr>
        <w:t xml:space="preserve">Propósito </w:t>
      </w:r>
      <w:r>
        <w:t>Definir los criterios reutilizables de Owner Capability Readiness Configuration antes de las transacciones aplicables de USER.</w:t>
      </w:r>
    </w:p>
    <w:p>
      <w:r>
        <w:rPr>
          <w:b/>
        </w:rPr>
        <w:t xml:space="preserve">Controles propios del dominio </w:t>
      </w:r>
      <w:r>
        <w:t>Framework de capacidad, madurez, gaps, mitigación y fuentes INTERNAL, EXTERNAL_CONTRACTED o HYBRID. No confundir con Resource Planning u Operational Readiness.</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/app/admin/strategy/owner-capability-configuration.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QRA Methodology Source Readiness</w:t>
      </w:r>
    </w:p>
    <w:p>
      <w:r>
        <w:rPr>
          <w:b/>
        </w:rPr>
        <w:t xml:space="preserve">Propósito </w:t>
      </w:r>
      <w:r>
        <w:t>Definir los criterios reutilizables de QRA Methodology &amp; Source Readiness antes de las transacciones aplicables de USER.</w:t>
      </w:r>
    </w:p>
    <w:p>
      <w:r>
        <w:rPr>
          <w:b/>
        </w:rPr>
        <w:t xml:space="preserve">Controles propios del dominio </w:t>
      </w:r>
      <w:r>
        <w:t>methodology, analysis_types, cost_requirements, schedule_requirements, range_policies, distribution_rules, correlation_rules, model_governance, separation_of_duties y freshness. Solo capacidad Cost/Schedule soportada.</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/app/admin/strategy/qra-methodology-source-readiness.</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Evidence Decision Policy</w:t>
      </w:r>
    </w:p>
    <w:p>
      <w:r>
        <w:rPr>
          <w:b/>
        </w:rPr>
        <w:t xml:space="preserve">Propósito </w:t>
      </w:r>
      <w:r>
        <w:t>Definir los criterios reutilizables de Evidence &amp; Decision Policy antes de las transacciones aplicables de USER.</w:t>
      </w:r>
    </w:p>
    <w:p>
      <w:r>
        <w:rPr>
          <w:b/>
        </w:rPr>
        <w:t xml:space="preserve">Controles propios del dominio </w:t>
      </w:r>
      <w:r>
        <w:t>gate_profile_code, project contexts, Class A/B/C, providers, cobertura, currentness y Decision Criteria. Preview expone effective_matrix, blockers, warnings y persisted=false. QRA es contextual y no Integrated.</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/app/admin/strategy/investment-decision-evidence-policy.</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Investment Gate Preparation</w:t>
      </w:r>
    </w:p>
    <w:p>
      <w:r>
        <w:rPr>
          <w:b/>
        </w:rPr>
        <w:t xml:space="preserve">Propósito </w:t>
      </w:r>
      <w:r>
        <w:t>Definir los criterios reutilizables de Investment Gate Preparation antes de las transacciones aplicables de USER.</w:t>
      </w:r>
    </w:p>
    <w:p>
      <w:r>
        <w:rPr>
          <w:b/>
        </w:rPr>
        <w:t xml:space="preserve">Controles propios del dominio </w:t>
      </w:r>
      <w:r>
        <w:t>Perfiles Gate, evidencias, revisión y congelación de paquetes. Gate07J no decide la inversión ni ejecuta QRA.</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/app/admin/strategy/investment-gate-preparation-configuration.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Investment Decision FID</w:t>
      </w:r>
    </w:p>
    <w:p>
      <w:r>
        <w:rPr>
          <w:b/>
        </w:rPr>
        <w:t xml:space="preserve">Propósito </w:t>
      </w:r>
      <w:r>
        <w:t>Definir los criterios reutilizables de Investment Decision / FID antes de las transacciones aplicables de USER.</w:t>
      </w:r>
    </w:p>
    <w:p>
      <w:r>
        <w:rPr>
          <w:b/>
        </w:rPr>
        <w:t xml:space="preserve">Controles propios del dominio </w:t>
      </w:r>
      <w:r>
        <w:t>Autoridad decisora, comité, miembros, quorum, votación y SoD; outcomes GO, HOLD, RECYCLE y KILL. Solo el contexto PYP-FFA más GO es FID.</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/app/admin/strategy/investment-decision-configuration.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Post FID Project Governance</w:t>
      </w:r>
    </w:p>
    <w:p>
      <w:r>
        <w:rPr>
          <w:b/>
        </w:rPr>
        <w:t xml:space="preserve">Propósito </w:t>
      </w:r>
      <w:r>
        <w:t>Definir los criterios reutilizables de Post-FID Project Governance antes de las transacciones aplicables de USER.</w:t>
      </w:r>
    </w:p>
    <w:p>
      <w:r>
        <w:rPr>
          <w:b/>
        </w:rPr>
        <w:t xml:space="preserve">Controles propios del dominio </w:t>
      </w:r>
      <w:r>
        <w:t>Condiciones posteriores a FID, bloqueos y elegibilidad de inicialización/activación. No activar ni reactivar automáticamente Project.</w:t>
      </w:r>
    </w:p>
    <w:p>
      <w:r>
        <w:rPr>
          <w:b/>
        </w:rPr>
        <w:t xml:space="preserve">Propietario de negocio </w:t>
      </w:r>
      <w:r>
        <w:t>Propietario funcional del dominio y administrador con permiso can_configure. No equivale a una asignación organizacional ya aprobada.</w:t>
      </w:r>
    </w:p>
    <w:p>
      <w:r>
        <w:rPr>
          <w:b/>
        </w:rPr>
        <w:t xml:space="preserve">Dónde se configura </w:t>
      </w:r>
      <w:r>
        <w:t>/app/admin/strategy/post-fid-governance-configuration.</w:t>
      </w:r>
    </w:p>
    <w:p>
      <w:r>
        <w:rPr>
          <w:b/>
        </w:rPr>
        <w:t xml:space="preserve">Herencia </w:t>
      </w:r>
      <w:r>
        <w:t>Revisar el alcance y las fuentes de política efectiva del Workspace. La herencia se conserva según la resolución implementada por el dominio; no se supone que todas las familias compartan un único esquema ni overrides idénticos.</w:t>
      </w:r>
    </w:p>
    <w:p>
      <w:r>
        <w:rPr>
          <w:b/>
        </w:rPr>
        <w:t xml:space="preserve">Versionado </w:t>
      </w:r>
      <w:r>
        <w:t>Conservar ID, revision, version y content_hash que el contrato del dominio expone. No editar una publicación ni reutilizar un hash para una configuración distinta.</w:t>
      </w:r>
    </w:p>
    <w:p>
      <w:r>
        <w:rPr>
          <w:b/>
        </w:rPr>
        <w:t xml:space="preserve">Vigencia </w:t>
      </w:r>
      <w:r>
        <w:t>Revisar effective_from y effective_to donde el contrato los admita, así como el contexto as_of. Si la familia no expone fechas, no agregar una vigencia ficticia.</w:t>
      </w:r>
    </w:p>
    <w:p>
      <w:r>
        <w:rPr>
          <w:b/>
        </w:rPr>
        <w:t xml:space="preserve">Publicación </w:t>
      </w:r>
      <w:r>
        <w:t>Preparar draft, validar campos y referencias, ejecutar preview sin persistencia cuando esté disponible y publicar solo con la acción autorizada del dominio. Registrar el sucesor y comparar la política efectiva antes y después.</w:t>
      </w:r>
    </w:p>
    <w:p>
      <w:r>
        <w:rPr>
          <w:b/>
        </w:rPr>
        <w:t xml:space="preserve">Separación de funciones </w:t>
      </w:r>
      <w:r>
        <w:t>Usar autores, revisores y publicadores independientes conforme a las reglas efectivas. No convertir configuration_admin en decisor de inversión ni usar organization_admin como actor ordinario del ensayo.</w:t>
      </w:r>
    </w:p>
    <w:p>
      <w:r>
        <w:rPr>
          <w:b/>
        </w:rPr>
        <w:t xml:space="preserve">Impacto en USER </w:t>
      </w:r>
      <w:r>
        <w:t>USER debe recibir la política contextual y sus permitted actions. Ningún editor reutilizable se traslada a USER. La publicación no ejecuta automáticamente registros, cálculos QRA, aprobaciones de fondos, FID o activación.</w:t>
      </w:r>
    </w:p>
    <w:p>
      <w:r>
        <w:rPr>
          <w:b/>
        </w:rPr>
        <w:t xml:space="preserve">Reglas de cambio seguro </w:t>
      </w:r>
      <w:r>
        <w:t>Validar alcance y referencias en un entorno aislado, comparar ETag/version, conservar evidencia de preview y revisión, y publicar mediante el flujo existente. No cambiar estructuras o permisos operacionales para acelerar la UAT.</w:t>
      </w:r>
    </w:p>
    <w:p>
      <w:r>
        <w:rPr>
          <w:b/>
        </w:rPr>
        <w:t xml:space="preserve">Implicaciones históricas </w:t>
      </w:r>
      <w:r>
        <w:t>Las revisiones completadas y paquetes congelados conservan política, IDs y hashes capturados. Una incompatibilidad nueva debe reflejarse en vigencia o currentness, no mediante edición retroactiva.</w:t>
      </w:r>
    </w:p>
    <w:p>
      <w:pPr>
        <w:pStyle w:val="Heading1"/>
      </w:pPr>
      <w:r>
        <w:t>Configuraciones críticas por dominio</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76"/>
        <w:gridCol w:w="7790"/>
      </w:tblGrid>
      <w:tr>
        <w:trPr>
          <w:tblHeader w:val="true"/>
        </w:trPr>
        <w:tc>
          <w:tcPr>
            <w:tcW w:type="dxa" w:w="2376"/>
            <w:shd w:fill="17324D"/>
            <w:tcMar>
              <w:top w:w="100" w:type="dxa"/>
              <w:start w:w="100" w:type="dxa"/>
              <w:bottom w:w="100" w:type="dxa"/>
              <w:end w:w="100" w:type="dxa"/>
            </w:tcMar>
            <w:vAlign w:val="center"/>
          </w:tcPr>
          <w:p>
            <w:pPr>
              <w:keepNext/>
              <w:jc w:val="left"/>
            </w:pPr>
            <w:r>
              <w:rPr>
                <w:rFonts w:ascii="Aptos" w:hAnsi="Aptos" w:eastAsia="Aptos"/>
                <w:b/>
                <w:color w:val="FFFFFF"/>
                <w:sz w:val="19"/>
              </w:rPr>
              <w:t>Familia</w:t>
            </w:r>
          </w:p>
        </w:tc>
        <w:tc>
          <w:tcPr>
            <w:tcW w:type="dxa" w:w="7790"/>
            <w:shd w:fill="17324D"/>
            <w:tcMar>
              <w:top w:w="100" w:type="dxa"/>
              <w:start w:w="100" w:type="dxa"/>
              <w:bottom w:w="100" w:type="dxa"/>
              <w:end w:w="100" w:type="dxa"/>
            </w:tcMar>
            <w:vAlign w:val="center"/>
          </w:tcPr>
          <w:p>
            <w:pPr>
              <w:keepNext/>
              <w:jc w:val="left"/>
            </w:pPr>
            <w:r>
              <w:rPr>
                <w:rFonts w:ascii="Aptos" w:hAnsi="Aptos" w:eastAsia="Aptos"/>
                <w:b/>
                <w:color w:val="FFFFFF"/>
                <w:sz w:val="19"/>
              </w:rPr>
              <w:t>Control requerido</w:t>
            </w:r>
          </w:p>
        </w:tc>
      </w:tr>
      <w:tr>
        <w:trPr>
          <w:cantSplit/>
        </w:trPr>
        <w:tc>
          <w:tcPr>
            <w:tcW w:type="dxa" w:w="2376"/>
            <w:tcMar>
              <w:top w:w="100" w:type="dxa"/>
              <w:start w:w="100" w:type="dxa"/>
              <w:bottom w:w="100" w:type="dxa"/>
              <w:end w:w="100" w:type="dxa"/>
            </w:tcMar>
            <w:vAlign w:val="center"/>
          </w:tcPr>
          <w:p>
            <w:pPr>
              <w:spacing w:after="20" w:line="250" w:lineRule="auto"/>
            </w:pPr>
            <w:r>
              <w:rPr>
                <w:rFonts w:ascii="Aptos" w:hAnsi="Aptos" w:eastAsia="Aptos"/>
                <w:color w:val="202A33"/>
                <w:sz w:val="19"/>
              </w:rPr>
              <w:t>Workspace y Project</w:t>
            </w:r>
          </w:p>
        </w:tc>
        <w:tc>
          <w:tcPr>
            <w:tcW w:type="dxa" w:w="7790"/>
            <w:tcMar>
              <w:top w:w="100" w:type="dxa"/>
              <w:start w:w="100" w:type="dxa"/>
              <w:bottom w:w="100" w:type="dxa"/>
              <w:end w:w="100" w:type="dxa"/>
            </w:tcMar>
            <w:vAlign w:val="center"/>
          </w:tcPr>
          <w:p>
            <w:pPr>
              <w:spacing w:after="20" w:line="250" w:lineRule="auto"/>
            </w:pPr>
            <w:r>
              <w:rPr>
                <w:rFonts w:ascii="Aptos" w:hAnsi="Aptos" w:eastAsia="Aptos"/>
                <w:color w:val="202A33"/>
                <w:sz w:val="19"/>
              </w:rPr>
              <w:t>Tipos, composición, numeración, external_key, templates, Project Type, Governance Model, creación, inicialización y activación. La creación live se hace en USER.</w:t>
            </w:r>
          </w:p>
        </w:tc>
      </w:tr>
      <w:tr>
        <w:trPr>
          <w:cantSplit/>
        </w:trPr>
        <w:tc>
          <w:tcPr>
            <w:tcW w:type="dxa" w:w="237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Capital y origination</w:t>
            </w:r>
          </w:p>
        </w:tc>
        <w:tc>
          <w:tcPr>
            <w:tcW w:type="dxa" w:w="779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Ciclos, demands, buckets, allocation, Idea, BA/options, Proposal y Strategic Gate. Las recomendaciones no adquieren autoridad FID.</w:t>
            </w:r>
          </w:p>
        </w:tc>
      </w:tr>
      <w:tr>
        <w:trPr>
          <w:cantSplit/>
        </w:trPr>
        <w:tc>
          <w:tcPr>
            <w:tcW w:type="dxa" w:w="2376"/>
            <w:tcMar>
              <w:top w:w="100" w:type="dxa"/>
              <w:start w:w="100" w:type="dxa"/>
              <w:bottom w:w="100" w:type="dxa"/>
              <w:end w:w="100" w:type="dxa"/>
            </w:tcMar>
            <w:vAlign w:val="center"/>
          </w:tcPr>
          <w:p>
            <w:pPr>
              <w:spacing w:after="20" w:line="250" w:lineRule="auto"/>
            </w:pPr>
            <w:r>
              <w:rPr>
                <w:rFonts w:ascii="Aptos" w:hAnsi="Aptos" w:eastAsia="Aptos"/>
                <w:color w:val="202A33"/>
                <w:sz w:val="19"/>
              </w:rPr>
              <w:t>Portfolio</w:t>
            </w:r>
          </w:p>
        </w:tc>
        <w:tc>
          <w:tcPr>
            <w:tcW w:type="dxa" w:w="7790"/>
            <w:tcMar>
              <w:top w:w="100" w:type="dxa"/>
              <w:start w:w="100" w:type="dxa"/>
              <w:bottom w:w="100" w:type="dxa"/>
              <w:end w:w="100" w:type="dxa"/>
            </w:tcMar>
            <w:vAlign w:val="center"/>
          </w:tcPr>
          <w:p>
            <w:pPr>
              <w:spacing w:after="20" w:line="250" w:lineRule="auto"/>
            </w:pPr>
            <w:r>
              <w:rPr>
                <w:rFonts w:ascii="Aptos" w:hAnsi="Aptos" w:eastAsia="Aptos"/>
                <w:color w:val="202A33"/>
                <w:sz w:val="19"/>
              </w:rPr>
              <w:t>Intake, evaluación, analysis, Budget, Resource, Convergence y Review. Umbrales y criterios son ADMIN; escenarios y revisiones live son USER.</w:t>
            </w:r>
          </w:p>
        </w:tc>
      </w:tr>
      <w:tr>
        <w:trPr>
          <w:cantSplit/>
        </w:trPr>
        <w:tc>
          <w:tcPr>
            <w:tcW w:type="dxa" w:w="237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Investment development</w:t>
            </w:r>
          </w:p>
        </w:tc>
        <w:tc>
          <w:tcPr>
            <w:tcW w:type="dxa" w:w="779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Five Case, Benefits, Commercial, FEL/PDRI, Basic Data, Risk, Permit, Owner Capability, Funding y FIN conservan políticas y fuentes propias.</w:t>
            </w:r>
          </w:p>
        </w:tc>
      </w:tr>
      <w:tr>
        <w:trPr>
          <w:cantSplit/>
        </w:trPr>
        <w:tc>
          <w:tcPr>
            <w:tcW w:type="dxa" w:w="2376"/>
            <w:tcMar>
              <w:top w:w="100" w:type="dxa"/>
              <w:start w:w="100" w:type="dxa"/>
              <w:bottom w:w="100" w:type="dxa"/>
              <w:end w:w="100" w:type="dxa"/>
            </w:tcMar>
            <w:vAlign w:val="center"/>
          </w:tcPr>
          <w:p>
            <w:pPr>
              <w:spacing w:after="20" w:line="250" w:lineRule="auto"/>
            </w:pPr>
            <w:r>
              <w:rPr>
                <w:rFonts w:ascii="Aptos" w:hAnsi="Aptos" w:eastAsia="Aptos"/>
                <w:color w:val="202A33"/>
                <w:sz w:val="19"/>
              </w:rPr>
              <w:t>QRA</w:t>
            </w:r>
          </w:p>
        </w:tc>
        <w:tc>
          <w:tcPr>
            <w:tcW w:type="dxa" w:w="7790"/>
            <w:tcMar>
              <w:top w:w="100" w:type="dxa"/>
              <w:start w:w="100" w:type="dxa"/>
              <w:bottom w:w="100" w:type="dxa"/>
              <w:end w:w="100" w:type="dxa"/>
            </w:tcMar>
            <w:vAlign w:val="center"/>
          </w:tcPr>
          <w:p>
            <w:pPr>
              <w:spacing w:after="20" w:line="250" w:lineRule="auto"/>
            </w:pPr>
            <w:r>
              <w:rPr>
                <w:rFonts w:ascii="Aptos" w:hAnsi="Aptos" w:eastAsia="Aptos"/>
                <w:color w:val="202A33"/>
                <w:sz w:val="19"/>
              </w:rPr>
              <w:t>Metodología, source readiness, distribuciones, alcance y capacidad soportada. Cost/Schedule separados; no Integrated QRA.</w:t>
            </w:r>
          </w:p>
        </w:tc>
      </w:tr>
      <w:tr>
        <w:trPr>
          <w:cantSplit/>
        </w:trPr>
        <w:tc>
          <w:tcPr>
            <w:tcW w:type="dxa" w:w="2376"/>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Gate y decisión</w:t>
            </w:r>
          </w:p>
        </w:tc>
        <w:tc>
          <w:tcPr>
            <w:tcW w:type="dxa" w:w="7790"/>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Evidence Policy, Class A/B/C, providers, Decision Criteria, autoridad, comité, quorum y SoD. Gate07J no adquiere autoridad Gate07K.</w:t>
            </w:r>
          </w:p>
        </w:tc>
      </w:tr>
    </w:tbl>
    <w:p>
      <w:pPr>
        <w:spacing w:after="20"/>
      </w:pPr>
    </w:p>
    <w:p>
      <w:pPr>
        <w:pStyle w:val="Heading1"/>
      </w:pPr>
      <w:r>
        <w:t>Reglas de aplicabilidad QRA</w:t>
      </w:r>
    </w:p>
    <w:p>
      <w:r>
        <w:t>QRA_RESULT_PROVIDER AVAILABLE permite consumir resultados, pero la política decide la obligación contextual por gobernanza, tipo, stage, valor, riesgo, complejidad e incertidumbre disponibles. Cost y Schedule son calificadores separados. REQUIRED no evaluable falla cerrado; NOT_REQUIRED no genera un bloqueo artificial.</w:t>
      </w:r>
    </w:p>
    <w:p>
      <w:r>
        <w:t>Class A exige fuente nativa aceptada y actual. Revise analysis type, scope, whole/partial project, readiness, convergencia, advertencias, edad y percentiles o target probability soportados. Una exigencia Integrated activa se rechaza. Un preview no publica una política operacional.</w:t>
      </w:r>
    </w:p>
    <w:p>
      <w:pPr>
        <w:pStyle w:val="Heading1"/>
      </w:pPr>
      <w:r>
        <w:t>Cambios prohibidos durante el cierre</w:t>
      </w:r>
    </w:p>
    <w:p>
      <w:r>
        <w:t>El alcance termina en la gobernanza posterior al FID y en la elegibilidad de inicialización y activación. No incluye Project Delivery, ejecución de compras, construcción, pagos, contabilidad, tesorería, operación de activos ni realización operativa de beneficios. QRA integrado y QRA avanzado no se liberan.</w:t>
      </w:r>
    </w:p>
    <w:p>
      <w:r>
        <w:br w:type="page"/>
      </w:r>
    </w:p>
    <w:p>
      <w:pPr>
        <w:pStyle w:val="Heading1"/>
      </w:pPr>
      <w:r>
        <w:t>Revisión de remediación del 15 de octubre de 2026</w:t>
      </w:r>
    </w:p>
    <w:p>
      <w:r>
        <w:t>Esta revisión conserva el documento anterior como historial. Sus resultados del 14 de octubre no se convierten en ejecución de la nueva cadena. La decisión actual continúa NO GO y la aceptación empresarial está pendiente.</w:t>
      </w:r>
    </w:p>
    <w:p>
      <w:pPr>
        <w:pStyle w:val="Heading2"/>
      </w:pPr>
      <w:r>
        <w:t>Reconciliación explícita de padres CORE</w:t>
      </w:r>
    </w:p>
    <w:p>
      <w:r>
        <w:t>El clone normal sigue devolviendo PROJECT_PARENT_RECONCILIATION_REQUIRED cuando el padre live no está representado. Usar GET /api/v1/admin-configuration/enterprise-structure/enterprise-core-releases/{id}/parent-reconciliation para diagnosticar los IDs exactos existentes sin DML. GET exige admin.enterprise_structure.read y ámbito organizacional con bootstrap desactivado; no entrega inventario global a un lector limitado a Workspace.</w:t>
      </w:r>
    </w:p>
    <w:p>
      <w:r>
        <w:t>Tras revisar las identidades, enviar POST al mismo recurso con /reconcile-live-parents, body {"parent_workspace_ids":[IDs confirmados]} e If-Match con revision_version vigente. Se requieren los permisos existentes de crear y editar revisión, ámbito organizacional y la función structure_editor. No se aceptan nombres ni padres inventados.</w:t>
      </w:r>
    </w:p>
    <w:p>
      <w:r>
        <w:t>Si ya existe DRAFT, el comando sobre la publicación devuelve DRAFT_ALREADY_EXISTS y su ID. Revisar y reconciliar explícitamente ese DRAFT con su propio ETag. Las demás ediciones se preservan; cualquier cambio invalida la validación y aprobación previas. Validar, aprobar y publicar siguen siendo comandos independientes.</w:t>
      </w:r>
    </w:p>
    <w:p>
      <w:r>
        <w:t>No usar esta ruta para crear Project, alterar su lifecycle o copiar una identidad ajena. Antes de publicar o materializar se comprueba de nuevo el ID, external_key y tipo de los padres reconciliados; un reemplazo concurrente bloquea con PARENT_WORKSPACE_IDENTITY_MISMATCH antes de DML.</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24"/>
        <w:gridCol w:w="7142"/>
      </w:tblGrid>
      <w:tr>
        <w:trPr>
          <w:tblHeader w:val="true"/>
        </w:trPr>
        <w:tc>
          <w:tcPr>
            <w:tcW w:type="dxa" w:w="3024"/>
            <w:shd w:fill="17324D"/>
            <w:tcMar>
              <w:top w:w="100" w:type="dxa"/>
              <w:start w:w="100" w:type="dxa"/>
              <w:bottom w:w="100" w:type="dxa"/>
              <w:end w:w="100" w:type="dxa"/>
            </w:tcMar>
            <w:vAlign w:val="center"/>
          </w:tcPr>
          <w:p>
            <w:pPr>
              <w:keepNext/>
              <w:jc w:val="left"/>
            </w:pPr>
            <w:r>
              <w:rPr>
                <w:rFonts w:ascii="Aptos" w:hAnsi="Aptos" w:eastAsia="Aptos"/>
                <w:b/>
                <w:color w:val="FFFFFF"/>
                <w:sz w:val="19"/>
              </w:rPr>
              <w:t>Control</w:t>
            </w:r>
          </w:p>
        </w:tc>
        <w:tc>
          <w:tcPr>
            <w:tcW w:type="dxa" w:w="7142"/>
            <w:shd w:fill="17324D"/>
            <w:tcMar>
              <w:top w:w="100" w:type="dxa"/>
              <w:start w:w="100" w:type="dxa"/>
              <w:bottom w:w="100" w:type="dxa"/>
              <w:end w:w="100" w:type="dxa"/>
            </w:tcMar>
            <w:vAlign w:val="center"/>
          </w:tcPr>
          <w:p>
            <w:pPr>
              <w:keepNext/>
              <w:jc w:val="left"/>
            </w:pPr>
            <w:r>
              <w:rPr>
                <w:rFonts w:ascii="Aptos" w:hAnsi="Aptos" w:eastAsia="Aptos"/>
                <w:b/>
                <w:color w:val="FFFFFF"/>
                <w:sz w:val="19"/>
              </w:rPr>
              <w:t>Evidencia</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Regresión enfocada</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COMPLETED; {"PASS": 72, "FAIL": 0, "ERROR": 0, "SKIP": 0}; evidencia core-parent-focused-current.xml</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Historia</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Snapshot publicado e identidad y lifecycle Project sin reescritura</w:t>
            </w:r>
          </w:p>
        </w:tc>
      </w:tr>
      <w:tr>
        <w:trPr>
          <w:cantSplit/>
        </w:trPr>
        <w:tc>
          <w:tcPr>
            <w:tcW w:type="dxa" w:w="3024"/>
            <w:tcMar>
              <w:top w:w="100" w:type="dxa"/>
              <w:start w:w="100" w:type="dxa"/>
              <w:bottom w:w="100" w:type="dxa"/>
              <w:end w:w="100" w:type="dxa"/>
            </w:tcMar>
            <w:vAlign w:val="center"/>
          </w:tcPr>
          <w:p>
            <w:pPr>
              <w:spacing w:after="20" w:line="250" w:lineRule="auto"/>
            </w:pPr>
            <w:r>
              <w:rPr>
                <w:rFonts w:ascii="Aptos" w:hAnsi="Aptos" w:eastAsia="Aptos"/>
                <w:color w:val="202A33"/>
                <w:sz w:val="19"/>
              </w:rPr>
              <w:t>Alcance</w:t>
            </w:r>
          </w:p>
        </w:tc>
        <w:tc>
          <w:tcPr>
            <w:tcW w:type="dxa" w:w="7142"/>
            <w:tcMar>
              <w:top w:w="100" w:type="dxa"/>
              <w:start w:w="100" w:type="dxa"/>
              <w:bottom w:w="100" w:type="dxa"/>
              <w:end w:w="100" w:type="dxa"/>
            </w:tcMar>
            <w:vAlign w:val="center"/>
          </w:tcPr>
          <w:p>
            <w:pPr>
              <w:spacing w:after="20" w:line="250" w:lineRule="auto"/>
            </w:pPr>
            <w:r>
              <w:rPr>
                <w:rFonts w:ascii="Aptos" w:hAnsi="Aptos" w:eastAsia="Aptos"/>
                <w:color w:val="202A33"/>
                <w:sz w:val="19"/>
              </w:rPr>
              <w:t>Pruebas estructurales SQLite privadas; no acredita A0 a A31 ni aceptación de negocio</w:t>
            </w:r>
          </w:p>
        </w:tc>
      </w:tr>
      <w:tr>
        <w:trPr>
          <w:cantSplit/>
        </w:trPr>
        <w:tc>
          <w:tcPr>
            <w:tcW w:type="dxa" w:w="3024"/>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Intento previo conservado</w:t>
            </w:r>
          </w:p>
        </w:tc>
        <w:tc>
          <w:tcPr>
            <w:tcW w:type="dxa" w:w="7142"/>
            <w:tcMar>
              <w:top w:w="100" w:type="dxa"/>
              <w:start w:w="100" w:type="dxa"/>
              <w:bottom w:w="100" w:type="dxa"/>
              <w:end w:w="100" w:type="dxa"/>
            </w:tcMar>
            <w:shd w:fill="F5F7F8"/>
            <w:vAlign w:val="center"/>
          </w:tcPr>
          <w:p>
            <w:pPr>
              <w:spacing w:after="20" w:line="250" w:lineRule="auto"/>
            </w:pPr>
            <w:r>
              <w:rPr>
                <w:rFonts w:ascii="Aptos" w:hAnsi="Aptos" w:eastAsia="Aptos"/>
                <w:color w:val="202A33"/>
                <w:sz w:val="19"/>
              </w:rPr>
              <w:t>Se conserva por separado el intento de 104 casos: 103 PASS y un FAIL del positivo HTTP organizacional. El guard devolvió PROJECT_PARENT_RECONCILIATION_REQUIRED con los dos IDs reales requeridos [5,6], porque la fixture solo confirmó uno. Se corrigió la confirmación de ambos padres, no el control de ámbito ni la regla de reconciliación. La ejecución enfocada final tiene su propio current.xml; no se suman ni se oculta el intento fallido.</w:t>
            </w:r>
          </w:p>
        </w:tc>
      </w:tr>
    </w:tbl>
    <w:p>
      <w:pPr>
        <w:spacing w:after="20"/>
      </w:pPr>
    </w:p>
    <w:sectPr w:rsidR="00FC693F" w:rsidRPr="0006063C" w:rsidSect="00034616">
      <w:footerReference w:type="default" r:id="rId10"/>
      <w:pgSz w:w="12240" w:h="15840"/>
      <w:pgMar w:top="1037" w:right="1037" w:bottom="1037"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000000"/>
        <w:sz w:val="16"/>
      </w:rPr>
      <w:t xml:space="preserve">14 octubre 2026  Página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Display"/>
      <w:b/>
      <w:bCs/>
      <w:color w:val="000000"/>
      <w:sz w:val="30"/>
      <w:szCs w:val="28"/>
      <w:u w:val="none"/>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Display"/>
      <w:b/>
      <w:bCs/>
      <w:color w:val="000000"/>
      <w:sz w:val="24"/>
      <w:szCs w:val="26"/>
      <w:u w:val="none"/>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Display"/>
      <w:b/>
      <w:bCs/>
      <w:color w:val="000000"/>
      <w:sz w:val="21"/>
      <w:u w:val="none"/>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w:hAnsi="Aptos" w:eastAsia="Aptos Display"/>
      <w:b/>
      <w:color w:val="000000"/>
      <w:spacing w:val="5"/>
      <w:kern w:val="28"/>
      <w:sz w:val="48"/>
      <w:szCs w:val="52"/>
      <w:u w:val="none"/>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u w:val="none"/>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administración del macroproceso estratégico</dc:title>
  <dc:subject>Validación final del macroproceso estratégico</dc:subject>
  <dc:creator>P&amp;Pmis Construction AI</dc:creator>
  <cp:keywords>CPIG, arquitectura, PDRI, Capital Planning, QRA, Gate07J</cp:keywords>
  <dc:description>Validación, guías y cierre estratégico; ninguna firma de negocio es inferida.</dc:description>
  <cp:lastModifiedBy/>
  <cp:revision>2</cp:revision>
  <dcterms:created xsi:type="dcterms:W3CDTF">2013-12-23T23:15:00Z</dcterms:created>
  <dcterms:modified xsi:type="dcterms:W3CDTF">2013-12-23T23:15:00Z</dcterms:modified>
  <cp:category/>
</cp:coreProperties>
</file>