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pPr>
      <w:r>
        <w:t>Informe técnico de remediación de bloqueos UAT</w:t>
      </w:r>
    </w:p>
    <w:p>
      <w:r>
        <w:t>P&amp;Pmis Construction AI. Capital Portfolio &amp; Investment Governance. Revisión del 15 de octubre de 2026.</w:t>
      </w:r>
    </w:p>
    <w:p>
      <w:r>
        <w:t>El incremento incorpora correcciones acotadas de reconciliación CORE, aislamiento de pruebas y referencias cerradas Five Case. La liberación permanece NO GO mientras no exista evidencia suficiente de una sola cadena nueva A0 a A31, su decisión FID y la validación independiente exigida. El informe separa pruebas enfocadas, ejecución parcial y aceptación humana.</w:t>
      </w:r>
    </w:p>
    <w:p>
      <w:pPr>
        <w:pStyle w:val="Heading1"/>
      </w:pPr>
      <w:r>
        <w:t>1 Resumen ejecutivo</w:t>
      </w:r>
    </w:p>
    <w:p>
      <w:r>
        <w:t>Se mantienen las reglas de negocio, la segregación de funciones, los controles de versión y la identidad Project canónica. Las pruebas aprobadas que se detallan aquí no constituyen aceptación empresarial ni una suma equivalente a la cadena completa.</w:t>
      </w:r>
    </w:p>
    <w:p>
      <w:pPr>
        <w:pStyle w:val="Heading1"/>
      </w:pPr>
      <w:r>
        <w:t>2 Línea base</w:t>
      </w:r>
    </w:p>
    <w:p>
      <w:r>
        <w:t>La rama de trabajo es main. Commit inicial 10a2442bfb69b97dc72f9c78e2419f157b400973. Alembic conserva una sola cabeza 20261011_0068. No se añade migración. La liberación anterior era NO GO y NOT VALIDATED; sus documentos permanecen intactos en el directorio del 14 de octubre.</w:t>
      </w:r>
    </w:p>
    <w:p>
      <w:pPr>
        <w:pStyle w:val="Heading1"/>
      </w:pPr>
      <w:r>
        <w:t>3 Bloqueos vigentes</w:t>
      </w:r>
    </w:p>
    <w:p>
      <w:r>
        <w:t>UAT S2 003 sigue abierto hasta acreditar la cadena completa. La disposición de aislamiento UAT S3 002 es CLOSED_ISOLATION_SCOPED; la repetición global mantiene su fallo legado y no es global verde. La disposición CORE UAT S3 003 es CLOSED_SCOPED_TECHNICAL, según la evidencia enfocada registrada. El bloqueo de shell UAT S2 004 figura CLOSED_SCOPED_UI; una apertura de vistas no equivale al recorrido browser completo. Los hallazgos menores anteriores se conservan.</w:t>
      </w:r>
    </w:p>
    <w:p>
      <w:pPr>
        <w:pStyle w:val="Heading1"/>
      </w:pPr>
      <w:r>
        <w:t>4 Cambios realizados</w:t>
      </w:r>
    </w:p>
    <w:p>
      <w:r>
        <w:t>CORE añade diagnóstico de padres faltantes y un comando explícito que acepta únicamente IDs existentes del tenant. La reconciliación crea o actualiza un DRAFT, preserva las demás ediciones e invalida aprobación y validación si cambia su contenido. Antes de publicar se revalida la identidad exacta del padre reconciliado. SQLite se aísla por módulo sin reemplazar el objeto engine y sin reiniciar bases PostgreSQL explícitas. Benefits y Commercial aceptan únicamente la referencia inversa exacta del Business Case completado que consume la misma versión y hash; cualquier otra variación sigue produciendo STALE.</w:t>
      </w:r>
    </w:p>
    <w:p>
      <w:r>
        <w:t>También se corrige la propagación de moneda de Proposal al snapshot nuevo de entrada Portfolio. Se conservan currency y currency_code del origen, sin fallback a una moneda solicitada ni actualización de snapshots o evaluaciones COMPLETED anteriores. Cuatro pruebas específicas aprobaron.</w:t>
      </w:r>
    </w:p>
    <w:p>
      <w:pPr>
        <w:pStyle w:val="Heading1"/>
      </w:pPr>
      <w:r>
        <w:t>5 Entorno PostgreSQL de UAT</w:t>
      </w:r>
    </w:p>
    <w:p>
      <w:r>
        <w:t>docker-compose.strategic-fresh-uat.yml usa PostgreSQL 16 con almacenamiento temporal, Redis privado y API en 127.0.0.1 puerto 8840. No comparte volúmenes ni conexión con el localhost operacional. El esquema utiliza la compatibilidad histórica de metadata hasta 0067 y aplica realmente la migración 0068; esto no demuestra un upgrade íntegro desde un Alembic vacío. AUTO CREATE SCHEMA y SEED DEMO DATA permanecen desactivados para la API aislada.</w:t>
      </w:r>
    </w:p>
    <w:p>
      <w:pPr>
        <w:pStyle w:val="Heading1"/>
      </w:pPr>
      <w:r>
        <w:t>6 Conjunto de datos nuevo</w:t>
      </w:r>
    </w:p>
    <w:p>
      <w:r>
        <w:t>El escenario registra una nueva jerarquía y nuevos registros estratégicos. Solo identidades, credenciales de prueba, asignaciones RBAC y un objetivo administrativo explícito se inicializan como referencias. Idea, BA, Proposal, decisiones, solicitudes, Project, membership y fuentes finales se producen mediante comandos normales. Los intentos previos se conservan y no se suman a la cadena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68"/>
        <w:gridCol w:w="6998"/>
      </w:tblGrid>
      <w:tr>
        <w:trPr>
          <w:tblHeader w:val="true"/>
        </w:trPr>
        <w:tc>
          <w:tcPr>
            <w:tcW w:type="dxa" w:w="3168"/>
            <w:shd w:fill="17324D"/>
            <w:tcMar>
              <w:top w:w="100" w:type="dxa"/>
              <w:start w:w="100" w:type="dxa"/>
              <w:bottom w:w="100" w:type="dxa"/>
              <w:end w:w="100" w:type="dxa"/>
            </w:tcMar>
            <w:vAlign w:val="center"/>
          </w:tcPr>
          <w:p>
            <w:pPr>
              <w:keepNext/>
              <w:jc w:val="left"/>
            </w:pPr>
            <w:r>
              <w:rPr>
                <w:rFonts w:ascii="Aptos" w:hAnsi="Aptos" w:eastAsia="Aptos"/>
                <w:b/>
                <w:color w:val="FFFFFF"/>
                <w:sz w:val="19"/>
              </w:rPr>
              <w:t>Referencia</w:t>
            </w:r>
          </w:p>
        </w:tc>
        <w:tc>
          <w:tcPr>
            <w:tcW w:type="dxa" w:w="6998"/>
            <w:shd w:fill="17324D"/>
            <w:tcMar>
              <w:top w:w="100" w:type="dxa"/>
              <w:start w:w="100" w:type="dxa"/>
              <w:bottom w:w="100" w:type="dxa"/>
              <w:end w:w="100" w:type="dxa"/>
            </w:tcMar>
            <w:vAlign w:val="center"/>
          </w:tcPr>
          <w:p>
            <w:pPr>
              <w:keepNext/>
              <w:jc w:val="left"/>
            </w:pPr>
            <w:r>
              <w:rPr>
                <w:rFonts w:ascii="Aptos" w:hAnsi="Aptos" w:eastAsia="Aptos"/>
                <w:b/>
                <w:color w:val="FFFFFF"/>
                <w:sz w:val="19"/>
              </w:rPr>
              <w:t>Valor</w:t>
            </w:r>
          </w:p>
        </w:tc>
      </w:tr>
      <w:tr>
        <w:trPr>
          <w:cantSplit/>
        </w:trPr>
        <w:tc>
          <w:tcPr>
            <w:tcW w:type="dxa" w:w="3168"/>
            <w:tcMar>
              <w:top w:w="100" w:type="dxa"/>
              <w:start w:w="100" w:type="dxa"/>
              <w:bottom w:w="100" w:type="dxa"/>
              <w:end w:w="100" w:type="dxa"/>
            </w:tcMar>
            <w:vAlign w:val="center"/>
          </w:tcPr>
          <w:p>
            <w:pPr>
              <w:spacing w:after="20" w:line="250" w:lineRule="auto"/>
            </w:pPr>
            <w:r>
              <w:rPr>
                <w:rFonts w:ascii="Aptos" w:hAnsi="Aptos" w:eastAsia="Aptos"/>
                <w:color w:val="202A33"/>
                <w:sz w:val="19"/>
              </w:rPr>
              <w:t>tenant_id</w:t>
            </w:r>
          </w:p>
        </w:tc>
        <w:tc>
          <w:tcPr>
            <w:tcW w:type="dxa" w:w="6998"/>
            <w:tcMar>
              <w:top w:w="100" w:type="dxa"/>
              <w:start w:w="100" w:type="dxa"/>
              <w:bottom w:w="100" w:type="dxa"/>
              <w:end w:w="100" w:type="dxa"/>
            </w:tcMar>
            <w:vAlign w:val="center"/>
          </w:tcPr>
          <w:p>
            <w:pPr>
              <w:spacing w:after="20" w:line="250" w:lineRule="auto"/>
            </w:pPr>
            <w:r>
              <w:rPr>
                <w:rFonts w:ascii="Aptos" w:hAnsi="Aptos" w:eastAsia="Aptos"/>
                <w:color w:val="202A33"/>
                <w:sz w:val="19"/>
              </w:rPr>
              <w:t>4</w:t>
            </w:r>
          </w:p>
        </w:tc>
      </w:tr>
      <w:tr>
        <w:trPr>
          <w:cantSplit/>
        </w:trPr>
        <w:tc>
          <w:tcPr>
            <w:tcW w:type="dxa" w:w="316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tenant_slug</w:t>
            </w:r>
          </w:p>
        </w:tc>
        <w:tc>
          <w:tcPr>
            <w:tcW w:type="dxa" w:w="699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fresh-copper-debf223b50</w:t>
            </w:r>
          </w:p>
        </w:tc>
      </w:tr>
      <w:tr>
        <w:trPr>
          <w:cantSplit/>
        </w:trPr>
        <w:tc>
          <w:tcPr>
            <w:tcW w:type="dxa" w:w="3168"/>
            <w:tcMar>
              <w:top w:w="100" w:type="dxa"/>
              <w:start w:w="100" w:type="dxa"/>
              <w:bottom w:w="100" w:type="dxa"/>
              <w:end w:w="100" w:type="dxa"/>
            </w:tcMar>
            <w:vAlign w:val="center"/>
          </w:tcPr>
          <w:p>
            <w:pPr>
              <w:spacing w:after="20" w:line="250" w:lineRule="auto"/>
            </w:pPr>
            <w:r>
              <w:rPr>
                <w:rFonts w:ascii="Aptos" w:hAnsi="Aptos" w:eastAsia="Aptos"/>
                <w:color w:val="202A33"/>
                <w:sz w:val="19"/>
              </w:rPr>
              <w:t>enterprise_id</w:t>
            </w:r>
          </w:p>
        </w:tc>
        <w:tc>
          <w:tcPr>
            <w:tcW w:type="dxa" w:w="6998"/>
            <w:tcMar>
              <w:top w:w="100" w:type="dxa"/>
              <w:start w:w="100" w:type="dxa"/>
              <w:bottom w:w="100" w:type="dxa"/>
              <w:end w:w="100" w:type="dxa"/>
            </w:tcMar>
            <w:vAlign w:val="center"/>
          </w:tcPr>
          <w:p>
            <w:pPr>
              <w:spacing w:after="20" w:line="250" w:lineRule="auto"/>
            </w:pPr>
            <w:r>
              <w:rPr>
                <w:rFonts w:ascii="Aptos" w:hAnsi="Aptos" w:eastAsia="Aptos"/>
                <w:color w:val="202A33"/>
                <w:sz w:val="19"/>
              </w:rPr>
              <w:t>13</w:t>
            </w:r>
          </w:p>
        </w:tc>
      </w:tr>
      <w:tr>
        <w:trPr>
          <w:cantSplit/>
        </w:trPr>
        <w:tc>
          <w:tcPr>
            <w:tcW w:type="dxa" w:w="316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portfolio_id</w:t>
            </w:r>
          </w:p>
        </w:tc>
        <w:tc>
          <w:tcPr>
            <w:tcW w:type="dxa" w:w="699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15</w:t>
            </w:r>
          </w:p>
        </w:tc>
      </w:tr>
      <w:tr>
        <w:trPr>
          <w:cantSplit/>
        </w:trPr>
        <w:tc>
          <w:tcPr>
            <w:tcW w:type="dxa" w:w="3168"/>
            <w:tcMar>
              <w:top w:w="100" w:type="dxa"/>
              <w:start w:w="100" w:type="dxa"/>
              <w:bottom w:w="100" w:type="dxa"/>
              <w:end w:w="100" w:type="dxa"/>
            </w:tcMar>
            <w:vAlign w:val="center"/>
          </w:tcPr>
          <w:p>
            <w:pPr>
              <w:spacing w:after="20" w:line="250" w:lineRule="auto"/>
            </w:pPr>
            <w:r>
              <w:rPr>
                <w:rFonts w:ascii="Aptos" w:hAnsi="Aptos" w:eastAsia="Aptos"/>
                <w:color w:val="202A33"/>
                <w:sz w:val="19"/>
              </w:rPr>
              <w:t>capital_cycle_id</w:t>
            </w:r>
          </w:p>
        </w:tc>
        <w:tc>
          <w:tcPr>
            <w:tcW w:type="dxa" w:w="6998"/>
            <w:tcMar>
              <w:top w:w="100" w:type="dxa"/>
              <w:start w:w="100" w:type="dxa"/>
              <w:bottom w:w="100" w:type="dxa"/>
              <w:end w:w="100" w:type="dxa"/>
            </w:tcMar>
            <w:vAlign w:val="center"/>
          </w:tcPr>
          <w:p>
            <w:pPr>
              <w:spacing w:after="20" w:line="250" w:lineRule="auto"/>
            </w:pPr>
            <w:r>
              <w:rPr>
                <w:rFonts w:ascii="Aptos" w:hAnsi="Aptos" w:eastAsia="Aptos"/>
                <w:color w:val="202A33"/>
                <w:sz w:val="19"/>
              </w:rPr>
              <w:t>4</w:t>
            </w:r>
          </w:p>
        </w:tc>
      </w:tr>
      <w:tr>
        <w:trPr>
          <w:cantSplit/>
        </w:trPr>
        <w:tc>
          <w:tcPr>
            <w:tcW w:type="dxa" w:w="316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capital_demand_id</w:t>
            </w:r>
          </w:p>
        </w:tc>
        <w:tc>
          <w:tcPr>
            <w:tcW w:type="dxa" w:w="699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4</w:t>
            </w:r>
          </w:p>
        </w:tc>
      </w:tr>
      <w:tr>
        <w:trPr>
          <w:cantSplit/>
        </w:trPr>
        <w:tc>
          <w:tcPr>
            <w:tcW w:type="dxa" w:w="3168"/>
            <w:tcMar>
              <w:top w:w="100" w:type="dxa"/>
              <w:start w:w="100" w:type="dxa"/>
              <w:bottom w:w="100" w:type="dxa"/>
              <w:end w:w="100" w:type="dxa"/>
            </w:tcMar>
            <w:vAlign w:val="center"/>
          </w:tcPr>
          <w:p>
            <w:pPr>
              <w:spacing w:after="20" w:line="250" w:lineRule="auto"/>
            </w:pPr>
            <w:r>
              <w:rPr>
                <w:rFonts w:ascii="Aptos" w:hAnsi="Aptos" w:eastAsia="Aptos"/>
                <w:color w:val="202A33"/>
                <w:sz w:val="19"/>
              </w:rPr>
              <w:t>allocation_plan_id</w:t>
            </w:r>
          </w:p>
        </w:tc>
        <w:tc>
          <w:tcPr>
            <w:tcW w:type="dxa" w:w="6998"/>
            <w:tcMar>
              <w:top w:w="100" w:type="dxa"/>
              <w:start w:w="100" w:type="dxa"/>
              <w:bottom w:w="100" w:type="dxa"/>
              <w:end w:w="100" w:type="dxa"/>
            </w:tcMar>
            <w:vAlign w:val="center"/>
          </w:tcPr>
          <w:p>
            <w:pPr>
              <w:spacing w:after="20" w:line="250" w:lineRule="auto"/>
            </w:pPr>
            <w:r>
              <w:rPr>
                <w:rFonts w:ascii="Aptos" w:hAnsi="Aptos" w:eastAsia="Aptos"/>
                <w:color w:val="202A33"/>
                <w:sz w:val="19"/>
              </w:rPr>
              <w:t>4</w:t>
            </w:r>
          </w:p>
        </w:tc>
      </w:tr>
      <w:tr>
        <w:trPr>
          <w:cantSplit/>
        </w:trPr>
        <w:tc>
          <w:tcPr>
            <w:tcW w:type="dxa" w:w="316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idea_id</w:t>
            </w:r>
          </w:p>
        </w:tc>
        <w:tc>
          <w:tcPr>
            <w:tcW w:type="dxa" w:w="699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4</w:t>
            </w:r>
          </w:p>
        </w:tc>
      </w:tr>
      <w:tr>
        <w:trPr>
          <w:cantSplit/>
        </w:trPr>
        <w:tc>
          <w:tcPr>
            <w:tcW w:type="dxa" w:w="3168"/>
            <w:tcMar>
              <w:top w:w="100" w:type="dxa"/>
              <w:start w:w="100" w:type="dxa"/>
              <w:bottom w:w="100" w:type="dxa"/>
              <w:end w:w="100" w:type="dxa"/>
            </w:tcMar>
            <w:vAlign w:val="center"/>
          </w:tcPr>
          <w:p>
            <w:pPr>
              <w:spacing w:after="20" w:line="250" w:lineRule="auto"/>
            </w:pPr>
            <w:r>
              <w:rPr>
                <w:rFonts w:ascii="Aptos" w:hAnsi="Aptos" w:eastAsia="Aptos"/>
                <w:color w:val="202A33"/>
                <w:sz w:val="19"/>
              </w:rPr>
              <w:t>analysis_id</w:t>
            </w:r>
          </w:p>
        </w:tc>
        <w:tc>
          <w:tcPr>
            <w:tcW w:type="dxa" w:w="6998"/>
            <w:tcMar>
              <w:top w:w="100" w:type="dxa"/>
              <w:start w:w="100" w:type="dxa"/>
              <w:bottom w:w="100" w:type="dxa"/>
              <w:end w:w="100" w:type="dxa"/>
            </w:tcMar>
            <w:vAlign w:val="center"/>
          </w:tcPr>
          <w:p>
            <w:pPr>
              <w:spacing w:after="20" w:line="250" w:lineRule="auto"/>
            </w:pPr>
            <w:r>
              <w:rPr>
                <w:rFonts w:ascii="Aptos" w:hAnsi="Aptos" w:eastAsia="Aptos"/>
                <w:color w:val="202A33"/>
                <w:sz w:val="19"/>
              </w:rPr>
              <w:t>4</w:t>
            </w:r>
          </w:p>
        </w:tc>
      </w:tr>
      <w:tr>
        <w:trPr>
          <w:cantSplit/>
        </w:trPr>
        <w:tc>
          <w:tcPr>
            <w:tcW w:type="dxa" w:w="316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proposal_id</w:t>
            </w:r>
          </w:p>
        </w:tc>
        <w:tc>
          <w:tcPr>
            <w:tcW w:type="dxa" w:w="699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4</w:t>
            </w:r>
          </w:p>
        </w:tc>
      </w:tr>
      <w:tr>
        <w:trPr>
          <w:cantSplit/>
        </w:trPr>
        <w:tc>
          <w:tcPr>
            <w:tcW w:type="dxa" w:w="3168"/>
            <w:tcMar>
              <w:top w:w="100" w:type="dxa"/>
              <w:start w:w="100" w:type="dxa"/>
              <w:bottom w:w="100" w:type="dxa"/>
              <w:end w:w="100" w:type="dxa"/>
            </w:tcMar>
            <w:vAlign w:val="center"/>
          </w:tcPr>
          <w:p>
            <w:pPr>
              <w:spacing w:after="20" w:line="250" w:lineRule="auto"/>
            </w:pPr>
            <w:r>
              <w:rPr>
                <w:rFonts w:ascii="Aptos" w:hAnsi="Aptos" w:eastAsia="Aptos"/>
                <w:color w:val="202A33"/>
                <w:sz w:val="19"/>
              </w:rPr>
              <w:t>strategic_gate_id</w:t>
            </w:r>
          </w:p>
        </w:tc>
        <w:tc>
          <w:tcPr>
            <w:tcW w:type="dxa" w:w="6998"/>
            <w:tcMar>
              <w:top w:w="100" w:type="dxa"/>
              <w:start w:w="100" w:type="dxa"/>
              <w:bottom w:w="100" w:type="dxa"/>
              <w:end w:w="100" w:type="dxa"/>
            </w:tcMar>
            <w:vAlign w:val="center"/>
          </w:tcPr>
          <w:p>
            <w:pPr>
              <w:spacing w:after="20" w:line="250" w:lineRule="auto"/>
            </w:pPr>
            <w:r>
              <w:rPr>
                <w:rFonts w:ascii="Aptos" w:hAnsi="Aptos" w:eastAsia="Aptos"/>
                <w:color w:val="202A33"/>
                <w:sz w:val="19"/>
              </w:rPr>
              <w:t>4</w:t>
            </w:r>
          </w:p>
        </w:tc>
      </w:tr>
      <w:tr>
        <w:trPr>
          <w:cantSplit/>
        </w:trPr>
        <w:tc>
          <w:tcPr>
            <w:tcW w:type="dxa" w:w="316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project_creation_request_id</w:t>
            </w:r>
          </w:p>
        </w:tc>
        <w:tc>
          <w:tcPr>
            <w:tcW w:type="dxa" w:w="699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4</w:t>
            </w:r>
          </w:p>
        </w:tc>
      </w:tr>
      <w:tr>
        <w:trPr>
          <w:cantSplit/>
        </w:trPr>
        <w:tc>
          <w:tcPr>
            <w:tcW w:type="dxa" w:w="3168"/>
            <w:tcMar>
              <w:top w:w="100" w:type="dxa"/>
              <w:start w:w="100" w:type="dxa"/>
              <w:bottom w:w="100" w:type="dxa"/>
              <w:end w:w="100" w:type="dxa"/>
            </w:tcMar>
            <w:vAlign w:val="center"/>
          </w:tcPr>
          <w:p>
            <w:pPr>
              <w:spacing w:after="20" w:line="250" w:lineRule="auto"/>
            </w:pPr>
            <w:r>
              <w:rPr>
                <w:rFonts w:ascii="Aptos" w:hAnsi="Aptos" w:eastAsia="Aptos"/>
                <w:color w:val="202A33"/>
                <w:sz w:val="19"/>
              </w:rPr>
              <w:t>project_id</w:t>
            </w:r>
          </w:p>
        </w:tc>
        <w:tc>
          <w:tcPr>
            <w:tcW w:type="dxa" w:w="6998"/>
            <w:tcMar>
              <w:top w:w="100" w:type="dxa"/>
              <w:start w:w="100" w:type="dxa"/>
              <w:bottom w:w="100" w:type="dxa"/>
              <w:end w:w="100" w:type="dxa"/>
            </w:tcMar>
            <w:vAlign w:val="center"/>
          </w:tcPr>
          <w:p>
            <w:pPr>
              <w:spacing w:after="20" w:line="250" w:lineRule="auto"/>
            </w:pPr>
            <w:r>
              <w:rPr>
                <w:rFonts w:ascii="Aptos" w:hAnsi="Aptos" w:eastAsia="Aptos"/>
                <w:color w:val="202A33"/>
                <w:sz w:val="19"/>
              </w:rPr>
              <w:t>16</w:t>
            </w:r>
          </w:p>
        </w:tc>
      </w:tr>
    </w:tbl>
    <w:p>
      <w:pPr>
        <w:spacing w:after="20"/>
      </w:pPr>
    </w:p>
    <w:p>
      <w:pPr>
        <w:pStyle w:val="Heading1"/>
      </w:pPr>
      <w:r>
        <w:t>7 Actores y segregación de funciones</w:t>
      </w:r>
    </w:p>
    <w:p>
      <w:r>
        <w:t>ADMIN autor y publicador son personas distintas. Preparador y revisor de negocio son independientes. También se separan la autoridad FID, la aprobación de creación, materialización, inicialización y activación. Los permisos se resuelven desde las asignaciones reales con bootstrap desactivado en los comandos de dominio. La existencia de una cuenta no sustituye la autorización para el comando.</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16"/>
        <w:gridCol w:w="720"/>
        <w:gridCol w:w="7430"/>
      </w:tblGrid>
      <w:tr>
        <w:trPr>
          <w:tblHeader w:val="true"/>
        </w:trPr>
        <w:tc>
          <w:tcPr>
            <w:tcW w:type="dxa" w:w="2016"/>
            <w:shd w:fill="17324D"/>
            <w:tcMar>
              <w:top w:w="100" w:type="dxa"/>
              <w:start w:w="100" w:type="dxa"/>
              <w:bottom w:w="100" w:type="dxa"/>
              <w:end w:w="100" w:type="dxa"/>
            </w:tcMar>
            <w:vAlign w:val="center"/>
          </w:tcPr>
          <w:p>
            <w:pPr>
              <w:keepNext/>
              <w:jc w:val="left"/>
            </w:pPr>
            <w:r>
              <w:rPr>
                <w:rFonts w:ascii="Aptos" w:hAnsi="Aptos" w:eastAsia="Aptos"/>
                <w:b/>
                <w:color w:val="FFFFFF"/>
                <w:sz w:val="19"/>
              </w:rPr>
              <w:t>Persona UAT</w:t>
            </w:r>
          </w:p>
        </w:tc>
        <w:tc>
          <w:tcPr>
            <w:tcW w:type="dxa" w:w="720"/>
            <w:shd w:fill="17324D"/>
            <w:tcMar>
              <w:top w:w="100" w:type="dxa"/>
              <w:start w:w="100" w:type="dxa"/>
              <w:bottom w:w="100" w:type="dxa"/>
              <w:end w:w="100" w:type="dxa"/>
            </w:tcMar>
            <w:vAlign w:val="center"/>
          </w:tcPr>
          <w:p>
            <w:pPr>
              <w:keepNext/>
              <w:jc w:val="left"/>
            </w:pPr>
            <w:r>
              <w:rPr>
                <w:rFonts w:ascii="Aptos" w:hAnsi="Aptos" w:eastAsia="Aptos"/>
                <w:b/>
                <w:color w:val="FFFFFF"/>
                <w:sz w:val="19"/>
              </w:rPr>
              <w:t>ID</w:t>
            </w:r>
          </w:p>
        </w:tc>
        <w:tc>
          <w:tcPr>
            <w:tcW w:type="dxa" w:w="7430"/>
            <w:shd w:fill="17324D"/>
            <w:tcMar>
              <w:top w:w="100" w:type="dxa"/>
              <w:start w:w="100" w:type="dxa"/>
              <w:bottom w:w="100" w:type="dxa"/>
              <w:end w:w="100" w:type="dxa"/>
            </w:tcMar>
            <w:vAlign w:val="center"/>
          </w:tcPr>
          <w:p>
            <w:pPr>
              <w:keepNext/>
              <w:jc w:val="left"/>
            </w:pPr>
            <w:r>
              <w:rPr>
                <w:rFonts w:ascii="Aptos" w:hAnsi="Aptos" w:eastAsia="Aptos"/>
                <w:b/>
                <w:color w:val="FFFFFF"/>
                <w:sz w:val="19"/>
              </w:rPr>
              <w:t>Funciones asignadas</w:t>
            </w:r>
          </w:p>
        </w:tc>
      </w:tr>
      <w:tr>
        <w:trPr>
          <w:cantSplit/>
        </w:trPr>
        <w:tc>
          <w:tcPr>
            <w:tcW w:type="dxa" w:w="2016"/>
            <w:tcMar>
              <w:top w:w="100" w:type="dxa"/>
              <w:start w:w="100" w:type="dxa"/>
              <w:bottom w:w="100" w:type="dxa"/>
              <w:end w:w="100" w:type="dxa"/>
            </w:tcMar>
            <w:vAlign w:val="center"/>
          </w:tcPr>
          <w:p>
            <w:pPr>
              <w:spacing w:after="20" w:line="250" w:lineRule="auto"/>
            </w:pPr>
            <w:r>
              <w:rPr>
                <w:rFonts w:ascii="Aptos" w:hAnsi="Aptos" w:eastAsia="Aptos"/>
                <w:color w:val="202A33"/>
                <w:sz w:val="19"/>
              </w:rPr>
              <w:t>admin_author</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41</w:t>
            </w:r>
          </w:p>
        </w:tc>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configuration_admin, business_analysis_config_admin, idea_configuration_admin, capital_planning_config_admin, proposal_configuration_admin, gate_configuration_admin, portfolio_configuration_admin, portfolio_evaluation_configuration_admin, portfolio_analysis_configuration_admin, portfolio_budget_configuration_admin, portfolio_resource_configuration_admin, portfolio_convergence_configuration_admin, portfolio_review_configuration_admin, investment_gate_configuration_admin, project_definition_configuration_admin, funding_configuration_admin, risk_configuration_admin, permit_configuration_admin, investment_decision_configuration_admin, post_fid_governance_configuration_admin, business_case_configuration_admin, financial_model_configuration_admin, benefits_plan_config_admin, commercial_strategy_config_admin</w:t>
            </w:r>
          </w:p>
        </w:tc>
      </w:tr>
      <w:tr>
        <w:trPr>
          <w:cantSplit/>
        </w:trPr>
        <w:tc>
          <w:tcPr>
            <w:tcW w:type="dxa" w:w="201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admin_publisher</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42</w:t>
            </w:r>
          </w:p>
        </w:tc>
        <w:tc>
          <w:tcPr>
            <w:tcW w:type="dxa" w:w="74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configuration_admin, business_analysis_config_admin, idea_configuration_admin, capital_planning_config_admin, proposal_configuration_admin, gate_configuration_admin, portfolio_configuration_admin, portfolio_evaluation_configuration_admin, portfolio_analysis_configuration_admin, portfolio_budget_configuration_admin, portfolio_resource_configuration_admin, portfolio_convergence_configuration_admin, portfolio_review_configuration_admin, investment_gate_configuration_admin, project_definition_configuration_admin, funding_configuration_admin, risk_configuration_admin, permit_configuration_admin, investment_decision_configuration_admin, post_fid_governance_configuration_admin, business_case_configuration_admin, financial_model_configuration_admin, benefits_plan_config_admin, commercial_strategy_config_admin</w:t>
            </w:r>
          </w:p>
        </w:tc>
      </w:tr>
      <w:tr>
        <w:trPr>
          <w:cantSplit/>
        </w:trPr>
        <w:tc>
          <w:tcPr>
            <w:tcW w:type="dxa" w:w="2016"/>
            <w:tcMar>
              <w:top w:w="100" w:type="dxa"/>
              <w:start w:w="100" w:type="dxa"/>
              <w:bottom w:w="100" w:type="dxa"/>
              <w:end w:w="100" w:type="dxa"/>
            </w:tcMar>
            <w:vAlign w:val="center"/>
          </w:tcPr>
          <w:p>
            <w:pPr>
              <w:spacing w:after="20" w:line="250" w:lineRule="auto"/>
            </w:pPr>
            <w:r>
              <w:rPr>
                <w:rFonts w:ascii="Aptos" w:hAnsi="Aptos" w:eastAsia="Aptos"/>
                <w:color w:val="202A33"/>
                <w:sz w:val="19"/>
              </w:rPr>
              <w:t>author</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43</w:t>
            </w:r>
          </w:p>
        </w:tc>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idea_requestor, idea_owner, business_analysis_author, proposal_requestor, proposal_owner, proposal_evaluator, gate_preparer, project_requestor, project_manager, portfolio_intake_planner, portfolio_membership_manager, portfolio_evaluator, portfolio_analyst, portfolio_budget_planner, portfolio_resource_planner, portfolio_recommendation_preparer, portfolio_review_preparer, business_case_preparer, benefits_plan_author, commercial_strategy_author, project_definition_manager, definition_assessor, risk_manager, permit_manager, funding_manager, financial_model_preparer, investment_gate_preparer, investment_decision_preparer, post_fid_governance_manager, capital_planning_cycle_manager, capital_planning_author, capital_planning_originator, capital_planning_allocation_author, capital_planning_bucket_classifier</w:t>
            </w:r>
          </w:p>
        </w:tc>
      </w:tr>
      <w:tr>
        <w:trPr>
          <w:cantSplit/>
        </w:trPr>
        <w:tc>
          <w:tcPr>
            <w:tcW w:type="dxa" w:w="201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reviewer</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44</w:t>
            </w:r>
          </w:p>
        </w:tc>
        <w:tc>
          <w:tcPr>
            <w:tcW w:type="dxa" w:w="74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business_analysis_reviewer, proposal_reviewer, gate_reviewer, project_reviewer, portfolio_evaluator, portfolio_budget_planner, portfolio_resource_planner, portfolio_recommendation_reviewer, portfolio_recommender, portfolio_review_authority, business_case_reviewer, benefits_plan_reviewer, commercial_strategy_reviewer, definition_assessor, definition_reviewer, risk_assessor, risk_acceptance_authority, permit_reviewer, permit_manager, funding_reviewer, financial_model_finance_reviewer, financial_model_reviewer, investment_evidence_reviewer, investment_decision_reviewer, capital_planning_reviewer, capital_planning_allocation_reviewer</w:t>
            </w:r>
          </w:p>
        </w:tc>
      </w:tr>
      <w:tr>
        <w:trPr>
          <w:cantSplit/>
        </w:trPr>
        <w:tc>
          <w:tcPr>
            <w:tcW w:type="dxa" w:w="2016"/>
            <w:tcMar>
              <w:top w:w="100" w:type="dxa"/>
              <w:start w:w="100" w:type="dxa"/>
              <w:bottom w:w="100" w:type="dxa"/>
              <w:end w:w="100" w:type="dxa"/>
            </w:tcMar>
            <w:vAlign w:val="center"/>
          </w:tcPr>
          <w:p>
            <w:pPr>
              <w:spacing w:after="20" w:line="250" w:lineRule="auto"/>
            </w:pPr>
            <w:r>
              <w:rPr>
                <w:rFonts w:ascii="Aptos" w:hAnsi="Aptos" w:eastAsia="Aptos"/>
                <w:color w:val="202A33"/>
                <w:sz w:val="19"/>
              </w:rPr>
              <w:t>intake</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45</w:t>
            </w:r>
          </w:p>
        </w:tc>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idea_intake_reviewer</w:t>
            </w:r>
          </w:p>
        </w:tc>
      </w:tr>
      <w:tr>
        <w:trPr>
          <w:cantSplit/>
        </w:trPr>
        <w:tc>
          <w:tcPr>
            <w:tcW w:type="dxa" w:w="201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idea_decider</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46</w:t>
            </w:r>
          </w:p>
        </w:tc>
        <w:tc>
          <w:tcPr>
            <w:tcW w:type="dxa" w:w="74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idea_decision_maker, gate_decision_maker</w:t>
            </w:r>
          </w:p>
        </w:tc>
      </w:tr>
      <w:tr>
        <w:trPr>
          <w:cantSplit/>
        </w:trPr>
        <w:tc>
          <w:tcPr>
            <w:tcW w:type="dxa" w:w="2016"/>
            <w:tcMar>
              <w:top w:w="100" w:type="dxa"/>
              <w:start w:w="100" w:type="dxa"/>
              <w:bottom w:w="100" w:type="dxa"/>
              <w:end w:w="100" w:type="dxa"/>
            </w:tcMar>
            <w:vAlign w:val="center"/>
          </w:tcPr>
          <w:p>
            <w:pPr>
              <w:spacing w:after="20" w:line="250" w:lineRule="auto"/>
            </w:pPr>
            <w:r>
              <w:rPr>
                <w:rFonts w:ascii="Aptos" w:hAnsi="Aptos" w:eastAsia="Aptos"/>
                <w:color w:val="202A33"/>
                <w:sz w:val="19"/>
              </w:rPr>
              <w:t>capital_endorser</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47</w:t>
            </w:r>
          </w:p>
        </w:tc>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capital_planning_endorser, capital_planning_allocation_endorser</w:t>
            </w:r>
          </w:p>
        </w:tc>
      </w:tr>
      <w:tr>
        <w:trPr>
          <w:cantSplit/>
        </w:trPr>
        <w:tc>
          <w:tcPr>
            <w:tcW w:type="dxa" w:w="201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project_approver</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48</w:t>
            </w:r>
          </w:p>
        </w:tc>
        <w:tc>
          <w:tcPr>
            <w:tcW w:type="dxa" w:w="74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project_approver</w:t>
            </w:r>
          </w:p>
        </w:tc>
      </w:tr>
      <w:tr>
        <w:trPr>
          <w:cantSplit/>
        </w:trPr>
        <w:tc>
          <w:tcPr>
            <w:tcW w:type="dxa" w:w="2016"/>
            <w:tcMar>
              <w:top w:w="100" w:type="dxa"/>
              <w:start w:w="100" w:type="dxa"/>
              <w:bottom w:w="100" w:type="dxa"/>
              <w:end w:w="100" w:type="dxa"/>
            </w:tcMar>
            <w:vAlign w:val="center"/>
          </w:tcPr>
          <w:p>
            <w:pPr>
              <w:spacing w:after="20" w:line="250" w:lineRule="auto"/>
            </w:pPr>
            <w:r>
              <w:rPr>
                <w:rFonts w:ascii="Aptos" w:hAnsi="Aptos" w:eastAsia="Aptos"/>
                <w:color w:val="202A33"/>
                <w:sz w:val="19"/>
              </w:rPr>
              <w:t>materializer</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49</w:t>
            </w:r>
          </w:p>
        </w:tc>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project_materialization_service</w:t>
            </w:r>
          </w:p>
        </w:tc>
      </w:tr>
      <w:tr>
        <w:trPr>
          <w:cantSplit/>
        </w:trPr>
        <w:tc>
          <w:tcPr>
            <w:tcW w:type="dxa" w:w="201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decision_maker</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50</w:t>
            </w:r>
          </w:p>
        </w:tc>
        <w:tc>
          <w:tcPr>
            <w:tcW w:type="dxa" w:w="74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investment_decision_maker</w:t>
            </w:r>
          </w:p>
        </w:tc>
      </w:tr>
      <w:tr>
        <w:trPr>
          <w:cantSplit/>
        </w:trPr>
        <w:tc>
          <w:tcPr>
            <w:tcW w:type="dxa" w:w="2016"/>
            <w:tcMar>
              <w:top w:w="100" w:type="dxa"/>
              <w:start w:w="100" w:type="dxa"/>
              <w:bottom w:w="100" w:type="dxa"/>
              <w:end w:w="100" w:type="dxa"/>
            </w:tcMar>
            <w:vAlign w:val="center"/>
          </w:tcPr>
          <w:p>
            <w:pPr>
              <w:spacing w:after="20" w:line="250" w:lineRule="auto"/>
            </w:pPr>
            <w:r>
              <w:rPr>
                <w:rFonts w:ascii="Aptos" w:hAnsi="Aptos" w:eastAsia="Aptos"/>
                <w:color w:val="202A33"/>
                <w:sz w:val="19"/>
              </w:rPr>
              <w:t>initializer</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51</w:t>
            </w:r>
          </w:p>
        </w:tc>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project_workspace_initializer</w:t>
            </w:r>
          </w:p>
        </w:tc>
      </w:tr>
      <w:tr>
        <w:trPr>
          <w:cantSplit/>
        </w:trPr>
        <w:tc>
          <w:tcPr>
            <w:tcW w:type="dxa" w:w="201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activator</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52</w:t>
            </w:r>
          </w:p>
        </w:tc>
        <w:tc>
          <w:tcPr>
            <w:tcW w:type="dxa" w:w="74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project_workspace_activator</w:t>
            </w:r>
          </w:p>
        </w:tc>
      </w:tr>
    </w:tbl>
    <w:p>
      <w:pPr>
        <w:spacing w:after="20"/>
      </w:pPr>
    </w:p>
    <w:p>
      <w:pPr>
        <w:pStyle w:val="Heading1"/>
      </w:pPr>
      <w:r>
        <w:t>8 Inventario de configuración</w:t>
      </w:r>
    </w:p>
    <w:p>
      <w:r>
        <w:t>Los IDs, revisiones y hashes capturados se consultan en el registro de configuración. Los defaults que nacen publicados por bootstrap del producto se identifican como tales; los sucesores UAT siguen clone o DRAFT, validación y publicación por un actor independiente. No se edita contenido de políticas publicadas históricas. El inventario incompleto no se presenta como A0 aprobado.</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7142"/>
      </w:tblGrid>
      <w:tr>
        <w:trPr>
          <w:tblHeader w:val="true"/>
        </w:trPr>
        <w:tc>
          <w:tcPr>
            <w:tcW w:type="dxa" w:w="3024"/>
            <w:shd w:fill="17324D"/>
            <w:tcMar>
              <w:top w:w="100" w:type="dxa"/>
              <w:start w:w="100" w:type="dxa"/>
              <w:bottom w:w="100" w:type="dxa"/>
              <w:end w:w="100" w:type="dxa"/>
            </w:tcMar>
            <w:vAlign w:val="center"/>
          </w:tcPr>
          <w:p>
            <w:pPr>
              <w:keepNext/>
              <w:jc w:val="left"/>
            </w:pPr>
            <w:r>
              <w:rPr>
                <w:rFonts w:ascii="Aptos" w:hAnsi="Aptos" w:eastAsia="Aptos"/>
                <w:b/>
                <w:color w:val="FFFFFF"/>
                <w:sz w:val="19"/>
              </w:rPr>
              <w:t>Dominio</w:t>
            </w:r>
          </w:p>
        </w:tc>
        <w:tc>
          <w:tcPr>
            <w:tcW w:type="dxa" w:w="7142"/>
            <w:shd w:fill="17324D"/>
            <w:tcMar>
              <w:top w:w="100" w:type="dxa"/>
              <w:start w:w="100" w:type="dxa"/>
              <w:bottom w:w="100" w:type="dxa"/>
              <w:end w:w="100" w:type="dxa"/>
            </w:tcMar>
            <w:vAlign w:val="center"/>
          </w:tcPr>
          <w:p>
            <w:pPr>
              <w:keepNext/>
              <w:jc w:val="left"/>
            </w:pPr>
            <w:r>
              <w:rPr>
                <w:rFonts w:ascii="Aptos" w:hAnsi="Aptos" w:eastAsia="Aptos"/>
                <w:b/>
                <w:color w:val="FFFFFF"/>
                <w:sz w:val="19"/>
              </w:rPr>
              <w:t>Referencia capturada</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objective</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4, "code": "copper-recovery-debf223b50", "method": "Explicit administrative reference bootstrap, not a terminal business fixture"}</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core</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{"state": "NO_INITIAL_CORE_RELEASE", "reason": "Current Project creation/initialization do not require a CORE release; no fabricated publication"}</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ideas:idea_demand_configuration</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334, "revision": 2, "hash": "ed64d8764e3f72aa7dee5257941a4c9bcc2bd947ec34606ba5d3f8091b428c41", "author_id": 41, "publisher_id": 42, "unchanged_default_rules": true}</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ideas:idea_evaluation_matrix</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335, "revision": 2, "hash": "3d400ea55bed0ac4fd93a26dee2f31fd844b2b6051e184eeec6dbcab98c97d30", "author_id": 41, "publisher_id": 42, "unchanged_default_rules": true}</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business-analyses:business_analysis_configuration</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338, "revision": 2, "hash": "ccafb5aa40a8054617998c03b5c54e650a86bfec6f6eb54194f8fe480b1eeb15", "author_id": 41, "publisher_id": 42, "unchanged_default_rules": true}</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project-proposals:project_proposal_configuration</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342, "revision": 2, "hash": "3450287a8bd111992df31f4bf3c015d4956cbfea473a33b56370861fb4102cd9", "author_id": 41, "publisher_id": 42, "unchanged_default_rules": true}</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project-proposals:project_proposal_evaluation_matrix</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343, "revision": 2, "hash": "d0ce9d5617d862b88da349e344bfb6c3ce0d79e8791dc14d0ea88652dcd0bd5b", "author_id": 41, "publisher_id": 42, "unchanged_default_rules": true}</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strategic-gate-decisions:strategic_gate_configuration</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345, "revision": 2, "hash": "b5e958ad8b8af0d212e8dac29ae0810d6fdbabc0638e754ad96cf758f65a522d", "author_id": 41, "publisher_id": 42, "unchanged_default_rules": true}</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capital_planning</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347, "revision": 1, "hash": "ec94b9e81f1aa54c8d96b6b1e10a5be684f31d78b415f31b189acb49b53b1f8c"}</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numbering_rule:project-workspace</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318, "revision": 1, "hash": "61d1fa3b81372bdbc91bf0df21610525b27cfb67e7b65d6258348fc3d32e8582"}</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creation_policy:project-creation</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319, "revision": 1, "hash": "7b01ecf65431ffb476a3e930d927b068504fe6f8828ea0b0cc804d2e294af2c6"}</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project_governance_policy:project-governance-capital-owner-tenant</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328, "revision": 1, "hash": "a8c5e102d8a29cfb28009652eaa3a11dd83501e68c296e6c8790fefbd90fe971"}</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workspace_type:warehouse</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304, "revision": 1, "hash": "43c6eec556fdb1bd3c3c6b1815712cc0e0c3cbbe7ac8c1b65ee1b8e0a90daba9"}</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workspace_type:linear-asset</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305, "revision": 1, "hash": "c819c664ee4a8392912310f34cc5f57b6353bcb7c19e78f8eb2e7c527ddd08b6"}</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catalog:strategic-objective</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306, "revision": 1, "hash": "87b8ca0cf73f49e604775a0df00a6dbafff01057b9f8fc5aca0b7ad6373fb718"}</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catalog:responsible-area</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307, "revision": 1, "hash": "38d3e863fca33932e54498bca2a2d070d8dabafc9d1bdc2dc61f07c8953f2c32"}</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catalog:project-type</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308, "revision": 1, "hash": "6b43611f916ccb1f79a498367c6768b0f17730256e614fcfe437bedb2f056a68"}</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catalog:property-type</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309, "revision": 1, "hash": "9283200325f0f16af464b767f54b587fd53d0bb56675e622499c3fe9942b8ef2"}</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catalog:facility-type</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310, "revision": 1, "hash": "bc9aa99ecb094d6de25f7b68f5980ea753f25d47a9a46df26c750e420f3589eb"}</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catalog:warehouse-type</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311, "revision": 1, "hash": "abbf5f04c50d768a64af46527fcb37fbda8e83c00d16e26cf434c10438a1aaea"}</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module_definition:scope-manager</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312, "revision": 1, "hash": "e62b0372acf6d36bfcb114b022a16164c14501e7145c5b043d4489f46b292df0"}</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module_definition:schedule-manager</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313, "revision": 1, "hash": "0e4efc38499cbc209d6af5389eff0f26ff3ceb298bfe1981324b8ecc0e7fd4eb"}</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module_definition:cost-manager</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314, "revision": 1, "hash": "1d8348e4068ced5590877c91e68834647d7145a635cdd4bfe17c1534973814fe"}</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workspace_type:enterprise</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294, "revision": 1, "hash": "9a23fa84e1bca11c09b4b7cd2baedb16f02adf436fbd1b28c1fb24ae6cbee042"}</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workspace_type:business-unit</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295, "revision": 1, "hash": "3e0c6f2a126d9421a0c8d15bd3c1ef84fd8f13cf5dc459fd2cc27549758d27fb"}</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workspace_type:portfolio</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296, "revision": 1, "hash": "75f4073bf4565abe0b373936161287328d463c0b8425cfdf0ce24012940c30d1"}</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workspace_type:program</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297, "revision": 1, "hash": "5e0eaf485ae6283d4ba9ff6dd879b76ca2b7627bff9589ff10540f4dde8bdfc8"}</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catalog:workspace-status</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315, "revision": 1, "hash": "74a7470c4a2c1d96f54cf8d00de994c20b5f6c39785a6e69f4633f65cf3fd48c"}</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numbering_rule:workspace</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316, "revision": 1, "hash": "2fb63e883b961507163b9663d6598269d66c0d73bcb02ae2e4c1969fbd0eb8a0"}</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workspace_type:project</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298, "revision": 1, "hash": "ce89bb15aadc01d5ee36010e0965f771df72d0206e1fd5ecf12d959ad8130734"}</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workspace_type:property</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299, "revision": 1, "hash": "da489caaf516451f4aa629ae1ac41bd37c929f49b1cb67b7c801ee55687082f6"}</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workspace_type:facility</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300, "revision": 1, "hash": "6a6efa80a130d1c212cbb94b280f40d54fe790e9746e9a148d479a8a7033ef4d"}</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workspace_type:region</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301, "revision": 1, "hash": "6b20c63a6e491f9c047179bb2a1cb473d1b9b6ec32a6d7b5500ac0e89b63e74e"}</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workspace_type:district</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302, "revision": 1, "hash": "e527b722ea37c22908a4cabd5ac75bd4bc35d44389ab59fe60f87e1f1bf95224"}</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workspace_type:site</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303, "revision": 1, "hash": "35022889d0961547ccda72c23e4971bfa06b8cd78d3df63b8a315bdf0098c81d"}</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process_definition:configuration-release</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317, "revision": 1, "hash": "16d4f342b2cb4e7cd4f215d4edea3f611116da7df825bd9df4ea2d81b513bcde"}</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project_governance_policy:project-governance-contractor-delivery-tenant</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329, "revision": 1, "hash": "476f6ff89995b5a990afd252c45714142e957e12d89cd509943c7774eb53e819"}</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project_governance_policy:project-governance-direct-internal-tenant</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330, "revision": 1, "hash": "be189f6cddde0b5e7d68a8e6899783903fa50b573c541a4f26b0c1c7dfc1111b"}</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project_template:FRESH-COPPER-DEBF223B50</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331, "revision": 1, "hash": "def29863cc133afa5509dde1a412fa91b239b96aa09c332a1d6b606fbf3e04c5"}</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idea_demand_configuration:default</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332, "revision": 1, "hash": "ed64d8764e3f72aa7dee5257941a4c9bcc2bd947ec34606ba5d3f8091b428c41"}</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idea_evaluation_matrix:default</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333, "revision": 1, "hash": "3d400ea55bed0ac4fd93a26dee2f31fd844b2b6051e184eeec6dbcab98c97d30"}</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capital_planning_configuration:default</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346, "revision": 1, "hash": "eb64c6a0294b430401f2c4b42a457a8813bed1bf9e63e50d5dd5fdc73eb60819"}</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business_analysis_configuration:default</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336, "revision": 1, "hash": "ccafb5aa40a8054617998c03b5c54e650a86bfec6f6eb54194f8fe480b1eeb15"}</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project_proposal_configuration:default</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340, "revision": 1, "hash": "3450287a8bd111992df31f4bf3c015d4956cbfea473a33b56370861fb4102cd9"}</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project_proposal_evaluation_matrix:default</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341, "revision": 1, "hash": "d0ce9d5617d862b88da349e344bfb6c3ce0d79e8791dc14d0ea88652dcd0bd5b"}</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strategic_gate_configuration:default</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344, "revision": 1, "hash": "b5e958ad8b8af0d212e8dac29ae0810d6fdbabc0638e754ad96cf758f65a522d"}</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capital_planning_configuration:workspace-13</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{"id": 347, "revision": 1, "hash": "ec94b9e81f1aa54c8d96b6b1e10a5be684f31d78b415f31b189acb49b53b1f8c"}</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portfolio_planning_configuration:default</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 354, "revision": 1, "hash": "a7f531b90bf79d6af5a9b252cf5124b15646aa9bc08665d32f710876b0ae5ab3"}</w:t>
            </w:r>
          </w:p>
        </w:tc>
      </w:tr>
    </w:tbl>
    <w:p>
      <w:pPr>
        <w:spacing w:after="20"/>
      </w:pP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720"/>
        <w:gridCol w:w="1008"/>
        <w:gridCol w:w="6278"/>
      </w:tblGrid>
      <w:tr>
        <w:trPr>
          <w:tblHeader w:val="true"/>
        </w:trPr>
        <w:tc>
          <w:tcPr>
            <w:tcW w:type="dxa" w:w="2160"/>
            <w:shd w:fill="17324D"/>
            <w:tcMar>
              <w:top w:w="100" w:type="dxa"/>
              <w:start w:w="100" w:type="dxa"/>
              <w:bottom w:w="100" w:type="dxa"/>
              <w:end w:w="100" w:type="dxa"/>
            </w:tcMar>
            <w:vAlign w:val="center"/>
          </w:tcPr>
          <w:p>
            <w:pPr>
              <w:keepNext/>
              <w:jc w:val="left"/>
            </w:pPr>
            <w:r>
              <w:rPr>
                <w:rFonts w:ascii="Aptos" w:hAnsi="Aptos" w:eastAsia="Aptos"/>
                <w:b/>
                <w:color w:val="FFFFFF"/>
                <w:sz w:val="19"/>
              </w:rPr>
              <w:t>Fuente</w:t>
            </w:r>
          </w:p>
        </w:tc>
        <w:tc>
          <w:tcPr>
            <w:tcW w:type="dxa" w:w="720"/>
            <w:shd w:fill="17324D"/>
            <w:tcMar>
              <w:top w:w="100" w:type="dxa"/>
              <w:start w:w="100" w:type="dxa"/>
              <w:bottom w:w="100" w:type="dxa"/>
              <w:end w:w="100" w:type="dxa"/>
            </w:tcMar>
            <w:vAlign w:val="center"/>
          </w:tcPr>
          <w:p>
            <w:pPr>
              <w:keepNext/>
              <w:jc w:val="left"/>
            </w:pPr>
            <w:r>
              <w:rPr>
                <w:rFonts w:ascii="Aptos" w:hAnsi="Aptos" w:eastAsia="Aptos"/>
                <w:b/>
                <w:color w:val="FFFFFF"/>
                <w:sz w:val="19"/>
              </w:rPr>
              <w:t>ID</w:t>
            </w:r>
          </w:p>
        </w:tc>
        <w:tc>
          <w:tcPr>
            <w:tcW w:type="dxa" w:w="1008"/>
            <w:shd w:fill="17324D"/>
            <w:tcMar>
              <w:top w:w="100" w:type="dxa"/>
              <w:start w:w="100" w:type="dxa"/>
              <w:bottom w:w="100" w:type="dxa"/>
              <w:end w:w="100" w:type="dxa"/>
            </w:tcMar>
            <w:vAlign w:val="center"/>
          </w:tcPr>
          <w:p>
            <w:pPr>
              <w:keepNext/>
              <w:jc w:val="left"/>
            </w:pPr>
            <w:r>
              <w:rPr>
                <w:rFonts w:ascii="Aptos" w:hAnsi="Aptos" w:eastAsia="Aptos"/>
                <w:b/>
                <w:color w:val="FFFFFF"/>
                <w:sz w:val="19"/>
              </w:rPr>
              <w:t>Revisión</w:t>
            </w:r>
          </w:p>
        </w:tc>
        <w:tc>
          <w:tcPr>
            <w:tcW w:type="dxa" w:w="6278"/>
            <w:shd w:fill="17324D"/>
            <w:tcMar>
              <w:top w:w="100" w:type="dxa"/>
              <w:start w:w="100" w:type="dxa"/>
              <w:bottom w:w="100" w:type="dxa"/>
              <w:end w:w="100" w:type="dxa"/>
            </w:tcMar>
            <w:vAlign w:val="center"/>
          </w:tcPr>
          <w:p>
            <w:pPr>
              <w:keepNext/>
              <w:jc w:val="left"/>
            </w:pPr>
            <w:r>
              <w:rPr>
                <w:rFonts w:ascii="Aptos" w:hAnsi="Aptos" w:eastAsia="Aptos"/>
                <w:b/>
                <w:color w:val="FFFFFF"/>
                <w:sz w:val="19"/>
              </w:rPr>
              <w:t>Hash</w:t>
            </w:r>
          </w:p>
        </w:tc>
      </w:tr>
      <w:tr>
        <w:trPr>
          <w:cantSplit/>
        </w:trPr>
        <w:tc>
          <w:tcPr>
            <w:tcW w:type="dxa" w:w="2160"/>
            <w:tcMar>
              <w:top w:w="100" w:type="dxa"/>
              <w:start w:w="100" w:type="dxa"/>
              <w:bottom w:w="100" w:type="dxa"/>
              <w:end w:w="100" w:type="dxa"/>
            </w:tcMar>
            <w:vAlign w:val="center"/>
          </w:tcPr>
          <w:p>
            <w:pPr>
              <w:spacing w:after="20" w:line="250" w:lineRule="auto"/>
            </w:pPr>
            <w:r>
              <w:rPr>
                <w:rFonts w:ascii="Aptos" w:hAnsi="Aptos" w:eastAsia="Aptos"/>
                <w:color w:val="202A33"/>
                <w:sz w:val="19"/>
              </w:rPr>
              <w:t>benefits</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356</w:t>
            </w:r>
          </w:p>
        </w:tc>
        <w:tc>
          <w:tcPr>
            <w:tcW w:type="dxa" w:w="1008"/>
            <w:tcMar>
              <w:top w:w="100" w:type="dxa"/>
              <w:start w:w="100" w:type="dxa"/>
              <w:bottom w:w="100" w:type="dxa"/>
              <w:end w:w="100" w:type="dxa"/>
            </w:tcMar>
            <w:vAlign w:val="center"/>
          </w:tcPr>
          <w:p>
            <w:pPr>
              <w:spacing w:after="20" w:line="250" w:lineRule="auto"/>
            </w:pPr>
            <w:r>
              <w:rPr>
                <w:rFonts w:ascii="Aptos" w:hAnsi="Aptos" w:eastAsia="Aptos"/>
                <w:color w:val="202A33"/>
                <w:sz w:val="19"/>
              </w:rPr>
              <w:t>2</w:t>
            </w:r>
          </w:p>
        </w:tc>
        <w:tc>
          <w:tcPr>
            <w:tcW w:type="dxa" w:w="6278"/>
            <w:tcMar>
              <w:top w:w="100" w:type="dxa"/>
              <w:start w:w="100" w:type="dxa"/>
              <w:bottom w:w="100" w:type="dxa"/>
              <w:end w:w="100" w:type="dxa"/>
            </w:tcMar>
            <w:vAlign w:val="center"/>
          </w:tcPr>
          <w:p>
            <w:pPr>
              <w:spacing w:after="20" w:line="250" w:lineRule="auto"/>
            </w:pPr>
            <w:r>
              <w:rPr>
                <w:rFonts w:ascii="Aptos" w:hAnsi="Aptos" w:eastAsia="Aptos"/>
                <w:color w:val="202A33"/>
                <w:sz w:val="19"/>
              </w:rPr>
              <w:t>0a1d72a95d63653f01a7ba14f261b6d798dc7975e8eca03d874ac55ed183b41e</w:t>
            </w:r>
          </w:p>
        </w:tc>
      </w:tr>
      <w:tr>
        <w:trPr>
          <w:cantSplit/>
        </w:trPr>
        <w:tc>
          <w:tcPr>
            <w:tcW w:type="dxa" w:w="216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commercial</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358</w:t>
            </w:r>
          </w:p>
        </w:tc>
        <w:tc>
          <w:tcPr>
            <w:tcW w:type="dxa" w:w="100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2</w:t>
            </w:r>
          </w:p>
        </w:tc>
        <w:tc>
          <w:tcPr>
            <w:tcW w:type="dxa" w:w="62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93c4aaae6157d1e99792bbc8aa01ba43e08f0d2b5167f0ba06b7f7f228e1df38</w:t>
            </w:r>
          </w:p>
        </w:tc>
      </w:tr>
      <w:tr>
        <w:trPr>
          <w:cantSplit/>
        </w:trPr>
        <w:tc>
          <w:tcPr>
            <w:tcW w:type="dxa" w:w="2160"/>
            <w:tcMar>
              <w:top w:w="100" w:type="dxa"/>
              <w:start w:w="100" w:type="dxa"/>
              <w:bottom w:w="100" w:type="dxa"/>
              <w:end w:w="100" w:type="dxa"/>
            </w:tcMar>
            <w:vAlign w:val="center"/>
          </w:tcPr>
          <w:p>
            <w:pPr>
              <w:spacing w:after="20" w:line="250" w:lineRule="auto"/>
            </w:pPr>
            <w:r>
              <w:rPr>
                <w:rFonts w:ascii="Aptos" w:hAnsi="Aptos" w:eastAsia="Aptos"/>
                <w:color w:val="202A33"/>
                <w:sz w:val="19"/>
              </w:rPr>
              <w:t>permit</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359</w:t>
            </w:r>
          </w:p>
        </w:tc>
        <w:tc>
          <w:tcPr>
            <w:tcW w:type="dxa" w:w="1008"/>
            <w:tcMar>
              <w:top w:w="100" w:type="dxa"/>
              <w:start w:w="100" w:type="dxa"/>
              <w:bottom w:w="100" w:type="dxa"/>
              <w:end w:w="100" w:type="dxa"/>
            </w:tcMar>
            <w:vAlign w:val="center"/>
          </w:tcPr>
          <w:p>
            <w:pPr>
              <w:spacing w:after="20" w:line="250" w:lineRule="auto"/>
            </w:pPr>
            <w:r>
              <w:rPr>
                <w:rFonts w:ascii="Aptos" w:hAnsi="Aptos" w:eastAsia="Aptos"/>
                <w:color w:val="202A33"/>
                <w:sz w:val="19"/>
              </w:rPr>
              <w:t>1</w:t>
            </w:r>
          </w:p>
        </w:tc>
        <w:tc>
          <w:tcPr>
            <w:tcW w:type="dxa" w:w="6278"/>
            <w:tcMar>
              <w:top w:w="100" w:type="dxa"/>
              <w:start w:w="100" w:type="dxa"/>
              <w:bottom w:w="100" w:type="dxa"/>
              <w:end w:w="100" w:type="dxa"/>
            </w:tcMar>
            <w:vAlign w:val="center"/>
          </w:tcPr>
          <w:p>
            <w:pPr>
              <w:spacing w:after="20" w:line="250" w:lineRule="auto"/>
            </w:pPr>
            <w:r>
              <w:rPr>
                <w:rFonts w:ascii="Aptos" w:hAnsi="Aptos" w:eastAsia="Aptos"/>
                <w:color w:val="202A33"/>
                <w:sz w:val="19"/>
              </w:rPr>
              <w:t>7649394ac0636eb1793a6902afbe4fead48a6835d48cf90aed8680ff5288a98f</w:t>
            </w:r>
          </w:p>
        </w:tc>
      </w:tr>
      <w:tr>
        <w:trPr>
          <w:cantSplit/>
        </w:trPr>
        <w:tc>
          <w:tcPr>
            <w:tcW w:type="dxa" w:w="216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basic_data</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361</w:t>
            </w:r>
          </w:p>
        </w:tc>
        <w:tc>
          <w:tcPr>
            <w:tcW w:type="dxa" w:w="100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w:t>
            </w:r>
          </w:p>
        </w:tc>
        <w:tc>
          <w:tcPr>
            <w:tcW w:type="dxa" w:w="62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353fd4a8f0125f84a63c5f4dcba7e55c07b6d1201a8b50d309ef1a368d7531ac</w:t>
            </w:r>
          </w:p>
        </w:tc>
      </w:tr>
      <w:tr>
        <w:trPr>
          <w:cantSplit/>
        </w:trPr>
        <w:tc>
          <w:tcPr>
            <w:tcW w:type="dxa" w:w="2160"/>
            <w:tcMar>
              <w:top w:w="100" w:type="dxa"/>
              <w:start w:w="100" w:type="dxa"/>
              <w:bottom w:w="100" w:type="dxa"/>
              <w:end w:w="100" w:type="dxa"/>
            </w:tcMar>
            <w:vAlign w:val="center"/>
          </w:tcPr>
          <w:p>
            <w:pPr>
              <w:spacing w:after="20" w:line="250" w:lineRule="auto"/>
            </w:pPr>
            <w:r>
              <w:rPr>
                <w:rFonts w:ascii="Aptos" w:hAnsi="Aptos" w:eastAsia="Aptos"/>
                <w:color w:val="202A33"/>
                <w:sz w:val="19"/>
              </w:rPr>
              <w:t>owner_capability</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363</w:t>
            </w:r>
          </w:p>
        </w:tc>
        <w:tc>
          <w:tcPr>
            <w:tcW w:type="dxa" w:w="1008"/>
            <w:tcMar>
              <w:top w:w="100" w:type="dxa"/>
              <w:start w:w="100" w:type="dxa"/>
              <w:bottom w:w="100" w:type="dxa"/>
              <w:end w:w="100" w:type="dxa"/>
            </w:tcMar>
            <w:vAlign w:val="center"/>
          </w:tcPr>
          <w:p>
            <w:pPr>
              <w:spacing w:after="20" w:line="250" w:lineRule="auto"/>
            </w:pPr>
            <w:r>
              <w:rPr>
                <w:rFonts w:ascii="Aptos" w:hAnsi="Aptos" w:eastAsia="Aptos"/>
                <w:color w:val="202A33"/>
                <w:sz w:val="19"/>
              </w:rPr>
              <w:t>1</w:t>
            </w:r>
          </w:p>
        </w:tc>
        <w:tc>
          <w:tcPr>
            <w:tcW w:type="dxa" w:w="6278"/>
            <w:tcMar>
              <w:top w:w="100" w:type="dxa"/>
              <w:start w:w="100" w:type="dxa"/>
              <w:bottom w:w="100" w:type="dxa"/>
              <w:end w:w="100" w:type="dxa"/>
            </w:tcMar>
            <w:vAlign w:val="center"/>
          </w:tcPr>
          <w:p>
            <w:pPr>
              <w:spacing w:after="20" w:line="250" w:lineRule="auto"/>
            </w:pPr>
            <w:r>
              <w:rPr>
                <w:rFonts w:ascii="Aptos" w:hAnsi="Aptos" w:eastAsia="Aptos"/>
                <w:color w:val="202A33"/>
                <w:sz w:val="19"/>
              </w:rPr>
              <w:t>ae5e00551bc861889657cb617cc134ef9d4a9852d18003cb245cbcaf6f7f7198</w:t>
            </w:r>
          </w:p>
        </w:tc>
      </w:tr>
      <w:tr>
        <w:trPr>
          <w:cantSplit/>
        </w:trPr>
        <w:tc>
          <w:tcPr>
            <w:tcW w:type="dxa" w:w="216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fel</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364</w:t>
            </w:r>
          </w:p>
        </w:tc>
        <w:tc>
          <w:tcPr>
            <w:tcW w:type="dxa" w:w="100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w:t>
            </w:r>
          </w:p>
        </w:tc>
        <w:tc>
          <w:tcPr>
            <w:tcW w:type="dxa" w:w="62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87c67d5ff9698e281008e46059b25c7f4bb6b91ffb5469cf0505ce5a12a0d55c</w:t>
            </w:r>
          </w:p>
        </w:tc>
      </w:tr>
      <w:tr>
        <w:trPr>
          <w:cantSplit/>
        </w:trPr>
        <w:tc>
          <w:tcPr>
            <w:tcW w:type="dxa" w:w="2160"/>
            <w:tcMar>
              <w:top w:w="100" w:type="dxa"/>
              <w:start w:w="100" w:type="dxa"/>
              <w:bottom w:w="100" w:type="dxa"/>
              <w:end w:w="100" w:type="dxa"/>
            </w:tcMar>
            <w:vAlign w:val="center"/>
          </w:tcPr>
          <w:p>
            <w:pPr>
              <w:spacing w:after="20" w:line="250" w:lineRule="auto"/>
            </w:pPr>
            <w:r>
              <w:rPr>
                <w:rFonts w:ascii="Aptos" w:hAnsi="Aptos" w:eastAsia="Aptos"/>
                <w:color w:val="202A33"/>
                <w:sz w:val="19"/>
              </w:rPr>
              <w:t>business_case</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366</w:t>
            </w:r>
          </w:p>
        </w:tc>
        <w:tc>
          <w:tcPr>
            <w:tcW w:type="dxa" w:w="1008"/>
            <w:tcMar>
              <w:top w:w="100" w:type="dxa"/>
              <w:start w:w="100" w:type="dxa"/>
              <w:bottom w:w="100" w:type="dxa"/>
              <w:end w:w="100" w:type="dxa"/>
            </w:tcMar>
            <w:vAlign w:val="center"/>
          </w:tcPr>
          <w:p>
            <w:pPr>
              <w:spacing w:after="20" w:line="250" w:lineRule="auto"/>
            </w:pPr>
            <w:r>
              <w:rPr>
                <w:rFonts w:ascii="Aptos" w:hAnsi="Aptos" w:eastAsia="Aptos"/>
                <w:color w:val="202A33"/>
                <w:sz w:val="19"/>
              </w:rPr>
              <w:t>2</w:t>
            </w:r>
          </w:p>
        </w:tc>
        <w:tc>
          <w:tcPr>
            <w:tcW w:type="dxa" w:w="6278"/>
            <w:tcMar>
              <w:top w:w="100" w:type="dxa"/>
              <w:start w:w="100" w:type="dxa"/>
              <w:bottom w:w="100" w:type="dxa"/>
              <w:end w:w="100" w:type="dxa"/>
            </w:tcMar>
            <w:vAlign w:val="center"/>
          </w:tcPr>
          <w:p>
            <w:pPr>
              <w:spacing w:after="20" w:line="250" w:lineRule="auto"/>
            </w:pPr>
            <w:r>
              <w:rPr>
                <w:rFonts w:ascii="Aptos" w:hAnsi="Aptos" w:eastAsia="Aptos"/>
                <w:color w:val="202A33"/>
                <w:sz w:val="19"/>
              </w:rPr>
              <w:t>3371ebcc748fc684008cd66bb13b7c80cd60214c1d727e3d2fd918524ec4d74d</w:t>
            </w:r>
          </w:p>
        </w:tc>
      </w:tr>
      <w:tr>
        <w:trPr>
          <w:cantSplit/>
        </w:trPr>
        <w:tc>
          <w:tcPr>
            <w:tcW w:type="dxa" w:w="216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funding</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367</w:t>
            </w:r>
          </w:p>
        </w:tc>
        <w:tc>
          <w:tcPr>
            <w:tcW w:type="dxa" w:w="100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w:t>
            </w:r>
          </w:p>
        </w:tc>
        <w:tc>
          <w:tcPr>
            <w:tcW w:type="dxa" w:w="62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587a6d39a4058ab50be92b9ffed99ae94df713bc27f0372bb3df9715d2c99f13</w:t>
            </w:r>
          </w:p>
        </w:tc>
      </w:tr>
      <w:tr>
        <w:trPr>
          <w:cantSplit/>
        </w:trPr>
        <w:tc>
          <w:tcPr>
            <w:tcW w:type="dxa" w:w="2160"/>
            <w:tcMar>
              <w:top w:w="100" w:type="dxa"/>
              <w:start w:w="100" w:type="dxa"/>
              <w:bottom w:w="100" w:type="dxa"/>
              <w:end w:w="100" w:type="dxa"/>
            </w:tcMar>
            <w:vAlign w:val="center"/>
          </w:tcPr>
          <w:p>
            <w:pPr>
              <w:spacing w:after="20" w:line="250" w:lineRule="auto"/>
            </w:pPr>
            <w:r>
              <w:rPr>
                <w:rFonts w:ascii="Aptos" w:hAnsi="Aptos" w:eastAsia="Aptos"/>
                <w:color w:val="202A33"/>
                <w:sz w:val="19"/>
              </w:rPr>
              <w:t>risk</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368</w:t>
            </w:r>
          </w:p>
        </w:tc>
        <w:tc>
          <w:tcPr>
            <w:tcW w:type="dxa" w:w="1008"/>
            <w:tcMar>
              <w:top w:w="100" w:type="dxa"/>
              <w:start w:w="100" w:type="dxa"/>
              <w:bottom w:w="100" w:type="dxa"/>
              <w:end w:w="100" w:type="dxa"/>
            </w:tcMar>
            <w:vAlign w:val="center"/>
          </w:tcPr>
          <w:p>
            <w:pPr>
              <w:spacing w:after="20" w:line="250" w:lineRule="auto"/>
            </w:pPr>
            <w:r>
              <w:rPr>
                <w:rFonts w:ascii="Aptos" w:hAnsi="Aptos" w:eastAsia="Aptos"/>
                <w:color w:val="202A33"/>
                <w:sz w:val="19"/>
              </w:rPr>
              <w:t>1</w:t>
            </w:r>
          </w:p>
        </w:tc>
        <w:tc>
          <w:tcPr>
            <w:tcW w:type="dxa" w:w="6278"/>
            <w:tcMar>
              <w:top w:w="100" w:type="dxa"/>
              <w:start w:w="100" w:type="dxa"/>
              <w:bottom w:w="100" w:type="dxa"/>
              <w:end w:w="100" w:type="dxa"/>
            </w:tcMar>
            <w:vAlign w:val="center"/>
          </w:tcPr>
          <w:p>
            <w:pPr>
              <w:spacing w:after="20" w:line="250" w:lineRule="auto"/>
            </w:pPr>
            <w:r>
              <w:rPr>
                <w:rFonts w:ascii="Aptos" w:hAnsi="Aptos" w:eastAsia="Aptos"/>
                <w:color w:val="202A33"/>
                <w:sz w:val="19"/>
              </w:rPr>
              <w:t>e3a8f95a6da8af5f21848f23a2c0d3edc9420aab03c0617863cb8cc24cba9141</w:t>
            </w:r>
          </w:p>
        </w:tc>
      </w:tr>
      <w:tr>
        <w:trPr>
          <w:cantSplit/>
        </w:trPr>
        <w:tc>
          <w:tcPr>
            <w:tcW w:type="dxa" w:w="216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financial</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370</w:t>
            </w:r>
          </w:p>
        </w:tc>
        <w:tc>
          <w:tcPr>
            <w:tcW w:type="dxa" w:w="100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2</w:t>
            </w:r>
          </w:p>
        </w:tc>
        <w:tc>
          <w:tcPr>
            <w:tcW w:type="dxa" w:w="62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8d25e0250f71cabdc482c5ebe6267f370b7124b018c120fec90aeff7462f3e38</w:t>
            </w:r>
          </w:p>
        </w:tc>
      </w:tr>
      <w:tr>
        <w:trPr>
          <w:cantSplit/>
        </w:trPr>
        <w:tc>
          <w:tcPr>
            <w:tcW w:type="dxa" w:w="2160"/>
            <w:tcMar>
              <w:top w:w="100" w:type="dxa"/>
              <w:start w:w="100" w:type="dxa"/>
              <w:bottom w:w="100" w:type="dxa"/>
              <w:end w:w="100" w:type="dxa"/>
            </w:tcMar>
            <w:vAlign w:val="center"/>
          </w:tcPr>
          <w:p>
            <w:pPr>
              <w:spacing w:after="20" w:line="250" w:lineRule="auto"/>
            </w:pPr>
            <w:r>
              <w:rPr>
                <w:rFonts w:ascii="Aptos" w:hAnsi="Aptos" w:eastAsia="Aptos"/>
                <w:color w:val="202A33"/>
                <w:sz w:val="19"/>
              </w:rPr>
              <w:t>evidence_policy</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371</w:t>
            </w:r>
          </w:p>
        </w:tc>
        <w:tc>
          <w:tcPr>
            <w:tcW w:type="dxa" w:w="1008"/>
            <w:tcMar>
              <w:top w:w="100" w:type="dxa"/>
              <w:start w:w="100" w:type="dxa"/>
              <w:bottom w:w="100" w:type="dxa"/>
              <w:end w:w="100" w:type="dxa"/>
            </w:tcMar>
            <w:vAlign w:val="center"/>
          </w:tcPr>
          <w:p>
            <w:pPr>
              <w:spacing w:after="20" w:line="250" w:lineRule="auto"/>
            </w:pPr>
            <w:r>
              <w:rPr>
                <w:rFonts w:ascii="Aptos" w:hAnsi="Aptos" w:eastAsia="Aptos"/>
                <w:color w:val="202A33"/>
                <w:sz w:val="19"/>
              </w:rPr>
              <w:t>1</w:t>
            </w:r>
          </w:p>
        </w:tc>
        <w:tc>
          <w:tcPr>
            <w:tcW w:type="dxa" w:w="6278"/>
            <w:tcMar>
              <w:top w:w="100" w:type="dxa"/>
              <w:start w:w="100" w:type="dxa"/>
              <w:bottom w:w="100" w:type="dxa"/>
              <w:end w:w="100" w:type="dxa"/>
            </w:tcMar>
            <w:vAlign w:val="center"/>
          </w:tcPr>
          <w:p>
            <w:pPr>
              <w:spacing w:after="20" w:line="250" w:lineRule="auto"/>
            </w:pPr>
            <w:r>
              <w:rPr>
                <w:rFonts w:ascii="Aptos" w:hAnsi="Aptos" w:eastAsia="Aptos"/>
                <w:color w:val="202A33"/>
                <w:sz w:val="19"/>
              </w:rPr>
              <w:t>fc5178ad65a1b3f8d74ef2fa564932914c1950ed37dda6ef24a43414dcc689ff</w:t>
            </w:r>
          </w:p>
        </w:tc>
      </w:tr>
      <w:tr>
        <w:trPr>
          <w:cantSplit/>
        </w:trPr>
        <w:tc>
          <w:tcPr>
            <w:tcW w:type="dxa" w:w="216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ffa_profile</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373</w:t>
            </w:r>
          </w:p>
        </w:tc>
        <w:tc>
          <w:tcPr>
            <w:tcW w:type="dxa" w:w="100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w:t>
            </w:r>
          </w:p>
        </w:tc>
        <w:tc>
          <w:tcPr>
            <w:tcW w:type="dxa" w:w="62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0e580e374ceb4f17a795bcd6ffddab6a61001a8d11f08b4b54f18c6eccc96acd</w:t>
            </w:r>
          </w:p>
        </w:tc>
      </w:tr>
      <w:tr>
        <w:trPr>
          <w:cantSplit/>
        </w:trPr>
        <w:tc>
          <w:tcPr>
            <w:tcW w:type="dxa" w:w="2160"/>
            <w:tcMar>
              <w:top w:w="100" w:type="dxa"/>
              <w:start w:w="100" w:type="dxa"/>
              <w:bottom w:w="100" w:type="dxa"/>
              <w:end w:w="100" w:type="dxa"/>
            </w:tcMar>
            <w:vAlign w:val="center"/>
          </w:tcPr>
          <w:p>
            <w:pPr>
              <w:spacing w:after="20" w:line="250" w:lineRule="auto"/>
            </w:pPr>
            <w:r>
              <w:rPr>
                <w:rFonts w:ascii="Aptos" w:hAnsi="Aptos" w:eastAsia="Aptos"/>
                <w:color w:val="202A33"/>
                <w:sz w:val="19"/>
              </w:rPr>
              <w:t>decision_authority</w:t>
            </w:r>
          </w:p>
        </w:tc>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375</w:t>
            </w:r>
          </w:p>
        </w:tc>
        <w:tc>
          <w:tcPr>
            <w:tcW w:type="dxa" w:w="1008"/>
            <w:tcMar>
              <w:top w:w="100" w:type="dxa"/>
              <w:start w:w="100" w:type="dxa"/>
              <w:bottom w:w="100" w:type="dxa"/>
              <w:end w:w="100" w:type="dxa"/>
            </w:tcMar>
            <w:vAlign w:val="center"/>
          </w:tcPr>
          <w:p>
            <w:pPr>
              <w:spacing w:after="20" w:line="250" w:lineRule="auto"/>
            </w:pPr>
            <w:r>
              <w:rPr>
                <w:rFonts w:ascii="Aptos" w:hAnsi="Aptos" w:eastAsia="Aptos"/>
                <w:color w:val="202A33"/>
                <w:sz w:val="19"/>
              </w:rPr>
              <w:t>2</w:t>
            </w:r>
          </w:p>
        </w:tc>
        <w:tc>
          <w:tcPr>
            <w:tcW w:type="dxa" w:w="6278"/>
            <w:tcMar>
              <w:top w:w="100" w:type="dxa"/>
              <w:start w:w="100" w:type="dxa"/>
              <w:bottom w:w="100" w:type="dxa"/>
              <w:end w:w="100" w:type="dxa"/>
            </w:tcMar>
            <w:vAlign w:val="center"/>
          </w:tcPr>
          <w:p>
            <w:pPr>
              <w:spacing w:after="20" w:line="250" w:lineRule="auto"/>
            </w:pPr>
            <w:r>
              <w:rPr>
                <w:rFonts w:ascii="Aptos" w:hAnsi="Aptos" w:eastAsia="Aptos"/>
                <w:color w:val="202A33"/>
                <w:sz w:val="19"/>
              </w:rPr>
              <w:t>7d332376a4eee70988b1420c7dd8b1afb02f2929a40b42f650e90d4d80ae0cfe</w:t>
            </w:r>
          </w:p>
        </w:tc>
      </w:tr>
      <w:tr>
        <w:trPr>
          <w:cantSplit/>
        </w:trPr>
        <w:tc>
          <w:tcPr>
            <w:tcW w:type="dxa" w:w="216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post_fid</w:t>
            </w:r>
          </w:p>
        </w:tc>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377</w:t>
            </w:r>
          </w:p>
        </w:tc>
        <w:tc>
          <w:tcPr>
            <w:tcW w:type="dxa" w:w="100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2</w:t>
            </w:r>
          </w:p>
        </w:tc>
        <w:tc>
          <w:tcPr>
            <w:tcW w:type="dxa" w:w="62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a174e5f3363091d1afa2de0b935cbc15d0367c89459f37b72175f4e52230ccf2</w:t>
            </w:r>
          </w:p>
        </w:tc>
      </w:tr>
    </w:tbl>
    <w:p>
      <w:pPr>
        <w:spacing w:after="20"/>
      </w:pPr>
    </w:p>
    <w:p>
      <w:pPr>
        <w:pStyle w:val="Heading1"/>
      </w:pPr>
      <w:r>
        <w:t>9 Matriz de ejecución A0 a A31</w:t>
      </w:r>
    </w:p>
    <w:p>
      <w:r>
        <w:t>La matriz distingue el caso UAT compuesto de una etapa técnica parcial. Un caso sin evidencia suficiente de todos sus controles permanece BLOCKED. Los resultados anteriores se conservan en la trazabilidad y no se reemplazan silenciosamente.</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720"/>
        <w:gridCol w:w="3312"/>
        <w:gridCol w:w="6134"/>
      </w:tblGrid>
      <w:tr>
        <w:trPr>
          <w:tblHeader w:val="true"/>
        </w:trPr>
        <w:tc>
          <w:tcPr>
            <w:tcW w:type="dxa" w:w="720"/>
            <w:shd w:fill="17324D"/>
            <w:tcMar>
              <w:top w:w="100" w:type="dxa"/>
              <w:start w:w="100" w:type="dxa"/>
              <w:bottom w:w="100" w:type="dxa"/>
              <w:end w:w="100" w:type="dxa"/>
            </w:tcMar>
            <w:vAlign w:val="center"/>
          </w:tcPr>
          <w:p>
            <w:pPr>
              <w:keepNext/>
              <w:jc w:val="left"/>
            </w:pPr>
            <w:r>
              <w:rPr>
                <w:rFonts w:ascii="Aptos" w:hAnsi="Aptos" w:eastAsia="Aptos"/>
                <w:b/>
                <w:color w:val="FFFFFF"/>
                <w:sz w:val="19"/>
              </w:rPr>
              <w:t>Caso</w:t>
            </w:r>
          </w:p>
        </w:tc>
        <w:tc>
          <w:tcPr>
            <w:tcW w:type="dxa" w:w="3312"/>
            <w:shd w:fill="17324D"/>
            <w:tcMar>
              <w:top w:w="100" w:type="dxa"/>
              <w:start w:w="100" w:type="dxa"/>
              <w:bottom w:w="100" w:type="dxa"/>
              <w:end w:w="100" w:type="dxa"/>
            </w:tcMar>
            <w:vAlign w:val="center"/>
          </w:tcPr>
          <w:p>
            <w:pPr>
              <w:keepNext/>
              <w:jc w:val="left"/>
            </w:pPr>
            <w:r>
              <w:rPr>
                <w:rFonts w:ascii="Aptos" w:hAnsi="Aptos" w:eastAsia="Aptos"/>
                <w:b/>
                <w:color w:val="FFFFFF"/>
                <w:sz w:val="19"/>
              </w:rPr>
              <w:t>Proceso</w:t>
            </w:r>
          </w:p>
        </w:tc>
        <w:tc>
          <w:tcPr>
            <w:tcW w:type="dxa" w:w="6134"/>
            <w:shd w:fill="17324D"/>
            <w:tcMar>
              <w:top w:w="100" w:type="dxa"/>
              <w:start w:w="100" w:type="dxa"/>
              <w:bottom w:w="100" w:type="dxa"/>
              <w:end w:w="100" w:type="dxa"/>
            </w:tcMar>
            <w:vAlign w:val="center"/>
          </w:tcPr>
          <w:p>
            <w:pPr>
              <w:keepNext/>
              <w:jc w:val="left"/>
            </w:pPr>
            <w:r>
              <w:rPr>
                <w:rFonts w:ascii="Aptos" w:hAnsi="Aptos" w:eastAsia="Aptos"/>
                <w:b/>
                <w:color w:val="FFFFFF"/>
                <w:sz w:val="19"/>
              </w:rPr>
              <w:t>Estado y alcance actual</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A0</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ADMIN reusable preparation</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Configuraciones y asignaciones reales registradas; el inventario efectivo y todos los negativos ADMIN/USER del caso formal no se acreditan solo por publicar sucesores</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A1</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Enterprise structure and Workspace context</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Jerarquía nueva y Project canónico materializados con Record Codes. La visita de Explorer se registra aparte y no sustituye todos los controles de identidad y ámbito</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A2</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Strategic capital demand, cycles, buckets and allocation</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Ciclo, Demand y Allocation recorridos y utilizados para originar la Idea de esta misma cadena; la auditoría compuesta completa sigue pendiente</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A3</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Idea, evaluation and governed Business Analysis</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Idea aceptada y BA completado por revisor independiente mediante comandos HTTP reales; una pantalla abierta no equivale a ejecutar allí todo el lifecycle</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A4</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Project Proposal</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Proposal evaluada y handoff al Strategic Gate ejecutado en esta cadena; no se trasladan hallazgos o aprobaciones de otro tenant a este caso formal</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A5</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Strategic Gate</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Strategic Gate APPROVE por autoridad independiente ejecutado; no equivale a FID, financiación ni activación</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A6</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Project Workspace creation and initialization timing</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Solicitud revisada, aprobada y materializada como Project pending. Replay, elegibilidad e inicialización del caso compuesto requieren su propia evidencia</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A7</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Portfolio Intake and membership</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Intake y membership principal ACTIVE de la misma identidad. No se infieren todas las variaciones de membresía ni cambios de padre</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A8</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Evaluation and Prioritization</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Etapa técnica completada: evaluación inmutable, historia real y rank contextual de la misma inversión. El caso formal compuesto continúa BLOCKED</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A9</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Portfolio Analysis / Investor Map / Scorecard</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Etapa técnica completada: análisis, moneda y cobertura comprobados, Investor Map, Scorecard y distribuciones consultados. No implica validación visual integral</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A10</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Budget Planning and scenarios</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Budget Target publicado y escenario Budget FROZEN mediante comandos normales; no constituye inversión aprobada</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A11</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Resource Planning and scenarios</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Capacity y Demand publicados y escenario Resource FROZEN en esta cadena; la identidad y fechas fuente del Project se conservaron</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A12</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Scenario Convergence and Recommendation</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Budget y Resource actuales convergieron en alternativa RECOMMENDED y READY_FOR_INVESTMENT_GATE_PREPARATION; todavía no es FID</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A13</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Periodic Portfolio Review / actions</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Review real COMPLETED con snapshot histórico congelado, conclusión y acción por actores independientes; Project y membership preservados. No es decisión de inversión</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A14</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Five Case Business Case</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Revisión Five Case FFA final completada por revisor independiente y providers actuales comprobados; falta acreditación completa del caso formal y del E2E browser</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A15</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Strategic Benefits</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Benefits completado y provider source_current comprobado tras el enlace inverso final del Business Case; no se acredita todo el caso compuesto automáticamente</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A16</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Commercial &amp; Contracting Strategy</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Commercial completado y provider source_current comprobado tras el Business Case final; no se infiere aprobación de inversión</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A17</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FEL and Definition Maturity / PDRI-compatible assessment</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Las etapas FEL 1, FEL 2 y FEL 3 recorrieron assessment y revisión independiente antes de las fuentes finales. El Business Case final completado consume la definición vigente; no equivale a aprobación FID</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A18</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Basic Data Readiness</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Basic Data completó su lifecycle con validación y revisión independientes; el caso formal completo no se infiere solo de su provider</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A19</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Risk Governance effective context</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BLOCKED NOT EXECUTED como caso UAT completo en esta revisión</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A20</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Risk Readiness</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Risk Assessment completado en la misma cadena por actores reales. No sustituye la auditoría completa de Risk Governance ni una cuantificación QRA</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A21</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Permit Readiness</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Permit completó su lifecycle y assessment mediante comandos normales y política efectiva; no se escribió un provider terminal prefabricado</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A22</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Owner Capability Readiness</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Owner Capability completó preparación, revisión y completion reales; el caso formal y sus negativos permanecen sin acreditación integral</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A23</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Funding</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Funds y asignaciones recorrieron autorización y confirmación con actores independientes; no equivalen a FID ni a ejecución del Project</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A24</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Economic / Financial Model</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Modelo económico financiero y versión completados con fuentes reales. Sus resultados no sustituyen Five Case final, Gate ni decisión de inversión</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A25</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QRA Foundation</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Preview de política efectiva capturado. La exigencia contextual QRA debe leerse de ese resultado; no se infiere una corrida ni se fabrica evidencia cuando no corresponde</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A26</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Contextual QRA Results</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Preview de política efectiva capturado. La exigencia contextual QRA debe leerse de ese resultado; no se infiere una corrida ni se fabrica evidencia cuando no corresponde</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A27</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Gate Preparation / Evidence / Decision Criteria</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Gate creado como DRAFT con fuentes actuales. La política exige cuatro referencias Class B todavía sin presentación y validación independiente; readiness BLOCKED. No es defecto por provider STALE</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A28</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Business Case ↔ Gate source consistency</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Business Case, FIN, Benefits y Commercial actuales antes del Gate; falta la cobertura de evidencias controladas y la auditoría completa de compatibilidad y negativos</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A29</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Freeze Gate package</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Freeze no ejecutado: el paquete sigue DRAFT/BLOCKED bajo su política sin rebajar requisitos. No existe handoff frozen nuevo</w:t>
            </w:r>
          </w:p>
        </w:tc>
      </w:tr>
      <w:tr>
        <w:trPr>
          <w:cantSplit/>
        </w:trPr>
        <w:tc>
          <w:tcPr>
            <w:tcW w:type="dxa" w:w="720"/>
            <w:tcMar>
              <w:top w:w="100" w:type="dxa"/>
              <w:start w:w="100" w:type="dxa"/>
              <w:bottom w:w="100" w:type="dxa"/>
              <w:end w:w="100" w:type="dxa"/>
            </w:tcMar>
            <w:vAlign w:val="center"/>
          </w:tcPr>
          <w:p>
            <w:pPr>
              <w:spacing w:after="20" w:line="250" w:lineRule="auto"/>
            </w:pPr>
            <w:r>
              <w:rPr>
                <w:rFonts w:ascii="Aptos" w:hAnsi="Aptos" w:eastAsia="Aptos"/>
                <w:color w:val="202A33"/>
                <w:sz w:val="19"/>
              </w:rPr>
              <w:t>A30</w:t>
            </w:r>
          </w:p>
        </w:tc>
        <w:tc>
          <w:tcPr>
            <w:tcW w:type="dxa" w:w="3312"/>
            <w:tcMar>
              <w:top w:w="100" w:type="dxa"/>
              <w:start w:w="100" w:type="dxa"/>
              <w:bottom w:w="100" w:type="dxa"/>
              <w:end w:w="100" w:type="dxa"/>
            </w:tcMar>
            <w:vAlign w:val="center"/>
          </w:tcPr>
          <w:p>
            <w:pPr>
              <w:spacing w:after="20" w:line="250" w:lineRule="auto"/>
            </w:pPr>
            <w:r>
              <w:rPr>
                <w:rFonts w:ascii="Aptos" w:hAnsi="Aptos" w:eastAsia="Aptos"/>
                <w:color w:val="202A33"/>
                <w:sz w:val="19"/>
              </w:rPr>
              <w:t>Investment Decision / FID</w:t>
            </w:r>
          </w:p>
        </w:tc>
        <w:tc>
          <w:tcPr>
            <w:tcW w:type="dxa" w:w="613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br/>
              <w:t>BLOCKED NOT EXECUTED como caso UAT completo en esta revisión</w:t>
            </w:r>
          </w:p>
        </w:tc>
      </w:tr>
      <w:tr>
        <w:trPr>
          <w:cantSplit/>
        </w:trPr>
        <w:tc>
          <w:tcPr>
            <w:tcW w:type="dxa" w:w="72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A31</w:t>
            </w:r>
          </w:p>
        </w:tc>
        <w:tc>
          <w:tcPr>
            <w:tcW w:type="dxa" w:w="331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Post-FID Governance and operational boundary</w:t>
            </w:r>
          </w:p>
        </w:tc>
        <w:tc>
          <w:tcPr>
            <w:tcW w:type="dxa" w:w="613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br/>
              <w:t>BLOCKED NOT EXECUTED como caso UAT completo en esta revisión</w:t>
            </w:r>
          </w:p>
        </w:tc>
      </w:tr>
    </w:tbl>
    <w:p>
      <w:pPr>
        <w:spacing w:after="20"/>
      </w:pPr>
    </w:p>
    <w:p>
      <w:pPr>
        <w:pStyle w:val="Heading1"/>
      </w:pPr>
      <w:r>
        <w:t>10 Preparación de fuentes Five Case</w:t>
      </w:r>
    </w:p>
    <w:p>
      <w:r>
        <w:t>La secuencia parte de un Business Case preliminar completado mientras el Project está realmente en FEL 1. La progresión FEL requiere assessment y revisión independiente de cada etapa, incluida FEL 3, antes de capturar las fuentes finales. Assessment READY por sí solo no sustituye complete stage. FIN consume el Business Case preliminar; Commercial y Benefits deben completar sus lifecycles con entradas estabilizadas. La revisión FFA debe consumir IDs, versiones y hashes reales de las fuentes exigidas. Una revisión DRAFT abierta no se elimina ni sustituye para ocultar un snapshot bloqueado; un nuevo escenario mantiene su propia historia.</w:t>
      </w:r>
    </w:p>
    <w:p>
      <w:pPr>
        <w:pStyle w:val="Heading1"/>
      </w:pPr>
      <w:r>
        <w:t>11 Evidencia de readiness del Business Case</w:t>
      </w:r>
    </w:p>
    <w:p>
      <w:r>
        <w:t>Solo la ejecución satisfactoria de readiness, revisión independiente y complete puede acreditar el Business Case. No se escribe READY, COMPLETED ni el hash esperado directamente en la base. El registro de etapas contiene la revisión preliminar y, si se alcanzó, la revisión Five Case final; una no equivale a la otra.</w:t>
      </w:r>
    </w:p>
    <w:p>
      <w:pPr>
        <w:pStyle w:val="Heading1"/>
      </w:pPr>
      <w:r>
        <w:t>12 Evidencia de Gate07J</w:t>
      </w:r>
    </w:p>
    <w:p>
      <w:r>
        <w:t>Se resuelve la política efectiva PYP FFA y se registra su preview antes de crear el paquete. Una evidencia Class A faltante u obsoleta bloquea el paquete. No se sustituye por evidencia manual ni se fuerza READY. El estado del paquete y su freeze solo se acreditan si el comando correspondiente quedó ejecutado y registrado.</w:t>
      </w:r>
    </w:p>
    <w:p>
      <w:r>
        <w:t>Gate 1 conserva DRAFT / BLOCKED y source_current=true. Política 371, revisión 1; perfil PYP-FFA 373, revisión 1. Contexto CAPITAL / CAPITAL_OWNER. Hay 11 de 19 requisitos válidos, cuatro faltantes bloqueantes y cuatro no bloqueantes; cobertura del Project 0 por ciento.</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600"/>
        <w:gridCol w:w="864"/>
        <w:gridCol w:w="5702"/>
      </w:tblGrid>
      <w:tr>
        <w:trPr>
          <w:tblHeader w:val="true"/>
        </w:trPr>
        <w:tc>
          <w:tcPr>
            <w:tcW w:type="dxa" w:w="3600"/>
            <w:shd w:fill="17324D"/>
            <w:tcMar>
              <w:top w:w="100" w:type="dxa"/>
              <w:start w:w="100" w:type="dxa"/>
              <w:bottom w:w="100" w:type="dxa"/>
              <w:end w:w="100" w:type="dxa"/>
            </w:tcMar>
            <w:vAlign w:val="center"/>
          </w:tcPr>
          <w:p>
            <w:pPr>
              <w:keepNext/>
              <w:jc w:val="left"/>
            </w:pPr>
            <w:r>
              <w:rPr>
                <w:rFonts w:ascii="Aptos" w:hAnsi="Aptos" w:eastAsia="Aptos"/>
                <w:b/>
                <w:color w:val="FFFFFF"/>
                <w:sz w:val="19"/>
              </w:rPr>
              <w:t>Referencia controlada pendiente</w:t>
            </w:r>
          </w:p>
        </w:tc>
        <w:tc>
          <w:tcPr>
            <w:tcW w:type="dxa" w:w="864"/>
            <w:shd w:fill="17324D"/>
            <w:tcMar>
              <w:top w:w="100" w:type="dxa"/>
              <w:start w:w="100" w:type="dxa"/>
              <w:bottom w:w="100" w:type="dxa"/>
              <w:end w:w="100" w:type="dxa"/>
            </w:tcMar>
            <w:vAlign w:val="center"/>
          </w:tcPr>
          <w:p>
            <w:pPr>
              <w:keepNext/>
              <w:jc w:val="left"/>
            </w:pPr>
            <w:r>
              <w:rPr>
                <w:rFonts w:ascii="Aptos" w:hAnsi="Aptos" w:eastAsia="Aptos"/>
                <w:b/>
                <w:color w:val="FFFFFF"/>
                <w:sz w:val="19"/>
              </w:rPr>
              <w:t>Clase</w:t>
            </w:r>
          </w:p>
        </w:tc>
        <w:tc>
          <w:tcPr>
            <w:tcW w:type="dxa" w:w="5702"/>
            <w:shd w:fill="17324D"/>
            <w:tcMar>
              <w:top w:w="100" w:type="dxa"/>
              <w:start w:w="100" w:type="dxa"/>
              <w:bottom w:w="100" w:type="dxa"/>
              <w:end w:w="100" w:type="dxa"/>
            </w:tcMar>
            <w:vAlign w:val="center"/>
          </w:tcPr>
          <w:p>
            <w:pPr>
              <w:keepNext/>
              <w:jc w:val="left"/>
            </w:pPr>
            <w:r>
              <w:rPr>
                <w:rFonts w:ascii="Aptos" w:hAnsi="Aptos" w:eastAsia="Aptos"/>
                <w:b/>
                <w:color w:val="FFFFFF"/>
                <w:sz w:val="19"/>
              </w:rPr>
              <w:t>Regla efectiva</w:t>
            </w:r>
          </w:p>
        </w:tc>
      </w:tr>
      <w:tr>
        <w:trPr>
          <w:cantSplit/>
        </w:trPr>
        <w:tc>
          <w:tcPr>
            <w:tcW w:type="dxa" w:w="3600"/>
            <w:tcMar>
              <w:top w:w="100" w:type="dxa"/>
              <w:start w:w="100" w:type="dxa"/>
              <w:bottom w:w="100" w:type="dxa"/>
              <w:end w:w="100" w:type="dxa"/>
            </w:tcMar>
            <w:vAlign w:val="center"/>
          </w:tcPr>
          <w:p>
            <w:pPr>
              <w:spacing w:after="20" w:line="250" w:lineRule="auto"/>
            </w:pPr>
            <w:r>
              <w:rPr>
                <w:rFonts w:ascii="Aptos" w:hAnsi="Aptos" w:eastAsia="Aptos"/>
                <w:color w:val="202A33"/>
                <w:sz w:val="19"/>
              </w:rPr>
              <w:t>Permisos</w:t>
            </w:r>
          </w:p>
        </w:tc>
        <w:tc>
          <w:tcPr>
            <w:tcW w:type="dxa" w:w="864"/>
            <w:tcMar>
              <w:top w:w="100" w:type="dxa"/>
              <w:start w:w="100" w:type="dxa"/>
              <w:bottom w:w="100" w:type="dxa"/>
              <w:end w:w="100" w:type="dxa"/>
            </w:tcMar>
            <w:vAlign w:val="center"/>
          </w:tcPr>
          <w:p>
            <w:pPr>
              <w:spacing w:after="20" w:line="250" w:lineRule="auto"/>
            </w:pPr>
            <w:r>
              <w:rPr>
                <w:rFonts w:ascii="Aptos" w:hAnsi="Aptos" w:eastAsia="Aptos"/>
                <w:color w:val="202A33"/>
                <w:sz w:val="19"/>
              </w:rPr>
              <w:t>B</w:t>
            </w:r>
          </w:p>
        </w:tc>
        <w:tc>
          <w:tcPr>
            <w:tcW w:type="dxa" w:w="5702"/>
            <w:tcMar>
              <w:top w:w="100" w:type="dxa"/>
              <w:start w:w="100" w:type="dxa"/>
              <w:bottom w:w="100" w:type="dxa"/>
              <w:end w:w="100" w:type="dxa"/>
            </w:tcMar>
            <w:vAlign w:val="center"/>
          </w:tcPr>
          <w:p>
            <w:pPr>
              <w:spacing w:after="20" w:line="250" w:lineRule="auto"/>
            </w:pPr>
            <w:r>
              <w:rPr>
                <w:rFonts w:ascii="Aptos" w:hAnsi="Aptos" w:eastAsia="Aptos"/>
                <w:color w:val="202A33"/>
                <w:sz w:val="19"/>
              </w:rPr>
              <w:t>Validación independiente; vigencia 180 días; EACH_PROJECT; cobertura 100 por ciento</w:t>
            </w:r>
          </w:p>
        </w:tc>
      </w:tr>
      <w:tr>
        <w:trPr>
          <w:cantSplit/>
        </w:trPr>
        <w:tc>
          <w:tcPr>
            <w:tcW w:type="dxa" w:w="36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Contratación</w:t>
            </w:r>
          </w:p>
        </w:tc>
        <w:tc>
          <w:tcPr>
            <w:tcW w:type="dxa" w:w="86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w:t>
            </w:r>
          </w:p>
        </w:tc>
        <w:tc>
          <w:tcPr>
            <w:tcW w:type="dxa" w:w="570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Validación independiente; vigencia 365 días; EACH_PROJECT; cobertura 100 por ciento</w:t>
            </w:r>
          </w:p>
        </w:tc>
      </w:tr>
      <w:tr>
        <w:trPr>
          <w:cantSplit/>
        </w:trPr>
        <w:tc>
          <w:tcPr>
            <w:tcW w:type="dxa" w:w="3600"/>
            <w:tcMar>
              <w:top w:w="100" w:type="dxa"/>
              <w:start w:w="100" w:type="dxa"/>
              <w:bottom w:w="100" w:type="dxa"/>
              <w:end w:w="100" w:type="dxa"/>
            </w:tcMar>
            <w:vAlign w:val="center"/>
          </w:tcPr>
          <w:p>
            <w:pPr>
              <w:spacing w:after="20" w:line="250" w:lineRule="auto"/>
            </w:pPr>
            <w:r>
              <w:rPr>
                <w:rFonts w:ascii="Aptos" w:hAnsi="Aptos" w:eastAsia="Aptos"/>
                <w:color w:val="202A33"/>
                <w:sz w:val="19"/>
              </w:rPr>
              <w:t>Plan de ejecución</w:t>
            </w:r>
          </w:p>
        </w:tc>
        <w:tc>
          <w:tcPr>
            <w:tcW w:type="dxa" w:w="864"/>
            <w:tcMar>
              <w:top w:w="100" w:type="dxa"/>
              <w:start w:w="100" w:type="dxa"/>
              <w:bottom w:w="100" w:type="dxa"/>
              <w:end w:w="100" w:type="dxa"/>
            </w:tcMar>
            <w:vAlign w:val="center"/>
          </w:tcPr>
          <w:p>
            <w:pPr>
              <w:spacing w:after="20" w:line="250" w:lineRule="auto"/>
            </w:pPr>
            <w:r>
              <w:rPr>
                <w:rFonts w:ascii="Aptos" w:hAnsi="Aptos" w:eastAsia="Aptos"/>
                <w:color w:val="202A33"/>
                <w:sz w:val="19"/>
              </w:rPr>
              <w:t>B</w:t>
            </w:r>
          </w:p>
        </w:tc>
        <w:tc>
          <w:tcPr>
            <w:tcW w:type="dxa" w:w="5702"/>
            <w:tcMar>
              <w:top w:w="100" w:type="dxa"/>
              <w:start w:w="100" w:type="dxa"/>
              <w:bottom w:w="100" w:type="dxa"/>
              <w:end w:w="100" w:type="dxa"/>
            </w:tcMar>
            <w:vAlign w:val="center"/>
          </w:tcPr>
          <w:p>
            <w:pPr>
              <w:spacing w:after="20" w:line="250" w:lineRule="auto"/>
            </w:pPr>
            <w:r>
              <w:rPr>
                <w:rFonts w:ascii="Aptos" w:hAnsi="Aptos" w:eastAsia="Aptos"/>
                <w:color w:val="202A33"/>
                <w:sz w:val="19"/>
              </w:rPr>
              <w:t>Validación independiente; vigencia 365 días; EACH_PROJECT; cobertura 100 por ciento</w:t>
            </w:r>
          </w:p>
        </w:tc>
      </w:tr>
      <w:tr>
        <w:trPr>
          <w:cantSplit/>
        </w:trPr>
        <w:tc>
          <w:tcPr>
            <w:tcW w:type="dxa" w:w="36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Madurez del cronograma</w:t>
            </w:r>
          </w:p>
        </w:tc>
        <w:tc>
          <w:tcPr>
            <w:tcW w:type="dxa" w:w="86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w:t>
            </w:r>
          </w:p>
        </w:tc>
        <w:tc>
          <w:tcPr>
            <w:tcW w:type="dxa" w:w="570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Validación independiente; vigencia 180 días; EACH_PROJECT; cobertura 100 por ciento</w:t>
            </w:r>
          </w:p>
        </w:tc>
      </w:tr>
    </w:tbl>
    <w:p>
      <w:pPr>
        <w:spacing w:after="20"/>
      </w:pPr>
    </w:p>
    <w:p>
      <w:r>
        <w:t>Los cuatro requisitos tienen provider_key nulo y exigen referencias controladas presentadas y validadas. No son providers obsoletos: Commercial está actual; Permit tiene assessment READY y 3 de 3 permisos aprobados. El override Permit Class A solo aplica MINING, no CAPITAL. Los registros existentes no sustituyen automáticamente la validación de una referencia Class B. No se inventaron documentos de ejecución o cronograma ni se creó evidencia manual para forzar el paquete.</w:t>
      </w:r>
    </w:p>
    <w:p>
      <w:pPr>
        <w:pStyle w:val="Heading1"/>
      </w:pPr>
      <w:r>
        <w:t>13 Evidencia de Gate07K y FID</w:t>
      </w:r>
    </w:p>
    <w:p>
      <w:r>
        <w:t>El FID requiere paquete frozen, preparación, revisión, checklist y decisión GO por la autoridad independiente. Solo el resultado de esos comandos permite acreditar is_fid, full_funds_authorized e investment_authorized. Si A30 no se ejecutó, no existe prueba nueva de FID en este incremento.</w:t>
      </w:r>
    </w:p>
    <w:p>
      <w:pPr>
        <w:pStyle w:val="Heading1"/>
      </w:pPr>
      <w:r>
        <w:t>14 Evidencia de Post FID</w:t>
      </w:r>
    </w:p>
    <w:p>
      <w:r>
        <w:t>La evaluación Post FID debe referenciar exactamente la decisión nueva y conservar el Project pending. Elegibilidad para inicialización no es activación ni ejecución. Si el comando no se alcanzó, su resultado permanece bloqueado y no se reutiliza una fixture downstream previa.</w:t>
      </w:r>
    </w:p>
    <w:p>
      <w:pPr>
        <w:pStyle w:val="Heading1"/>
      </w:pPr>
      <w:r>
        <w:t>15 Disposición de UAT S2 003</w:t>
      </w:r>
    </w:p>
    <w:p>
      <w:r>
        <w:t>Permanece OPEN hasta que una sola cadena completa y la evidencia browser sobre esas mismas identidades satisfagan el criterio. El informe lee las etapas y el bloqueo del manifest seleccionado; no mezcla los intentos anteriores ni confunde un checkpoint técnico con el caso formal compuesto. Si comienza otro escenario realmente fresh, sus identidades y resultados reemplazan solo la selección actual, no su historia.</w:t>
      </w:r>
    </w:p>
    <w:p>
      <w:r>
        <w:t>Punto de detención A27 a A29. Gate 1 permanece DRAFT / BLOCKED con fuentes actuales. Bloqueadores literales: MISSING_CONTRACTING_READINESS, MISSING_EXECUTION_PLAN_READINESS, MISSING_PERMIT_READINESS, MISSING_REQUIRED_EVIDENCE, PROJECT_COVERAGE_INCOMPLETE. Son cuatro referencias controladas Class B sin presentación y validación independiente; su detalle se encuentra en la sección 12. La respuesta íntegra, sin truncar, se conserva en fresh-capital-owner-chain.json y gate-evidence-blocker.json. No se ejecutaron freeze, FID ni Post FID.</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7430"/>
        <w:gridCol w:w="2736"/>
      </w:tblGrid>
      <w:tr>
        <w:trPr>
          <w:tblHeader w:val="true"/>
        </w:trPr>
        <w:tc>
          <w:tcPr>
            <w:tcW w:type="dxa" w:w="7430"/>
            <w:shd w:fill="17324D"/>
            <w:tcMar>
              <w:top w:w="100" w:type="dxa"/>
              <w:start w:w="100" w:type="dxa"/>
              <w:bottom w:w="100" w:type="dxa"/>
              <w:end w:w="100" w:type="dxa"/>
            </w:tcMar>
            <w:vAlign w:val="center"/>
          </w:tcPr>
          <w:p>
            <w:pPr>
              <w:keepNext/>
              <w:jc w:val="left"/>
            </w:pPr>
            <w:r>
              <w:rPr>
                <w:rFonts w:ascii="Aptos" w:hAnsi="Aptos" w:eastAsia="Aptos"/>
                <w:b/>
                <w:color w:val="FFFFFF"/>
                <w:sz w:val="19"/>
              </w:rPr>
              <w:t>Etapa técnica del manifest seleccionado</w:t>
            </w:r>
          </w:p>
        </w:tc>
        <w:tc>
          <w:tcPr>
            <w:tcW w:type="dxa" w:w="2736"/>
            <w:shd w:fill="17324D"/>
            <w:tcMar>
              <w:top w:w="100" w:type="dxa"/>
              <w:start w:w="100" w:type="dxa"/>
              <w:bottom w:w="100" w:type="dxa"/>
              <w:end w:w="100" w:type="dxa"/>
            </w:tcMar>
            <w:vAlign w:val="center"/>
          </w:tcPr>
          <w:p>
            <w:pPr>
              <w:keepNext/>
              <w:jc w:val="left"/>
            </w:pPr>
            <w:r>
              <w:rPr>
                <w:rFonts w:ascii="Aptos" w:hAnsi="Aptos" w:eastAsia="Aptos"/>
                <w:b/>
                <w:color w:val="FFFFFF"/>
                <w:sz w:val="19"/>
              </w:rPr>
              <w:t>Resultado registrado</w:t>
            </w:r>
          </w:p>
        </w:tc>
      </w:tr>
      <w:tr>
        <w:trPr>
          <w:cantSplit/>
        </w:trPr>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FRESH_UPSTREAM</w:t>
            </w:r>
          </w:p>
        </w:tc>
        <w:tc>
          <w:tcPr>
            <w:tcW w:type="dxa" w:w="2736"/>
            <w:tcMar>
              <w:top w:w="100" w:type="dxa"/>
              <w:start w:w="100" w:type="dxa"/>
              <w:bottom w:w="100" w:type="dxa"/>
              <w:end w:w="100" w:type="dxa"/>
            </w:tcMar>
            <w:vAlign w:val="center"/>
          </w:tcPr>
          <w:p>
            <w:pPr>
              <w:spacing w:after="20" w:line="250" w:lineRule="auto"/>
            </w:pPr>
            <w:r>
              <w:rPr>
                <w:rFonts w:ascii="Aptos" w:hAnsi="Aptos" w:eastAsia="Aptos"/>
                <w:color w:val="202A33"/>
                <w:sz w:val="19"/>
              </w:rPr>
              <w:t>PASS</w:t>
            </w:r>
          </w:p>
        </w:tc>
      </w:tr>
      <w:tr>
        <w:trPr>
          <w:cantSplit/>
        </w:trPr>
        <w:tc>
          <w:tcPr>
            <w:tcW w:type="dxa" w:w="74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CURRENT_SOURCE_CONFIGURATION</w:t>
            </w:r>
          </w:p>
        </w:tc>
        <w:tc>
          <w:tcPr>
            <w:tcW w:type="dxa" w:w="273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PASS</w:t>
            </w:r>
          </w:p>
        </w:tc>
      </w:tr>
      <w:tr>
        <w:trPr>
          <w:cantSplit/>
        </w:trPr>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FEL1_PRELIMINARY_BUSINESS_CASE</w:t>
            </w:r>
          </w:p>
        </w:tc>
        <w:tc>
          <w:tcPr>
            <w:tcW w:type="dxa" w:w="2736"/>
            <w:tcMar>
              <w:top w:w="100" w:type="dxa"/>
              <w:start w:w="100" w:type="dxa"/>
              <w:bottom w:w="100" w:type="dxa"/>
              <w:end w:w="100" w:type="dxa"/>
            </w:tcMar>
            <w:vAlign w:val="center"/>
          </w:tcPr>
          <w:p>
            <w:pPr>
              <w:spacing w:after="20" w:line="250" w:lineRule="auto"/>
            </w:pPr>
            <w:r>
              <w:rPr>
                <w:rFonts w:ascii="Aptos" w:hAnsi="Aptos" w:eastAsia="Aptos"/>
                <w:color w:val="202A33"/>
                <w:sz w:val="19"/>
              </w:rPr>
              <w:t>PASS</w:t>
            </w:r>
          </w:p>
        </w:tc>
      </w:tr>
      <w:tr>
        <w:trPr>
          <w:cantSplit/>
        </w:trPr>
        <w:tc>
          <w:tcPr>
            <w:tcW w:type="dxa" w:w="74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A8_A12_PORTFOLIO_SOURCES</w:t>
            </w:r>
          </w:p>
        </w:tc>
        <w:tc>
          <w:tcPr>
            <w:tcW w:type="dxa" w:w="273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PASS</w:t>
            </w:r>
          </w:p>
        </w:tc>
      </w:tr>
      <w:tr>
        <w:trPr>
          <w:cantSplit/>
        </w:trPr>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A13_PERIODIC_PORTFOLIO_REVIEW</w:t>
            </w:r>
          </w:p>
        </w:tc>
        <w:tc>
          <w:tcPr>
            <w:tcW w:type="dxa" w:w="2736"/>
            <w:tcMar>
              <w:top w:w="100" w:type="dxa"/>
              <w:start w:w="100" w:type="dxa"/>
              <w:bottom w:w="100" w:type="dxa"/>
              <w:end w:w="100" w:type="dxa"/>
            </w:tcMar>
            <w:vAlign w:val="center"/>
          </w:tcPr>
          <w:p>
            <w:pPr>
              <w:spacing w:after="20" w:line="250" w:lineRule="auto"/>
            </w:pPr>
            <w:r>
              <w:rPr>
                <w:rFonts w:ascii="Aptos" w:hAnsi="Aptos" w:eastAsia="Aptos"/>
                <w:color w:val="202A33"/>
                <w:sz w:val="19"/>
              </w:rPr>
              <w:t>PASS</w:t>
            </w:r>
          </w:p>
        </w:tc>
      </w:tr>
      <w:tr>
        <w:trPr>
          <w:cantSplit/>
        </w:trPr>
        <w:tc>
          <w:tcPr>
            <w:tcW w:type="dxa" w:w="74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FEL1_TO_FEL3</w:t>
            </w:r>
          </w:p>
        </w:tc>
        <w:tc>
          <w:tcPr>
            <w:tcW w:type="dxa" w:w="273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PASS</w:t>
            </w:r>
          </w:p>
        </w:tc>
      </w:tr>
      <w:tr>
        <w:trPr>
          <w:cantSplit/>
        </w:trPr>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RISK_PERMIT_BASIC_DATA_OWNER</w:t>
            </w:r>
          </w:p>
        </w:tc>
        <w:tc>
          <w:tcPr>
            <w:tcW w:type="dxa" w:w="2736"/>
            <w:tcMar>
              <w:top w:w="100" w:type="dxa"/>
              <w:start w:w="100" w:type="dxa"/>
              <w:bottom w:w="100" w:type="dxa"/>
              <w:end w:w="100" w:type="dxa"/>
            </w:tcMar>
            <w:vAlign w:val="center"/>
          </w:tcPr>
          <w:p>
            <w:pPr>
              <w:spacing w:after="20" w:line="250" w:lineRule="auto"/>
            </w:pPr>
            <w:r>
              <w:rPr>
                <w:rFonts w:ascii="Aptos" w:hAnsi="Aptos" w:eastAsia="Aptos"/>
                <w:color w:val="202A33"/>
                <w:sz w:val="19"/>
              </w:rPr>
              <w:t>PASS</w:t>
            </w:r>
          </w:p>
        </w:tc>
      </w:tr>
      <w:tr>
        <w:trPr>
          <w:cantSplit/>
        </w:trPr>
        <w:tc>
          <w:tcPr>
            <w:tcW w:type="dxa" w:w="74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FUNDING_AND_FINANCIAL_MODEL</w:t>
            </w:r>
          </w:p>
        </w:tc>
        <w:tc>
          <w:tcPr>
            <w:tcW w:type="dxa" w:w="273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PASS</w:t>
            </w:r>
          </w:p>
        </w:tc>
      </w:tr>
      <w:tr>
        <w:trPr>
          <w:cantSplit/>
        </w:trPr>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COMMERCIAL_BENEFITS_FINAL_FIVE_CASE</w:t>
            </w:r>
          </w:p>
        </w:tc>
        <w:tc>
          <w:tcPr>
            <w:tcW w:type="dxa" w:w="2736"/>
            <w:tcMar>
              <w:top w:w="100" w:type="dxa"/>
              <w:start w:w="100" w:type="dxa"/>
              <w:bottom w:w="100" w:type="dxa"/>
              <w:end w:w="100" w:type="dxa"/>
            </w:tcMar>
            <w:vAlign w:val="center"/>
          </w:tcPr>
          <w:p>
            <w:pPr>
              <w:spacing w:after="20" w:line="250" w:lineRule="auto"/>
            </w:pPr>
            <w:r>
              <w:rPr>
                <w:rFonts w:ascii="Aptos" w:hAnsi="Aptos" w:eastAsia="Aptos"/>
                <w:color w:val="202A33"/>
                <w:sz w:val="19"/>
              </w:rPr>
              <w:t>PASS</w:t>
            </w:r>
          </w:p>
        </w:tc>
      </w:tr>
      <w:tr>
        <w:trPr>
          <w:cantSplit/>
        </w:trPr>
        <w:tc>
          <w:tcPr>
            <w:tcW w:type="dxa" w:w="743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CONTINUATION_VALIDATE_SAME_PROJECT_AND_SOURCES</w:t>
            </w:r>
          </w:p>
        </w:tc>
        <w:tc>
          <w:tcPr>
            <w:tcW w:type="dxa" w:w="273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PASS</w:t>
            </w:r>
          </w:p>
        </w:tc>
      </w:tr>
      <w:tr>
        <w:trPr>
          <w:cantSplit/>
        </w:trPr>
        <w:tc>
          <w:tcPr>
            <w:tcW w:type="dxa" w:w="7430"/>
            <w:tcMar>
              <w:top w:w="100" w:type="dxa"/>
              <w:start w:w="100" w:type="dxa"/>
              <w:bottom w:w="100" w:type="dxa"/>
              <w:end w:w="100" w:type="dxa"/>
            </w:tcMar>
            <w:vAlign w:val="center"/>
          </w:tcPr>
          <w:p>
            <w:pPr>
              <w:spacing w:after="20" w:line="250" w:lineRule="auto"/>
            </w:pPr>
            <w:r>
              <w:rPr>
                <w:rFonts w:ascii="Aptos" w:hAnsi="Aptos" w:eastAsia="Aptos"/>
                <w:color w:val="202A33"/>
                <w:sz w:val="19"/>
              </w:rPr>
              <w:t>EFFECTIVE_POLICY_PREVIEW</w:t>
            </w:r>
          </w:p>
        </w:tc>
        <w:tc>
          <w:tcPr>
            <w:tcW w:type="dxa" w:w="2736"/>
            <w:tcMar>
              <w:top w:w="100" w:type="dxa"/>
              <w:start w:w="100" w:type="dxa"/>
              <w:bottom w:w="100" w:type="dxa"/>
              <w:end w:w="100" w:type="dxa"/>
            </w:tcMar>
            <w:vAlign w:val="center"/>
          </w:tcPr>
          <w:p>
            <w:pPr>
              <w:spacing w:after="20" w:line="250" w:lineRule="auto"/>
            </w:pPr>
            <w:r>
              <w:rPr>
                <w:rFonts w:ascii="Aptos" w:hAnsi="Aptos" w:eastAsia="Aptos"/>
                <w:color w:val="202A33"/>
                <w:sz w:val="19"/>
              </w:rPr>
              <w:t>PASS</w:t>
            </w:r>
          </w:p>
        </w:tc>
      </w:tr>
    </w:tbl>
    <w:p>
      <w:pPr>
        <w:spacing w:after="20"/>
      </w:pPr>
    </w:p>
    <w:p>
      <w:pPr>
        <w:pStyle w:val="Heading1"/>
      </w:pPr>
      <w:r>
        <w:t>16 Disposición de UAT S3 002</w:t>
      </w:r>
    </w:p>
    <w:p>
      <w:r>
        <w:t>CLOSED ISOLATION SCOPED. La base SQLite implícita se separa por módulo con verificación de propiedad, ruta y sidecars antes de eliminar; no se reinician URLs PostgreSQL explícitas ni los pasos ordenados internos del módulo. El primer intento interrumpido sin JUnit se conserva y no se suma. La repetición única de 914 casos produjo 898 PASS, un FAIL legado, cero ERROR y 15 SKIP. Cinco fallos y tres errores anteriores por estado compartido ahora PASS en esa misma invocación. No se promete orden arbitrario de pruebas individuales ni se declara global verde.</w:t>
      </w:r>
    </w:p>
    <w:p>
      <w:pPr>
        <w:pStyle w:val="Heading1"/>
      </w:pPr>
      <w:r>
        <w:t>17 Disposición de UAT S3 003</w:t>
      </w:r>
    </w:p>
    <w:p>
      <w:r>
        <w:t>Disposición registrada: CLOSED_SCOPED_TECHNICAL; su evidencia es enfocada, no una aprobación global. GET parent reconciliation es diagnóstico de solo lectura y también exige permiso de lectura ADMIN y ámbito organizacional, con bootstrap desactivado; un lector acotado a Workspace no recibe el inventario organizacional. POST reconcile live parents exige permisos existentes de crear y editar revisión, ámbito organizacional, IDs exactos y ETag. La implementación aplica rechazos de tenant ajeno, padre inexistente, Project como padre, ancestros incompletos, identidades no relacionadas y claves reemplazadas concurrentemente antes de DML; los resultados reales se consultan en la suite enfocada. El clone ordinario conserva su rechazo preventivo.</w:t>
      </w:r>
    </w:p>
    <w:p>
      <w:r>
        <w:t>Se conserva por separado el intento de 104 casos: 103 PASS y un FAIL del positivo HTTP organizacional. El guard devolvió PROJECT_PARENT_RECONCILIATION_REQUIRED con los dos IDs reales requeridos [5,6], porque la fixture solo confirmó uno. Se corrigió la confirmación de ambos padres, no el control de ámbito ni la regla de reconciliación. La ejecución enfocada final tiene su propio current.xml; no se suman ni se oculta el intento fallido.</w:t>
      </w:r>
    </w:p>
    <w:p>
      <w:pPr>
        <w:pStyle w:val="Heading1"/>
      </w:pPr>
      <w:r>
        <w:t>18 Regresión ADMIN y USER</w:t>
      </w:r>
    </w:p>
    <w:p>
      <w:r>
        <w:t>Se conservan las guardas que impiden crear o activar Project mediante configuración genérica y CORE. La ruta canónica USER materializa pending. Con autorización expresa posterior del usuario, App.tsx recibió un ajuste mínimo de fallback USER para tenants sin Project operacional heredado: reutiliza StrategicWorkspaceShell, WorkspaceNavigation y StrategicViewOutlet, y mantiene canConfigure=false. No se afirma App inalterado, no se crea un Project ficticio ni un catálogo de navegación paralelo, y no se conceden capacidades ADMIN desde USER. La suite shell se registra separada de la regresión backend anterior al cambio.</w:t>
      </w:r>
    </w:p>
    <w:p>
      <w:r>
        <w:t>Shell enfocado: {"PASS": 29, "FAIL": 0, "ERROR": 0, "SKIP": 0}. SHA-256 actual de App.tsx: 31d42b406755cbc5f90a83da403adfa2bdb18adc8468076b19e79c7f6584c930. El hash identifica el cambio autorizado; no demuestra igualdad con el baseline.</w:t>
      </w:r>
    </w:p>
    <w:p>
      <w:pPr>
        <w:pStyle w:val="Heading1"/>
      </w:pPr>
      <w:r>
        <w:t>19 Preservación del Project operacional 14</w:t>
      </w:r>
    </w:p>
    <w:p>
      <w:r>
        <w:t>La comprobación operacional usa transacciones de solo lectura y el MD5 de to_jsonb de la fila completa. Se comparan la identidad, estado, versión, número de Workspaces, políticas publicadas y cabeza de Alembic antes y después. La ausencia de ID14 en la base temporal nunca se presenta como protección del ID14 operacional.</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4003"/>
        <w:gridCol w:w="4003"/>
      </w:tblGrid>
      <w:tr>
        <w:trPr>
          <w:tblHeader w:val="true"/>
        </w:trPr>
        <w:tc>
          <w:tcPr>
            <w:tcW w:type="dxa" w:w="2160"/>
            <w:shd w:fill="17324D"/>
            <w:tcMar>
              <w:top w:w="100" w:type="dxa"/>
              <w:start w:w="100" w:type="dxa"/>
              <w:bottom w:w="100" w:type="dxa"/>
              <w:end w:w="100" w:type="dxa"/>
            </w:tcMar>
            <w:vAlign w:val="center"/>
          </w:tcPr>
          <w:p>
            <w:pPr>
              <w:keepNext/>
              <w:jc w:val="left"/>
            </w:pPr>
            <w:r>
              <w:rPr>
                <w:rFonts w:ascii="Aptos" w:hAnsi="Aptos" w:eastAsia="Aptos"/>
                <w:b/>
                <w:color w:val="FFFFFF"/>
                <w:sz w:val="19"/>
              </w:rPr>
              <w:t>Control</w:t>
            </w:r>
          </w:p>
        </w:tc>
        <w:tc>
          <w:tcPr>
            <w:tcW w:type="dxa" w:w="4003"/>
            <w:shd w:fill="17324D"/>
            <w:tcMar>
              <w:top w:w="100" w:type="dxa"/>
              <w:start w:w="100" w:type="dxa"/>
              <w:bottom w:w="100" w:type="dxa"/>
              <w:end w:w="100" w:type="dxa"/>
            </w:tcMar>
            <w:vAlign w:val="center"/>
          </w:tcPr>
          <w:p>
            <w:pPr>
              <w:keepNext/>
              <w:jc w:val="left"/>
            </w:pPr>
            <w:r>
              <w:rPr>
                <w:rFonts w:ascii="Aptos" w:hAnsi="Aptos" w:eastAsia="Aptos"/>
                <w:b/>
                <w:color w:val="FFFFFF"/>
                <w:sz w:val="19"/>
              </w:rPr>
              <w:t>Antes</w:t>
            </w:r>
          </w:p>
        </w:tc>
        <w:tc>
          <w:tcPr>
            <w:tcW w:type="dxa" w:w="4003"/>
            <w:shd w:fill="17324D"/>
            <w:tcMar>
              <w:top w:w="100" w:type="dxa"/>
              <w:start w:w="100" w:type="dxa"/>
              <w:bottom w:w="100" w:type="dxa"/>
              <w:end w:w="100" w:type="dxa"/>
            </w:tcMar>
            <w:vAlign w:val="center"/>
          </w:tcPr>
          <w:p>
            <w:pPr>
              <w:keepNext/>
              <w:jc w:val="left"/>
            </w:pPr>
            <w:r>
              <w:rPr>
                <w:rFonts w:ascii="Aptos" w:hAnsi="Aptos" w:eastAsia="Aptos"/>
                <w:b/>
                <w:color w:val="FFFFFF"/>
                <w:sz w:val="19"/>
              </w:rPr>
              <w:t>Después</w:t>
            </w:r>
          </w:p>
        </w:tc>
      </w:tr>
      <w:tr>
        <w:trPr>
          <w:cantSplit/>
        </w:trPr>
        <w:tc>
          <w:tcPr>
            <w:tcW w:type="dxa" w:w="2160"/>
            <w:tcMar>
              <w:top w:w="100" w:type="dxa"/>
              <w:start w:w="100" w:type="dxa"/>
              <w:bottom w:w="100" w:type="dxa"/>
              <w:end w:w="100" w:type="dxa"/>
            </w:tcMar>
            <w:vAlign w:val="center"/>
          </w:tcPr>
          <w:p>
            <w:pPr>
              <w:spacing w:after="20" w:line="250" w:lineRule="auto"/>
            </w:pPr>
            <w:r>
              <w:rPr>
                <w:rFonts w:ascii="Aptos" w:hAnsi="Aptos" w:eastAsia="Aptos"/>
                <w:color w:val="202A33"/>
                <w:sz w:val="19"/>
              </w:rPr>
              <w:t>workspace_count</w:t>
            </w:r>
          </w:p>
        </w:tc>
        <w:tc>
          <w:tcPr>
            <w:tcW w:type="dxa" w:w="4003"/>
            <w:tcMar>
              <w:top w:w="100" w:type="dxa"/>
              <w:start w:w="100" w:type="dxa"/>
              <w:bottom w:w="100" w:type="dxa"/>
              <w:end w:w="100" w:type="dxa"/>
            </w:tcMar>
            <w:vAlign w:val="center"/>
          </w:tcPr>
          <w:p>
            <w:pPr>
              <w:spacing w:after="20" w:line="250" w:lineRule="auto"/>
            </w:pPr>
            <w:r>
              <w:rPr>
                <w:rFonts w:ascii="Aptos" w:hAnsi="Aptos" w:eastAsia="Aptos"/>
                <w:color w:val="202A33"/>
                <w:sz w:val="19"/>
              </w:rPr>
              <w:t>31</w:t>
            </w:r>
          </w:p>
        </w:tc>
        <w:tc>
          <w:tcPr>
            <w:tcW w:type="dxa" w:w="4003"/>
            <w:tcMar>
              <w:top w:w="100" w:type="dxa"/>
              <w:start w:w="100" w:type="dxa"/>
              <w:bottom w:w="100" w:type="dxa"/>
              <w:end w:w="100" w:type="dxa"/>
            </w:tcMar>
            <w:vAlign w:val="center"/>
          </w:tcPr>
          <w:p>
            <w:pPr>
              <w:spacing w:after="20" w:line="250" w:lineRule="auto"/>
            </w:pPr>
            <w:r>
              <w:rPr>
                <w:rFonts w:ascii="Aptos" w:hAnsi="Aptos" w:eastAsia="Aptos"/>
                <w:color w:val="202A33"/>
                <w:sz w:val="19"/>
              </w:rPr>
              <w:t>31</w:t>
            </w:r>
          </w:p>
        </w:tc>
      </w:tr>
      <w:tr>
        <w:trPr>
          <w:cantSplit/>
        </w:trPr>
        <w:tc>
          <w:tcPr>
            <w:tcW w:type="dxa" w:w="216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workspace14</w:t>
            </w:r>
          </w:p>
        </w:tc>
        <w:tc>
          <w:tcPr>
            <w:tcW w:type="dxa" w:w="4003"/>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id=14; code=PRJ-PPMIS; status=active; row_md5=ef67b78a4d4902d2dc6db3efb017b80b; version=1; external_key=PRJ-PYP-PPMIS</w:t>
            </w:r>
          </w:p>
        </w:tc>
        <w:tc>
          <w:tcPr>
            <w:tcW w:type="dxa" w:w="4003"/>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id=14; code=PRJ-PPMIS; status=active; row_md5=ef67b78a4d4902d2dc6db3efb017b80b; version=1; external_key=PRJ-PYP-PPMIS</w:t>
            </w:r>
          </w:p>
        </w:tc>
      </w:tr>
      <w:tr>
        <w:trPr>
          <w:cantSplit/>
        </w:trPr>
        <w:tc>
          <w:tcPr>
            <w:tcW w:type="dxa" w:w="2160"/>
            <w:tcMar>
              <w:top w:w="100" w:type="dxa"/>
              <w:start w:w="100" w:type="dxa"/>
              <w:bottom w:w="100" w:type="dxa"/>
              <w:end w:w="100" w:type="dxa"/>
            </w:tcMar>
            <w:vAlign w:val="center"/>
          </w:tcPr>
          <w:p>
            <w:pPr>
              <w:spacing w:after="20" w:line="250" w:lineRule="auto"/>
            </w:pPr>
            <w:r>
              <w:rPr>
                <w:rFonts w:ascii="Aptos" w:hAnsi="Aptos" w:eastAsia="Aptos"/>
                <w:color w:val="202A33"/>
                <w:sz w:val="19"/>
              </w:rPr>
              <w:t>published_count</w:t>
            </w:r>
          </w:p>
        </w:tc>
        <w:tc>
          <w:tcPr>
            <w:tcW w:type="dxa" w:w="4003"/>
            <w:tcMar>
              <w:top w:w="100" w:type="dxa"/>
              <w:start w:w="100" w:type="dxa"/>
              <w:bottom w:w="100" w:type="dxa"/>
              <w:end w:w="100" w:type="dxa"/>
            </w:tcMar>
            <w:vAlign w:val="center"/>
          </w:tcPr>
          <w:p>
            <w:pPr>
              <w:spacing w:after="20" w:line="250" w:lineRule="auto"/>
            </w:pPr>
            <w:r>
              <w:rPr>
                <w:rFonts w:ascii="Aptos" w:hAnsi="Aptos" w:eastAsia="Aptos"/>
                <w:color w:val="202A33"/>
                <w:sz w:val="19"/>
              </w:rPr>
              <w:t>95</w:t>
            </w:r>
          </w:p>
        </w:tc>
        <w:tc>
          <w:tcPr>
            <w:tcW w:type="dxa" w:w="4003"/>
            <w:tcMar>
              <w:top w:w="100" w:type="dxa"/>
              <w:start w:w="100" w:type="dxa"/>
              <w:bottom w:w="100" w:type="dxa"/>
              <w:end w:w="100" w:type="dxa"/>
            </w:tcMar>
            <w:vAlign w:val="center"/>
          </w:tcPr>
          <w:p>
            <w:pPr>
              <w:spacing w:after="20" w:line="250" w:lineRule="auto"/>
            </w:pPr>
            <w:r>
              <w:rPr>
                <w:rFonts w:ascii="Aptos" w:hAnsi="Aptos" w:eastAsia="Aptos"/>
                <w:color w:val="202A33"/>
                <w:sz w:val="19"/>
              </w:rPr>
              <w:t>95</w:t>
            </w:r>
          </w:p>
        </w:tc>
      </w:tr>
      <w:tr>
        <w:trPr>
          <w:cantSplit/>
        </w:trPr>
        <w:tc>
          <w:tcPr>
            <w:tcW w:type="dxa" w:w="216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qra_run_count</w:t>
            </w:r>
          </w:p>
        </w:tc>
        <w:tc>
          <w:tcPr>
            <w:tcW w:type="dxa" w:w="4003"/>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0</w:t>
            </w:r>
          </w:p>
        </w:tc>
        <w:tc>
          <w:tcPr>
            <w:tcW w:type="dxa" w:w="4003"/>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0</w:t>
            </w:r>
          </w:p>
        </w:tc>
      </w:tr>
      <w:tr>
        <w:trPr>
          <w:cantSplit/>
        </w:trPr>
        <w:tc>
          <w:tcPr>
            <w:tcW w:type="dxa" w:w="2160"/>
            <w:tcMar>
              <w:top w:w="100" w:type="dxa"/>
              <w:start w:w="100" w:type="dxa"/>
              <w:bottom w:w="100" w:type="dxa"/>
              <w:end w:w="100" w:type="dxa"/>
            </w:tcMar>
            <w:vAlign w:val="center"/>
          </w:tcPr>
          <w:p>
            <w:pPr>
              <w:spacing w:after="20" w:line="250" w:lineRule="auto"/>
            </w:pPr>
            <w:r>
              <w:rPr>
                <w:rFonts w:ascii="Aptos" w:hAnsi="Aptos" w:eastAsia="Aptos"/>
                <w:color w:val="202A33"/>
                <w:sz w:val="19"/>
              </w:rPr>
              <w:t>head</w:t>
            </w:r>
          </w:p>
        </w:tc>
        <w:tc>
          <w:tcPr>
            <w:tcW w:type="dxa" w:w="4003"/>
            <w:tcMar>
              <w:top w:w="100" w:type="dxa"/>
              <w:start w:w="100" w:type="dxa"/>
              <w:bottom w:w="100" w:type="dxa"/>
              <w:end w:w="100" w:type="dxa"/>
            </w:tcMar>
            <w:vAlign w:val="center"/>
          </w:tcPr>
          <w:p>
            <w:pPr>
              <w:spacing w:after="20" w:line="250" w:lineRule="auto"/>
            </w:pPr>
            <w:r>
              <w:rPr>
                <w:rFonts w:ascii="Aptos" w:hAnsi="Aptos" w:eastAsia="Aptos"/>
                <w:color w:val="202A33"/>
                <w:sz w:val="19"/>
              </w:rPr>
              <w:t>20261011_0068</w:t>
            </w:r>
          </w:p>
        </w:tc>
        <w:tc>
          <w:tcPr>
            <w:tcW w:type="dxa" w:w="4003"/>
            <w:tcMar>
              <w:top w:w="100" w:type="dxa"/>
              <w:start w:w="100" w:type="dxa"/>
              <w:bottom w:w="100" w:type="dxa"/>
              <w:end w:w="100" w:type="dxa"/>
            </w:tcMar>
            <w:vAlign w:val="center"/>
          </w:tcPr>
          <w:p>
            <w:pPr>
              <w:spacing w:after="20" w:line="250" w:lineRule="auto"/>
            </w:pPr>
            <w:r>
              <w:rPr>
                <w:rFonts w:ascii="Aptos" w:hAnsi="Aptos" w:eastAsia="Aptos"/>
                <w:color w:val="202A33"/>
                <w:sz w:val="19"/>
              </w:rPr>
              <w:t>20261011_0068</w:t>
            </w:r>
          </w:p>
        </w:tc>
      </w:tr>
    </w:tbl>
    <w:p>
      <w:pPr>
        <w:spacing w:after="20"/>
      </w:pPr>
    </w:p>
    <w:p>
      <w:pPr>
        <w:pStyle w:val="Heading1"/>
      </w:pPr>
      <w:r>
        <w:t>20 Inmutabilidad histórica</w:t>
      </w:r>
    </w:p>
    <w:p>
      <w:r>
        <w:t>Las pruebas CORE enfocadas protegen el snapshot publicado y las identidades existentes. El puente Five Case no modifica ningún registro ni hash histórico. La prueba negativa completa de fuentes live después de un FID nuevo requiere alcanzar ese FID; mientras no se ejecute, no se declara demostrada la inmutabilidad end to end de Gate, decisión, QRA y Post FID.</w:t>
      </w:r>
    </w:p>
    <w:p>
      <w:pPr>
        <w:pStyle w:val="Heading1"/>
      </w:pPr>
      <w:r>
        <w:t>21 Regresión y límites PostgreSQL</w:t>
      </w:r>
    </w:p>
    <w:p>
      <w:r>
        <w:t>Los resultados se desglosan por ejecución, motor y alcance. La suite global terminó y mantiene su FAIL real; sus 914 casos no se suman a reruns o focused tests para inflar cobertura única. Las pruebas estructurales CORE usan SQLite privado; la cadena nueva usa PostgreSQL. La moneda y el shell USER cambiaron después de iniciar el broad y tienen evidencia enfocada propia; no se les atribuye retroactivamente esa cobertura. Los SKIP PostgreSQL u opt in no son PASS ni sustituyen la prueba A0 a A31.</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80"/>
        <w:gridCol w:w="2592"/>
        <w:gridCol w:w="4694"/>
      </w:tblGrid>
      <w:tr>
        <w:trPr>
          <w:tblHeader w:val="true"/>
        </w:trPr>
        <w:tc>
          <w:tcPr>
            <w:tcW w:type="dxa" w:w="2880"/>
            <w:shd w:fill="17324D"/>
            <w:tcMar>
              <w:top w:w="100" w:type="dxa"/>
              <w:start w:w="100" w:type="dxa"/>
              <w:bottom w:w="100" w:type="dxa"/>
              <w:end w:w="100" w:type="dxa"/>
            </w:tcMar>
            <w:vAlign w:val="center"/>
          </w:tcPr>
          <w:p>
            <w:pPr>
              <w:keepNext/>
              <w:jc w:val="left"/>
            </w:pPr>
            <w:r>
              <w:rPr>
                <w:rFonts w:ascii="Aptos" w:hAnsi="Aptos" w:eastAsia="Aptos"/>
                <w:b/>
                <w:color w:val="FFFFFF"/>
                <w:sz w:val="19"/>
              </w:rPr>
              <w:t>Ejecución</w:t>
            </w:r>
          </w:p>
        </w:tc>
        <w:tc>
          <w:tcPr>
            <w:tcW w:type="dxa" w:w="2592"/>
            <w:shd w:fill="17324D"/>
            <w:tcMar>
              <w:top w:w="100" w:type="dxa"/>
              <w:start w:w="100" w:type="dxa"/>
              <w:bottom w:w="100" w:type="dxa"/>
              <w:end w:w="100" w:type="dxa"/>
            </w:tcMar>
            <w:vAlign w:val="center"/>
          </w:tcPr>
          <w:p>
            <w:pPr>
              <w:keepNext/>
              <w:jc w:val="left"/>
            </w:pPr>
            <w:r>
              <w:rPr>
                <w:rFonts w:ascii="Aptos" w:hAnsi="Aptos" w:eastAsia="Aptos"/>
                <w:b/>
                <w:color w:val="FFFFFF"/>
                <w:sz w:val="19"/>
              </w:rPr>
              <w:t>Estado</w:t>
            </w:r>
          </w:p>
        </w:tc>
        <w:tc>
          <w:tcPr>
            <w:tcW w:type="dxa" w:w="4694"/>
            <w:shd w:fill="17324D"/>
            <w:tcMar>
              <w:top w:w="100" w:type="dxa"/>
              <w:start w:w="100" w:type="dxa"/>
              <w:bottom w:w="100" w:type="dxa"/>
              <w:end w:w="100" w:type="dxa"/>
            </w:tcMar>
            <w:vAlign w:val="center"/>
          </w:tcPr>
          <w:p>
            <w:pPr>
              <w:keepNext/>
              <w:jc w:val="left"/>
            </w:pPr>
            <w:r>
              <w:rPr>
                <w:rFonts w:ascii="Aptos" w:hAnsi="Aptos" w:eastAsia="Aptos"/>
                <w:b/>
                <w:color w:val="FFFFFF"/>
                <w:sz w:val="19"/>
              </w:rPr>
              <w:t>Resultados</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core</w:t>
            </w:r>
          </w:p>
        </w:tc>
        <w:tc>
          <w:tcPr>
            <w:tcW w:type="dxa" w:w="2592"/>
            <w:tcMar>
              <w:top w:w="100" w:type="dxa"/>
              <w:start w:w="100" w:type="dxa"/>
              <w:bottom w:w="100" w:type="dxa"/>
              <w:end w:w="100" w:type="dxa"/>
            </w:tcMar>
            <w:vAlign w:val="center"/>
          </w:tcPr>
          <w:p>
            <w:pPr>
              <w:spacing w:after="20" w:line="250" w:lineRule="auto"/>
            </w:pPr>
            <w:r>
              <w:rPr>
                <w:rFonts w:ascii="Aptos" w:hAnsi="Aptos" w:eastAsia="Aptos"/>
                <w:color w:val="202A33"/>
                <w:sz w:val="19"/>
              </w:rPr>
              <w:t>COMPLETED</w:t>
            </w:r>
          </w:p>
        </w:tc>
        <w:tc>
          <w:tcPr>
            <w:tcW w:type="dxa" w:w="4694"/>
            <w:tcMar>
              <w:top w:w="100" w:type="dxa"/>
              <w:start w:w="100" w:type="dxa"/>
              <w:bottom w:w="100" w:type="dxa"/>
              <w:end w:w="100" w:type="dxa"/>
            </w:tcMar>
            <w:vAlign w:val="center"/>
          </w:tcPr>
          <w:p>
            <w:pPr>
              <w:spacing w:after="20" w:line="250" w:lineRule="auto"/>
            </w:pPr>
            <w:r>
              <w:rPr>
                <w:rFonts w:ascii="Aptos" w:hAnsi="Aptos" w:eastAsia="Aptos"/>
                <w:color w:val="202A33"/>
                <w:sz w:val="19"/>
              </w:rPr>
              <w:t>{"PASS": 72, "FAIL": 0, "ERROR": 0, "SKIP": 0}</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sources</w:t>
            </w:r>
          </w:p>
        </w:tc>
        <w:tc>
          <w:tcPr>
            <w:tcW w:type="dxa" w:w="25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COMPLETED</w:t>
            </w:r>
          </w:p>
        </w:tc>
        <w:tc>
          <w:tcPr>
            <w:tcW w:type="dxa" w:w="469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{"PASS": 76, "FAIL": 0, "ERROR": 0, "SKIP": 0}</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isolation_probe</w:t>
            </w:r>
          </w:p>
        </w:tc>
        <w:tc>
          <w:tcPr>
            <w:tcW w:type="dxa" w:w="2592"/>
            <w:tcMar>
              <w:top w:w="100" w:type="dxa"/>
              <w:start w:w="100" w:type="dxa"/>
              <w:bottom w:w="100" w:type="dxa"/>
              <w:end w:w="100" w:type="dxa"/>
            </w:tcMar>
            <w:vAlign w:val="center"/>
          </w:tcPr>
          <w:p>
            <w:pPr>
              <w:spacing w:after="20" w:line="250" w:lineRule="auto"/>
            </w:pPr>
            <w:r>
              <w:rPr>
                <w:rFonts w:ascii="Aptos" w:hAnsi="Aptos" w:eastAsia="Aptos"/>
                <w:color w:val="202A33"/>
                <w:sz w:val="19"/>
              </w:rPr>
              <w:t>COMPLETED</w:t>
            </w:r>
          </w:p>
        </w:tc>
        <w:tc>
          <w:tcPr>
            <w:tcW w:type="dxa" w:w="4694"/>
            <w:tcMar>
              <w:top w:w="100" w:type="dxa"/>
              <w:start w:w="100" w:type="dxa"/>
              <w:bottom w:w="100" w:type="dxa"/>
              <w:end w:w="100" w:type="dxa"/>
            </w:tcMar>
            <w:vAlign w:val="center"/>
          </w:tcPr>
          <w:p>
            <w:pPr>
              <w:spacing w:after="20" w:line="250" w:lineRule="auto"/>
            </w:pPr>
            <w:r>
              <w:rPr>
                <w:rFonts w:ascii="Aptos" w:hAnsi="Aptos" w:eastAsia="Aptos"/>
                <w:color w:val="202A33"/>
                <w:sz w:val="19"/>
              </w:rPr>
              <w:t>{"PASS": 87, "FAIL": 0, "ERROR": 0, "SKIP": 2}</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isolation_safety</w:t>
            </w:r>
          </w:p>
        </w:tc>
        <w:tc>
          <w:tcPr>
            <w:tcW w:type="dxa" w:w="25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COMPLETED</w:t>
            </w:r>
          </w:p>
        </w:tc>
        <w:tc>
          <w:tcPr>
            <w:tcW w:type="dxa" w:w="469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{"PASS": 9, "FAIL": 0, "ERROR": 0, "SKIP": 0}</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global</w:t>
            </w:r>
          </w:p>
        </w:tc>
        <w:tc>
          <w:tcPr>
            <w:tcW w:type="dxa" w:w="2592"/>
            <w:tcMar>
              <w:top w:w="100" w:type="dxa"/>
              <w:start w:w="100" w:type="dxa"/>
              <w:bottom w:w="100" w:type="dxa"/>
              <w:end w:w="100" w:type="dxa"/>
            </w:tcMar>
            <w:vAlign w:val="center"/>
          </w:tcPr>
          <w:p>
            <w:pPr>
              <w:spacing w:after="20" w:line="250" w:lineRule="auto"/>
            </w:pPr>
            <w:r>
              <w:rPr>
                <w:rFonts w:ascii="Aptos" w:hAnsi="Aptos" w:eastAsia="Aptos"/>
                <w:color w:val="202A33"/>
                <w:sz w:val="19"/>
              </w:rPr>
              <w:t>COMPLETED</w:t>
            </w:r>
          </w:p>
        </w:tc>
        <w:tc>
          <w:tcPr>
            <w:tcW w:type="dxa" w:w="4694"/>
            <w:tcMar>
              <w:top w:w="100" w:type="dxa"/>
              <w:start w:w="100" w:type="dxa"/>
              <w:bottom w:w="100" w:type="dxa"/>
              <w:end w:w="100" w:type="dxa"/>
            </w:tcMar>
            <w:vAlign w:val="center"/>
          </w:tcPr>
          <w:p>
            <w:pPr>
              <w:spacing w:after="20" w:line="250" w:lineRule="auto"/>
            </w:pPr>
            <w:r>
              <w:rPr>
                <w:rFonts w:ascii="Aptos" w:hAnsi="Aptos" w:eastAsia="Aptos"/>
                <w:color w:val="202A33"/>
                <w:sz w:val="19"/>
              </w:rPr>
              <w:t>{"PASS": 898, "FAIL": 1, "ERROR": 0, "SKIP": 15}</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browser</w:t>
            </w:r>
          </w:p>
        </w:tc>
        <w:tc>
          <w:tcPr>
            <w:tcW w:type="dxa" w:w="25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COMPLETED</w:t>
            </w:r>
          </w:p>
        </w:tc>
        <w:tc>
          <w:tcPr>
            <w:tcW w:type="dxa" w:w="469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{"PASS": 0, "FAIL": 1, "ERROR": 0, "SKIP": 0}</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currency</w:t>
            </w:r>
          </w:p>
        </w:tc>
        <w:tc>
          <w:tcPr>
            <w:tcW w:type="dxa" w:w="2592"/>
            <w:tcMar>
              <w:top w:w="100" w:type="dxa"/>
              <w:start w:w="100" w:type="dxa"/>
              <w:bottom w:w="100" w:type="dxa"/>
              <w:end w:w="100" w:type="dxa"/>
            </w:tcMar>
            <w:vAlign w:val="center"/>
          </w:tcPr>
          <w:p>
            <w:pPr>
              <w:spacing w:after="20" w:line="250" w:lineRule="auto"/>
            </w:pPr>
            <w:r>
              <w:rPr>
                <w:rFonts w:ascii="Aptos" w:hAnsi="Aptos" w:eastAsia="Aptos"/>
                <w:color w:val="202A33"/>
                <w:sz w:val="19"/>
              </w:rPr>
              <w:t>COMPLETED</w:t>
            </w:r>
          </w:p>
        </w:tc>
        <w:tc>
          <w:tcPr>
            <w:tcW w:type="dxa" w:w="4694"/>
            <w:tcMar>
              <w:top w:w="100" w:type="dxa"/>
              <w:start w:w="100" w:type="dxa"/>
              <w:bottom w:w="100" w:type="dxa"/>
              <w:end w:w="100" w:type="dxa"/>
            </w:tcMar>
            <w:vAlign w:val="center"/>
          </w:tcPr>
          <w:p>
            <w:pPr>
              <w:spacing w:after="20" w:line="250" w:lineRule="auto"/>
            </w:pPr>
            <w:r>
              <w:rPr>
                <w:rFonts w:ascii="Aptos" w:hAnsi="Aptos" w:eastAsia="Aptos"/>
                <w:color w:val="202A33"/>
                <w:sz w:val="19"/>
              </w:rPr>
              <w:t>{"PASS": 4, "FAIL": 0, "ERROR": 0, "SKIP": 0}</w:t>
            </w:r>
          </w:p>
        </w:tc>
      </w:tr>
      <w:tr>
        <w:trPr>
          <w:cantSplit/>
        </w:trPr>
        <w:tc>
          <w:tcPr>
            <w:tcW w:type="dxa" w:w="288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shell</w:t>
            </w:r>
          </w:p>
        </w:tc>
        <w:tc>
          <w:tcPr>
            <w:tcW w:type="dxa" w:w="25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COMPLETED</w:t>
            </w:r>
          </w:p>
        </w:tc>
        <w:tc>
          <w:tcPr>
            <w:tcW w:type="dxa" w:w="469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{"PASS": 29, "FAIL": 0, "ERROR": 0, "SKIP": 0}</w:t>
            </w:r>
          </w:p>
        </w:tc>
      </w:tr>
      <w:tr>
        <w:trPr>
          <w:cantSplit/>
        </w:trPr>
        <w:tc>
          <w:tcPr>
            <w:tcW w:type="dxa" w:w="2880"/>
            <w:tcMar>
              <w:top w:w="100" w:type="dxa"/>
              <w:start w:w="100" w:type="dxa"/>
              <w:bottom w:w="100" w:type="dxa"/>
              <w:end w:w="100" w:type="dxa"/>
            </w:tcMar>
            <w:vAlign w:val="center"/>
          </w:tcPr>
          <w:p>
            <w:pPr>
              <w:spacing w:after="20" w:line="250" w:lineRule="auto"/>
            </w:pPr>
            <w:r>
              <w:rPr>
                <w:rFonts w:ascii="Aptos" w:hAnsi="Aptos" w:eastAsia="Aptos"/>
                <w:color w:val="202A33"/>
                <w:sz w:val="19"/>
              </w:rPr>
              <w:t>core_scope_fixture_attempt</w:t>
            </w:r>
          </w:p>
        </w:tc>
        <w:tc>
          <w:tcPr>
            <w:tcW w:type="dxa" w:w="2592"/>
            <w:tcMar>
              <w:top w:w="100" w:type="dxa"/>
              <w:start w:w="100" w:type="dxa"/>
              <w:bottom w:w="100" w:type="dxa"/>
              <w:end w:w="100" w:type="dxa"/>
            </w:tcMar>
            <w:vAlign w:val="center"/>
          </w:tcPr>
          <w:p>
            <w:pPr>
              <w:spacing w:after="20" w:line="250" w:lineRule="auto"/>
            </w:pPr>
            <w:r>
              <w:rPr>
                <w:rFonts w:ascii="Aptos" w:hAnsi="Aptos" w:eastAsia="Aptos"/>
                <w:color w:val="202A33"/>
                <w:sz w:val="19"/>
              </w:rPr>
              <w:t>COMPLETED</w:t>
            </w:r>
          </w:p>
        </w:tc>
        <w:tc>
          <w:tcPr>
            <w:tcW w:type="dxa" w:w="4694"/>
            <w:tcMar>
              <w:top w:w="100" w:type="dxa"/>
              <w:start w:w="100" w:type="dxa"/>
              <w:bottom w:w="100" w:type="dxa"/>
              <w:end w:w="100" w:type="dxa"/>
            </w:tcMar>
            <w:vAlign w:val="center"/>
          </w:tcPr>
          <w:p>
            <w:pPr>
              <w:spacing w:after="20" w:line="250" w:lineRule="auto"/>
            </w:pPr>
            <w:r>
              <w:rPr>
                <w:rFonts w:ascii="Aptos" w:hAnsi="Aptos" w:eastAsia="Aptos"/>
                <w:color w:val="202A33"/>
                <w:sz w:val="19"/>
              </w:rPr>
              <w:t>{"PASS": 103, "FAIL": 1, "ERROR": 0, "SKIP": 0}</w:t>
            </w:r>
          </w:p>
        </w:tc>
      </w:tr>
    </w:tbl>
    <w:p>
      <w:pPr>
        <w:spacing w:after="20"/>
      </w:pPr>
    </w:p>
    <w:p>
      <w:r>
        <w:t>global: Único fallo legado: HTTP 409 BUSINESS_CASE_NOT_READY. Su fixture no prepara las fuentes Five Case actuales; no se excluyó ni se deprecó para aparentar éxito. Test: tests.test_gate07m_fid_e2e::test_new_pyp_ffa_fid_path_full_stack_revalidation. Respuesta íntegra en backend-strategic-regression-global-resume.xml.</w:t>
      </w:r>
    </w:p>
    <w:p>
      <w:r>
        <w:t>browser: Detención explícita sin FID: el Gate de la misma cadena permanece DRAFT/BLOCKED. Abrir ocho vistas no satisface el recorrido completo. Test: strategic-capital-current.spec.ts::one fresh Capital Owner chain remains navigable from Idea to FID and Post-FID without browser mutations. Respuesta íntegra en browser/strategic-capital-current.xml.</w:t>
      </w:r>
    </w:p>
    <w:p>
      <w:r>
        <w:t>core_scope_fixture_attempt: El guard devolvió 409 y los IDs requeridos [5,6] porque la fixture confirmó solo uno. La ejecución final de 72 casos corrigió esa confirmación sin rebajar la regla. Test: tests.test_strategic_core_parent_reconciliation::test_reconciliation_real_http_rbac_and_no_bootstrap_writes[structure_editor-organization-200]. Respuesta íntegra en core-parent-scope-fixture-104.xml.</w:t>
      </w:r>
    </w:p>
    <w:p>
      <w:pPr>
        <w:pStyle w:val="Heading1"/>
      </w:pPr>
      <w:r>
        <w:t>22 Evidencia Chromium</w:t>
      </w:r>
    </w:p>
    <w:p>
      <w:r>
        <w:t>Chromium real usa la API aislada sin mocks ni estados terminales prefabricados. Tras el fallback USER autorizado se abrieron las vistas estratégicas con identidad explícita; eso cierra solo el bloqueo de shell. El conteo y las identidades exactas se registran a continuación. La prueba sigue fallando si la cadena backend no ha completado las etapas downstream. No se atribuye navegación de un tenant a otro escenario seleccionado. El login usa el endpoint real con tenant_slug y su sesión auténtica; no valida el selector de tenant inexistente en el formulario.</w:t>
      </w:r>
    </w:p>
    <w:p>
      <w:r>
        <w:t>Chromium registró {"PASS": 0, "FAIL": 1, "ERROR": 0, "SKIP": 0}. Chromium registró 8 vistas en tenant 4 y Project 16. Corresponde a la cadena seleccionada. Vistas: idea-lifecycle, business-analysis-options, project-proposal, strategic-gate-decision, enterprise-explorer, portfolio-projects, business-case-my, investment-gate-preparation. La navegación y selección de registros no equivale a creación browser de todos los lifecycles. Estado browser BLOCKED; bloqueo DOWNSTREAM_CHAIN_PREFLIGHT_NO_FID. Colecciones registradas: 3 errores HTTP, 0 errores runtime y 0 escrituras browser de negocio. Los rechazos de autorización y límites de hidratación observados se conservan; no se afirma una red limpia ni E2E global aprobado.</w:t>
      </w:r>
    </w:p>
    <w:p>
      <w:pPr>
        <w:pStyle w:val="Heading1"/>
      </w:pPr>
      <w:r>
        <w:t>23 Defectos restantes</w:t>
      </w:r>
    </w:p>
    <w:p>
      <w:r>
        <w:t>Los defectos previos se conservan con su estado anterior y su disposición actual. La falta de ejecución completa es un bloqueo de validación; no se convierte automáticamente en defecto de producto. Los hallazgos de la fixture se distinguen de respuestas legítimas de negocio y de fallos funcionales reproducibles.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0"/>
        <w:gridCol w:w="3456"/>
        <w:gridCol w:w="4910"/>
      </w:tblGrid>
      <w:tr>
        <w:trPr>
          <w:tblHeader w:val="true"/>
        </w:trPr>
        <w:tc>
          <w:tcPr>
            <w:tcW w:type="dxa" w:w="1800"/>
            <w:shd w:fill="17324D"/>
            <w:tcMar>
              <w:top w:w="100" w:type="dxa"/>
              <w:start w:w="100" w:type="dxa"/>
              <w:bottom w:w="100" w:type="dxa"/>
              <w:end w:w="100" w:type="dxa"/>
            </w:tcMar>
            <w:vAlign w:val="center"/>
          </w:tcPr>
          <w:p>
            <w:pPr>
              <w:keepNext/>
              <w:jc w:val="left"/>
            </w:pPr>
            <w:r>
              <w:rPr>
                <w:rFonts w:ascii="Aptos" w:hAnsi="Aptos" w:eastAsia="Aptos"/>
                <w:b/>
                <w:color w:val="FFFFFF"/>
                <w:sz w:val="19"/>
              </w:rPr>
              <w:t>ID</w:t>
            </w:r>
          </w:p>
        </w:tc>
        <w:tc>
          <w:tcPr>
            <w:tcW w:type="dxa" w:w="3456"/>
            <w:shd w:fill="17324D"/>
            <w:tcMar>
              <w:top w:w="100" w:type="dxa"/>
              <w:start w:w="100" w:type="dxa"/>
              <w:bottom w:w="100" w:type="dxa"/>
              <w:end w:w="100" w:type="dxa"/>
            </w:tcMar>
            <w:vAlign w:val="center"/>
          </w:tcPr>
          <w:p>
            <w:pPr>
              <w:keepNext/>
              <w:jc w:val="left"/>
            </w:pPr>
            <w:r>
              <w:rPr>
                <w:rFonts w:ascii="Aptos" w:hAnsi="Aptos" w:eastAsia="Aptos"/>
                <w:b/>
                <w:color w:val="FFFFFF"/>
                <w:sz w:val="19"/>
              </w:rPr>
              <w:t>Anterior</w:t>
            </w:r>
          </w:p>
        </w:tc>
        <w:tc>
          <w:tcPr>
            <w:tcW w:type="dxa" w:w="4910"/>
            <w:shd w:fill="17324D"/>
            <w:tcMar>
              <w:top w:w="100" w:type="dxa"/>
              <w:start w:w="100" w:type="dxa"/>
              <w:bottom w:w="100" w:type="dxa"/>
              <w:end w:w="100" w:type="dxa"/>
            </w:tcMar>
            <w:vAlign w:val="center"/>
          </w:tcPr>
          <w:p>
            <w:pPr>
              <w:keepNext/>
              <w:jc w:val="left"/>
            </w:pPr>
            <w:r>
              <w:rPr>
                <w:rFonts w:ascii="Aptos" w:hAnsi="Aptos" w:eastAsia="Aptos"/>
                <w:b/>
                <w:color w:val="FFFFFF"/>
                <w:sz w:val="19"/>
              </w:rPr>
              <w:t>Disposición actual</w:t>
            </w:r>
          </w:p>
        </w:tc>
      </w:tr>
      <w:tr>
        <w:trPr>
          <w:cantSplit/>
        </w:trPr>
        <w:tc>
          <w:tcPr>
            <w:tcW w:type="dxa" w:w="1800"/>
            <w:tcMar>
              <w:top w:w="100" w:type="dxa"/>
              <w:start w:w="100" w:type="dxa"/>
              <w:bottom w:w="100" w:type="dxa"/>
              <w:end w:w="100" w:type="dxa"/>
            </w:tcMar>
            <w:vAlign w:val="center"/>
          </w:tcPr>
          <w:p>
            <w:pPr>
              <w:spacing w:after="20" w:line="250" w:lineRule="auto"/>
            </w:pPr>
            <w:r>
              <w:rPr>
                <w:rFonts w:ascii="Aptos" w:hAnsi="Aptos" w:eastAsia="Aptos"/>
                <w:color w:val="202A33"/>
                <w:sz w:val="19"/>
              </w:rPr>
              <w:t>UAT-S2-001</w:t>
            </w:r>
          </w:p>
        </w:tc>
        <w:tc>
          <w:tcPr>
            <w:tcW w:type="dxa" w:w="3456"/>
            <w:tcMar>
              <w:top w:w="100" w:type="dxa"/>
              <w:start w:w="100" w:type="dxa"/>
              <w:bottom w:w="100" w:type="dxa"/>
              <w:end w:w="100" w:type="dxa"/>
            </w:tcMar>
            <w:vAlign w:val="center"/>
          </w:tcPr>
          <w:p>
            <w:pPr>
              <w:spacing w:after="20" w:line="250" w:lineRule="auto"/>
            </w:pPr>
            <w:r>
              <w:rPr>
                <w:rFonts w:ascii="Aptos" w:hAnsi="Aptos" w:eastAsia="Aptos"/>
                <w:color w:val="202A33"/>
                <w:sz w:val="19"/>
              </w:rPr>
              <w:t>CLOSED_SCOPED_TESTS_PASS</w:t>
            </w:r>
          </w:p>
        </w:tc>
        <w:tc>
          <w:tcPr>
            <w:tcW w:type="dxa" w:w="4910"/>
            <w:tcMar>
              <w:top w:w="100" w:type="dxa"/>
              <w:start w:w="100" w:type="dxa"/>
              <w:bottom w:w="100" w:type="dxa"/>
              <w:end w:w="100" w:type="dxa"/>
            </w:tcMar>
            <w:vAlign w:val="center"/>
          </w:tcPr>
          <w:p>
            <w:pPr>
              <w:spacing w:after="20" w:line="250" w:lineRule="auto"/>
            </w:pPr>
            <w:r>
              <w:rPr>
                <w:rFonts w:ascii="Aptos" w:hAnsi="Aptos" w:eastAsia="Aptos"/>
                <w:color w:val="202A33"/>
                <w:sz w:val="19"/>
              </w:rPr>
              <w:t>CLOSED_SCOPED_TESTS_PASS</w:t>
            </w:r>
          </w:p>
        </w:tc>
      </w:tr>
      <w:tr>
        <w:trPr>
          <w:cantSplit/>
        </w:trPr>
        <w:tc>
          <w:tcPr>
            <w:tcW w:type="dxa" w:w="18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UAT-S2-002</w:t>
            </w:r>
          </w:p>
        </w:tc>
        <w:tc>
          <w:tcPr>
            <w:tcW w:type="dxa" w:w="345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CLOSED_SCOPED_TESTS_PASS</w:t>
            </w:r>
          </w:p>
        </w:tc>
        <w:tc>
          <w:tcPr>
            <w:tcW w:type="dxa" w:w="491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CLOSED_SCOPED_TESTS_PASS</w:t>
            </w:r>
          </w:p>
        </w:tc>
      </w:tr>
      <w:tr>
        <w:trPr>
          <w:cantSplit/>
        </w:trPr>
        <w:tc>
          <w:tcPr>
            <w:tcW w:type="dxa" w:w="1800"/>
            <w:tcMar>
              <w:top w:w="100" w:type="dxa"/>
              <w:start w:w="100" w:type="dxa"/>
              <w:bottom w:w="100" w:type="dxa"/>
              <w:end w:w="100" w:type="dxa"/>
            </w:tcMar>
            <w:vAlign w:val="center"/>
          </w:tcPr>
          <w:p>
            <w:pPr>
              <w:spacing w:after="20" w:line="250" w:lineRule="auto"/>
            </w:pPr>
            <w:r>
              <w:rPr>
                <w:rFonts w:ascii="Aptos" w:hAnsi="Aptos" w:eastAsia="Aptos"/>
                <w:color w:val="202A33"/>
                <w:sz w:val="19"/>
              </w:rPr>
              <w:t>UAT-S2-003</w:t>
            </w:r>
          </w:p>
        </w:tc>
        <w:tc>
          <w:tcPr>
            <w:tcW w:type="dxa" w:w="3456"/>
            <w:tcMar>
              <w:top w:w="100" w:type="dxa"/>
              <w:start w:w="100" w:type="dxa"/>
              <w:bottom w:w="100" w:type="dxa"/>
              <w:end w:w="100" w:type="dxa"/>
            </w:tcMar>
            <w:vAlign w:val="center"/>
          </w:tcPr>
          <w:p>
            <w:pPr>
              <w:spacing w:after="20" w:line="250" w:lineRule="auto"/>
            </w:pPr>
            <w:r>
              <w:rPr>
                <w:rFonts w:ascii="Aptos" w:hAnsi="Aptos" w:eastAsia="Aptos"/>
                <w:color w:val="202A33"/>
                <w:sz w:val="19"/>
              </w:rPr>
              <w:t>OPEN</w:t>
            </w:r>
          </w:p>
        </w:tc>
        <w:tc>
          <w:tcPr>
            <w:tcW w:type="dxa" w:w="4910"/>
            <w:tcMar>
              <w:top w:w="100" w:type="dxa"/>
              <w:start w:w="100" w:type="dxa"/>
              <w:bottom w:w="100" w:type="dxa"/>
              <w:end w:w="100" w:type="dxa"/>
            </w:tcMar>
            <w:vAlign w:val="center"/>
          </w:tcPr>
          <w:p>
            <w:pPr>
              <w:spacing w:after="20" w:line="250" w:lineRule="auto"/>
            </w:pPr>
            <w:r>
              <w:rPr>
                <w:rFonts w:ascii="Aptos" w:hAnsi="Aptos" w:eastAsia="Aptos"/>
                <w:color w:val="202A33"/>
                <w:sz w:val="19"/>
              </w:rPr>
              <w:t>OPEN</w:t>
            </w:r>
          </w:p>
        </w:tc>
      </w:tr>
      <w:tr>
        <w:trPr>
          <w:cantSplit/>
        </w:trPr>
        <w:tc>
          <w:tcPr>
            <w:tcW w:type="dxa" w:w="18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UAT-S3-001</w:t>
            </w:r>
          </w:p>
        </w:tc>
        <w:tc>
          <w:tcPr>
            <w:tcW w:type="dxa" w:w="345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CLOSED_SCOPED_TESTS_PASS</w:t>
            </w:r>
          </w:p>
        </w:tc>
        <w:tc>
          <w:tcPr>
            <w:tcW w:type="dxa" w:w="491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CLOSED_SCOPED_TESTS_PASS</w:t>
            </w:r>
          </w:p>
        </w:tc>
      </w:tr>
      <w:tr>
        <w:trPr>
          <w:cantSplit/>
        </w:trPr>
        <w:tc>
          <w:tcPr>
            <w:tcW w:type="dxa" w:w="1800"/>
            <w:tcMar>
              <w:top w:w="100" w:type="dxa"/>
              <w:start w:w="100" w:type="dxa"/>
              <w:bottom w:w="100" w:type="dxa"/>
              <w:end w:w="100" w:type="dxa"/>
            </w:tcMar>
            <w:vAlign w:val="center"/>
          </w:tcPr>
          <w:p>
            <w:pPr>
              <w:spacing w:after="20" w:line="250" w:lineRule="auto"/>
            </w:pPr>
            <w:r>
              <w:rPr>
                <w:rFonts w:ascii="Aptos" w:hAnsi="Aptos" w:eastAsia="Aptos"/>
                <w:color w:val="202A33"/>
                <w:sz w:val="19"/>
              </w:rPr>
              <w:t>UAT-S3-002</w:t>
            </w:r>
          </w:p>
        </w:tc>
        <w:tc>
          <w:tcPr>
            <w:tcW w:type="dxa" w:w="3456"/>
            <w:tcMar>
              <w:top w:w="100" w:type="dxa"/>
              <w:start w:w="100" w:type="dxa"/>
              <w:bottom w:w="100" w:type="dxa"/>
              <w:end w:w="100" w:type="dxa"/>
            </w:tcMar>
            <w:vAlign w:val="center"/>
          </w:tcPr>
          <w:p>
            <w:pPr>
              <w:spacing w:after="20" w:line="250" w:lineRule="auto"/>
            </w:pPr>
            <w:r>
              <w:rPr>
                <w:rFonts w:ascii="Aptos" w:hAnsi="Aptos" w:eastAsia="Aptos"/>
                <w:color w:val="202A33"/>
                <w:sz w:val="19"/>
              </w:rPr>
              <w:t>OPEN_WORKAROUND_NOT_BUSINESS_APPROVED</w:t>
            </w:r>
          </w:p>
        </w:tc>
        <w:tc>
          <w:tcPr>
            <w:tcW w:type="dxa" w:w="4910"/>
            <w:tcMar>
              <w:top w:w="100" w:type="dxa"/>
              <w:start w:w="100" w:type="dxa"/>
              <w:bottom w:w="100" w:type="dxa"/>
              <w:end w:w="100" w:type="dxa"/>
            </w:tcMar>
            <w:vAlign w:val="center"/>
          </w:tcPr>
          <w:p>
            <w:pPr>
              <w:spacing w:after="20" w:line="250" w:lineRule="auto"/>
            </w:pPr>
            <w:r>
              <w:rPr>
                <w:rFonts w:ascii="Aptos" w:hAnsi="Aptos" w:eastAsia="Aptos"/>
                <w:color w:val="202A33"/>
                <w:sz w:val="19"/>
              </w:rPr>
              <w:t>CLOSED_ISOLATION_SCOPED</w:t>
            </w:r>
          </w:p>
        </w:tc>
      </w:tr>
      <w:tr>
        <w:trPr>
          <w:cantSplit/>
        </w:trPr>
        <w:tc>
          <w:tcPr>
            <w:tcW w:type="dxa" w:w="18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UAT-S4-001</w:t>
            </w:r>
          </w:p>
        </w:tc>
        <w:tc>
          <w:tcPr>
            <w:tcW w:type="dxa" w:w="345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OPEN</w:t>
            </w:r>
          </w:p>
        </w:tc>
        <w:tc>
          <w:tcPr>
            <w:tcW w:type="dxa" w:w="491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OPEN</w:t>
            </w:r>
          </w:p>
        </w:tc>
      </w:tr>
      <w:tr>
        <w:trPr>
          <w:cantSplit/>
        </w:trPr>
        <w:tc>
          <w:tcPr>
            <w:tcW w:type="dxa" w:w="1800"/>
            <w:tcMar>
              <w:top w:w="100" w:type="dxa"/>
              <w:start w:w="100" w:type="dxa"/>
              <w:bottom w:w="100" w:type="dxa"/>
              <w:end w:w="100" w:type="dxa"/>
            </w:tcMar>
            <w:vAlign w:val="center"/>
          </w:tcPr>
          <w:p>
            <w:pPr>
              <w:spacing w:after="20" w:line="250" w:lineRule="auto"/>
            </w:pPr>
            <w:r>
              <w:rPr>
                <w:rFonts w:ascii="Aptos" w:hAnsi="Aptos" w:eastAsia="Aptos"/>
                <w:color w:val="202A33"/>
                <w:sz w:val="19"/>
              </w:rPr>
              <w:t>UAT-S4-002</w:t>
            </w:r>
          </w:p>
        </w:tc>
        <w:tc>
          <w:tcPr>
            <w:tcW w:type="dxa" w:w="3456"/>
            <w:tcMar>
              <w:top w:w="100" w:type="dxa"/>
              <w:start w:w="100" w:type="dxa"/>
              <w:bottom w:w="100" w:type="dxa"/>
              <w:end w:w="100" w:type="dxa"/>
            </w:tcMar>
            <w:vAlign w:val="center"/>
          </w:tcPr>
          <w:p>
            <w:pPr>
              <w:spacing w:after="20" w:line="250" w:lineRule="auto"/>
            </w:pPr>
            <w:r>
              <w:rPr>
                <w:rFonts w:ascii="Aptos" w:hAnsi="Aptos" w:eastAsia="Aptos"/>
                <w:color w:val="202A33"/>
                <w:sz w:val="19"/>
              </w:rPr>
              <w:t>OPEN</w:t>
            </w:r>
          </w:p>
        </w:tc>
        <w:tc>
          <w:tcPr>
            <w:tcW w:type="dxa" w:w="4910"/>
            <w:tcMar>
              <w:top w:w="100" w:type="dxa"/>
              <w:start w:w="100" w:type="dxa"/>
              <w:bottom w:w="100" w:type="dxa"/>
              <w:end w:w="100" w:type="dxa"/>
            </w:tcMar>
            <w:vAlign w:val="center"/>
          </w:tcPr>
          <w:p>
            <w:pPr>
              <w:spacing w:after="20" w:line="250" w:lineRule="auto"/>
            </w:pPr>
            <w:r>
              <w:rPr>
                <w:rFonts w:ascii="Aptos" w:hAnsi="Aptos" w:eastAsia="Aptos"/>
                <w:color w:val="202A33"/>
                <w:sz w:val="19"/>
              </w:rPr>
              <w:t>OPEN</w:t>
            </w:r>
          </w:p>
        </w:tc>
      </w:tr>
      <w:tr>
        <w:trPr>
          <w:cantSplit/>
        </w:trPr>
        <w:tc>
          <w:tcPr>
            <w:tcW w:type="dxa" w:w="18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UAT-S4-003</w:t>
            </w:r>
          </w:p>
        </w:tc>
        <w:tc>
          <w:tcPr>
            <w:tcW w:type="dxa" w:w="345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OPEN</w:t>
            </w:r>
          </w:p>
        </w:tc>
        <w:tc>
          <w:tcPr>
            <w:tcW w:type="dxa" w:w="491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OPEN</w:t>
            </w:r>
          </w:p>
        </w:tc>
      </w:tr>
      <w:tr>
        <w:trPr>
          <w:cantSplit/>
        </w:trPr>
        <w:tc>
          <w:tcPr>
            <w:tcW w:type="dxa" w:w="1800"/>
            <w:tcMar>
              <w:top w:w="100" w:type="dxa"/>
              <w:start w:w="100" w:type="dxa"/>
              <w:bottom w:w="100" w:type="dxa"/>
              <w:end w:w="100" w:type="dxa"/>
            </w:tcMar>
            <w:vAlign w:val="center"/>
          </w:tcPr>
          <w:p>
            <w:pPr>
              <w:spacing w:after="20" w:line="250" w:lineRule="auto"/>
            </w:pPr>
            <w:r>
              <w:rPr>
                <w:rFonts w:ascii="Aptos" w:hAnsi="Aptos" w:eastAsia="Aptos"/>
                <w:color w:val="202A33"/>
                <w:sz w:val="19"/>
              </w:rPr>
              <w:t>UAT-S4-004</w:t>
            </w:r>
          </w:p>
        </w:tc>
        <w:tc>
          <w:tcPr>
            <w:tcW w:type="dxa" w:w="3456"/>
            <w:tcMar>
              <w:top w:w="100" w:type="dxa"/>
              <w:start w:w="100" w:type="dxa"/>
              <w:bottom w:w="100" w:type="dxa"/>
              <w:end w:w="100" w:type="dxa"/>
            </w:tcMar>
            <w:vAlign w:val="center"/>
          </w:tcPr>
          <w:p>
            <w:pPr>
              <w:spacing w:after="20" w:line="250" w:lineRule="auto"/>
            </w:pPr>
            <w:r>
              <w:rPr>
                <w:rFonts w:ascii="Aptos" w:hAnsi="Aptos" w:eastAsia="Aptos"/>
                <w:color w:val="202A33"/>
                <w:sz w:val="19"/>
              </w:rPr>
              <w:t>OPEN</w:t>
            </w:r>
          </w:p>
        </w:tc>
        <w:tc>
          <w:tcPr>
            <w:tcW w:type="dxa" w:w="4910"/>
            <w:tcMar>
              <w:top w:w="100" w:type="dxa"/>
              <w:start w:w="100" w:type="dxa"/>
              <w:bottom w:w="100" w:type="dxa"/>
              <w:end w:w="100" w:type="dxa"/>
            </w:tcMar>
            <w:vAlign w:val="center"/>
          </w:tcPr>
          <w:p>
            <w:pPr>
              <w:spacing w:after="20" w:line="250" w:lineRule="auto"/>
            </w:pPr>
            <w:r>
              <w:rPr>
                <w:rFonts w:ascii="Aptos" w:hAnsi="Aptos" w:eastAsia="Aptos"/>
                <w:color w:val="202A33"/>
                <w:sz w:val="19"/>
              </w:rPr>
              <w:t>OPEN</w:t>
            </w:r>
          </w:p>
        </w:tc>
      </w:tr>
      <w:tr>
        <w:trPr>
          <w:cantSplit/>
        </w:trPr>
        <w:tc>
          <w:tcPr>
            <w:tcW w:type="dxa" w:w="18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UAT-S4-005</w:t>
            </w:r>
          </w:p>
        </w:tc>
        <w:tc>
          <w:tcPr>
            <w:tcW w:type="dxa" w:w="345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OPEN</w:t>
            </w:r>
          </w:p>
        </w:tc>
        <w:tc>
          <w:tcPr>
            <w:tcW w:type="dxa" w:w="491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OPEN</w:t>
            </w:r>
          </w:p>
        </w:tc>
      </w:tr>
      <w:tr>
        <w:trPr>
          <w:cantSplit/>
        </w:trPr>
        <w:tc>
          <w:tcPr>
            <w:tcW w:type="dxa" w:w="1800"/>
            <w:tcMar>
              <w:top w:w="100" w:type="dxa"/>
              <w:start w:w="100" w:type="dxa"/>
              <w:bottom w:w="100" w:type="dxa"/>
              <w:end w:w="100" w:type="dxa"/>
            </w:tcMar>
            <w:vAlign w:val="center"/>
          </w:tcPr>
          <w:p>
            <w:pPr>
              <w:spacing w:after="20" w:line="250" w:lineRule="auto"/>
            </w:pPr>
            <w:r>
              <w:rPr>
                <w:rFonts w:ascii="Aptos" w:hAnsi="Aptos" w:eastAsia="Aptos"/>
                <w:color w:val="202A33"/>
                <w:sz w:val="19"/>
              </w:rPr>
              <w:t>UAT-S3-003</w:t>
            </w:r>
          </w:p>
        </w:tc>
        <w:tc>
          <w:tcPr>
            <w:tcW w:type="dxa" w:w="3456"/>
            <w:tcMar>
              <w:top w:w="100" w:type="dxa"/>
              <w:start w:w="100" w:type="dxa"/>
              <w:bottom w:w="100" w:type="dxa"/>
              <w:end w:w="100" w:type="dxa"/>
            </w:tcMar>
            <w:vAlign w:val="center"/>
          </w:tcPr>
          <w:p>
            <w:pPr>
              <w:spacing w:after="20" w:line="250" w:lineRule="auto"/>
            </w:pPr>
            <w:r>
              <w:rPr>
                <w:rFonts w:ascii="Aptos" w:hAnsi="Aptos" w:eastAsia="Aptos"/>
                <w:color w:val="202A33"/>
                <w:sz w:val="19"/>
              </w:rPr>
              <w:t>OPEN</w:t>
            </w:r>
          </w:p>
        </w:tc>
        <w:tc>
          <w:tcPr>
            <w:tcW w:type="dxa" w:w="4910"/>
            <w:tcMar>
              <w:top w:w="100" w:type="dxa"/>
              <w:start w:w="100" w:type="dxa"/>
              <w:bottom w:w="100" w:type="dxa"/>
              <w:end w:w="100" w:type="dxa"/>
            </w:tcMar>
            <w:vAlign w:val="center"/>
          </w:tcPr>
          <w:p>
            <w:pPr>
              <w:spacing w:after="20" w:line="250" w:lineRule="auto"/>
            </w:pPr>
            <w:r>
              <w:rPr>
                <w:rFonts w:ascii="Aptos" w:hAnsi="Aptos" w:eastAsia="Aptos"/>
                <w:color w:val="202A33"/>
                <w:sz w:val="19"/>
              </w:rPr>
              <w:t>CLOSED_SCOPED_TECHNICAL</w:t>
            </w:r>
          </w:p>
        </w:tc>
      </w:tr>
      <w:tr>
        <w:trPr>
          <w:cantSplit/>
        </w:trPr>
        <w:tc>
          <w:tcPr>
            <w:tcW w:type="dxa" w:w="18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UAT-S2-004</w:t>
            </w:r>
          </w:p>
        </w:tc>
        <w:tc>
          <w:tcPr>
            <w:tcW w:type="dxa" w:w="345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NOT_PREVIOUSLY_RECORDED</w:t>
            </w:r>
          </w:p>
        </w:tc>
        <w:tc>
          <w:tcPr>
            <w:tcW w:type="dxa" w:w="491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CLOSED_SCOPED_UI</w:t>
            </w:r>
          </w:p>
        </w:tc>
      </w:tr>
      <w:tr>
        <w:trPr>
          <w:cantSplit/>
        </w:trPr>
        <w:tc>
          <w:tcPr>
            <w:tcW w:type="dxa" w:w="1800"/>
            <w:tcMar>
              <w:top w:w="100" w:type="dxa"/>
              <w:start w:w="100" w:type="dxa"/>
              <w:bottom w:w="100" w:type="dxa"/>
              <w:end w:w="100" w:type="dxa"/>
            </w:tcMar>
            <w:vAlign w:val="center"/>
          </w:tcPr>
          <w:p>
            <w:pPr>
              <w:spacing w:after="20" w:line="250" w:lineRule="auto"/>
            </w:pPr>
            <w:r>
              <w:rPr>
                <w:rFonts w:ascii="Aptos" w:hAnsi="Aptos" w:eastAsia="Aptos"/>
                <w:color w:val="202A33"/>
                <w:sz w:val="19"/>
              </w:rPr>
              <w:t>UAT-S3-004</w:t>
            </w:r>
          </w:p>
        </w:tc>
        <w:tc>
          <w:tcPr>
            <w:tcW w:type="dxa" w:w="3456"/>
            <w:tcMar>
              <w:top w:w="100" w:type="dxa"/>
              <w:start w:w="100" w:type="dxa"/>
              <w:bottom w:w="100" w:type="dxa"/>
              <w:end w:w="100" w:type="dxa"/>
            </w:tcMar>
            <w:vAlign w:val="center"/>
          </w:tcPr>
          <w:p>
            <w:pPr>
              <w:spacing w:after="20" w:line="250" w:lineRule="auto"/>
            </w:pPr>
            <w:r>
              <w:rPr>
                <w:rFonts w:ascii="Aptos" w:hAnsi="Aptos" w:eastAsia="Aptos"/>
                <w:color w:val="202A33"/>
                <w:sz w:val="19"/>
              </w:rPr>
              <w:t>NEW_FINDING_FIXED</w:t>
            </w:r>
          </w:p>
        </w:tc>
        <w:tc>
          <w:tcPr>
            <w:tcW w:type="dxa" w:w="4910"/>
            <w:tcMar>
              <w:top w:w="100" w:type="dxa"/>
              <w:start w:w="100" w:type="dxa"/>
              <w:bottom w:w="100" w:type="dxa"/>
              <w:end w:w="100" w:type="dxa"/>
            </w:tcMar>
            <w:vAlign w:val="center"/>
          </w:tcPr>
          <w:p>
            <w:pPr>
              <w:spacing w:after="20" w:line="250" w:lineRule="auto"/>
            </w:pPr>
            <w:r>
              <w:rPr>
                <w:rFonts w:ascii="Aptos" w:hAnsi="Aptos" w:eastAsia="Aptos"/>
                <w:color w:val="202A33"/>
                <w:sz w:val="19"/>
              </w:rPr>
              <w:t>CLOSED_NEW_ENTRIES_SCOPED</w:t>
            </w:r>
          </w:p>
        </w:tc>
      </w:tr>
      <w:tr>
        <w:trPr>
          <w:cantSplit/>
        </w:trPr>
        <w:tc>
          <w:tcPr>
            <w:tcW w:type="dxa" w:w="180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UAT-S3-005</w:t>
            </w:r>
          </w:p>
        </w:tc>
        <w:tc>
          <w:tcPr>
            <w:tcW w:type="dxa" w:w="345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NEW_BROWSER_FINDING</w:t>
            </w:r>
          </w:p>
        </w:tc>
        <w:tc>
          <w:tcPr>
            <w:tcW w:type="dxa" w:w="491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OPEN_SCOPED_PRESENTATION</w:t>
            </w:r>
          </w:p>
        </w:tc>
      </w:tr>
      <w:tr>
        <w:trPr>
          <w:cantSplit/>
        </w:trPr>
        <w:tc>
          <w:tcPr>
            <w:tcW w:type="dxa" w:w="1800"/>
            <w:tcMar>
              <w:top w:w="100" w:type="dxa"/>
              <w:start w:w="100" w:type="dxa"/>
              <w:bottom w:w="100" w:type="dxa"/>
              <w:end w:w="100" w:type="dxa"/>
            </w:tcMar>
            <w:vAlign w:val="center"/>
          </w:tcPr>
          <w:p>
            <w:pPr>
              <w:spacing w:after="20" w:line="250" w:lineRule="auto"/>
            </w:pPr>
            <w:r>
              <w:rPr>
                <w:rFonts w:ascii="Aptos" w:hAnsi="Aptos" w:eastAsia="Aptos"/>
                <w:color w:val="202A33"/>
                <w:sz w:val="19"/>
              </w:rPr>
              <w:t>UAT-S4-006</w:t>
            </w:r>
          </w:p>
        </w:tc>
        <w:tc>
          <w:tcPr>
            <w:tcW w:type="dxa" w:w="3456"/>
            <w:tcMar>
              <w:top w:w="100" w:type="dxa"/>
              <w:start w:w="100" w:type="dxa"/>
              <w:bottom w:w="100" w:type="dxa"/>
              <w:end w:w="100" w:type="dxa"/>
            </w:tcMar>
            <w:vAlign w:val="center"/>
          </w:tcPr>
          <w:p>
            <w:pPr>
              <w:spacing w:after="20" w:line="250" w:lineRule="auto"/>
            </w:pPr>
            <w:r>
              <w:rPr>
                <w:rFonts w:ascii="Aptos" w:hAnsi="Aptos" w:eastAsia="Aptos"/>
                <w:color w:val="202A33"/>
                <w:sz w:val="19"/>
              </w:rPr>
              <w:t>NEW_BROWSER_FINDING</w:t>
            </w:r>
          </w:p>
        </w:tc>
        <w:tc>
          <w:tcPr>
            <w:tcW w:type="dxa" w:w="4910"/>
            <w:tcMar>
              <w:top w:w="100" w:type="dxa"/>
              <w:start w:w="100" w:type="dxa"/>
              <w:bottom w:w="100" w:type="dxa"/>
              <w:end w:w="100" w:type="dxa"/>
            </w:tcMar>
            <w:vAlign w:val="center"/>
          </w:tcPr>
          <w:p>
            <w:pPr>
              <w:spacing w:after="20" w:line="250" w:lineRule="auto"/>
            </w:pPr>
            <w:r>
              <w:rPr>
                <w:rFonts w:ascii="Aptos" w:hAnsi="Aptos" w:eastAsia="Aptos"/>
                <w:color w:val="202A33"/>
                <w:sz w:val="19"/>
              </w:rPr>
              <w:t>OPEN_SCOPED_LIFECYCLE_LABEL</w:t>
            </w:r>
          </w:p>
        </w:tc>
      </w:tr>
    </w:tbl>
    <w:p>
      <w:pPr>
        <w:spacing w:after="20"/>
      </w:pPr>
    </w:p>
    <w:p>
      <w:r>
        <w:t>UAT-S3-005 S3 MAJOR. Chromium muestra NOT_AVAILABLE y Funding STALE en la tabla informativa, aunque BC4/revisión n.º2 (ID6) es READY/current y los providers gobernados del Gate están vigentes. Es un hallazgo de presentación; no se afirma Funding realmente STALE. No se aplicó corrección de producto a esta observación en el corte.</w:t>
      </w:r>
    </w:p>
    <w:p>
      <w:r>
        <w:t>UAT-S4-006 S4 MINOR. Proposal4 conserva STRATEGIC_GATE_APPROVED e historia DECIDED APPROVE, pero su elegibilidad de entrada posterior muestra GATE07B_REWORK_REQUIRED / PROPOSAL_NOT_EVALUATED. No se borra la aprobación histórica ni se infiere otro bloqueo FID. No se aplicó corrección de producto a esta observación en el corte.</w:t>
      </w:r>
    </w:p>
    <w:p>
      <w:pPr>
        <w:pStyle w:val="Heading1"/>
      </w:pPr>
      <w:r>
        <w:t>24 Deuda técnica</w:t>
      </w:r>
    </w:p>
    <w:p>
      <w:r>
        <w:t>Persisten el bootstrap de esquema anterior a 0068 y los starters administrativos con semánticas distintas entre módulos. El harness histórico FID no acredita esta release y no se omite ni se marca xfail para aparentar éxito. Cualquier deprecación exige que el reemplazo moderno haya demostrado primero su cobertura. Las credenciales aisladas no deben usarse fuera de UAT.</w:t>
      </w:r>
    </w:p>
    <w:p>
      <w:pPr>
        <w:pStyle w:val="Heading1"/>
      </w:pPr>
      <w:r>
        <w:t>25 Decisión técnica de liberación</w:t>
      </w:r>
    </w:p>
    <w:p>
      <w:r>
        <w:t>STRATEGIC_MACROPROCESS_NOT_VALIDATED. Decisión NO GO. La presencia de código, un subset verde o el avance parcial no satisfacen los criterios completos de liberación.</w:t>
      </w:r>
    </w:p>
    <w:p>
      <w:pPr>
        <w:pStyle w:val="Heading1"/>
      </w:pPr>
      <w:r>
        <w:t>26 Estado de aceptación humana</w:t>
      </w:r>
    </w:p>
    <w:p>
      <w:r>
        <w:t>PENDING. No se infieren firmas de Sponsor, Enterprise, Portfolio, Project Controls, Risk, Permits, Finance, Investment Authority ni representantes de negocio. Las celdas de nombre, fecha y evidencia de firma se mantienen sin completar hasta que intervenga una persona autorizada.</w:t>
      </w:r>
    </w:p>
    <w:p>
      <w:pPr>
        <w:pStyle w:val="Heading1"/>
      </w:pPr>
      <w:r>
        <w:t>27 Siguiente recomendación</w:t>
      </w:r>
    </w:p>
    <w:p>
      <w:r>
        <w:t>REMEDIATE THE SMALLEST REMAINING STRATEGIC UAT BLOCKER</w:t>
      </w: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15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remediación de bloqueos UAT</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2</cp:revision>
  <dcterms:created xsi:type="dcterms:W3CDTF">2013-12-23T23:15:00Z</dcterms:created>
  <dcterms:modified xsi:type="dcterms:W3CDTF">2013-12-23T23:15:00Z</dcterms:modified>
  <cp:category/>
</cp:coreProperties>
</file>