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i w:val="0"/>
          <w:color w:val="168F91"/>
          <w:sz w:val="20"/>
        </w:rPr>
        <w:t>INFORME TECNICO</w:t>
      </w:r>
    </w:p>
    <w:p>
      <w:pPr>
        <w:spacing w:after="80"/>
      </w:pPr>
      <w:r>
        <w:rPr>
          <w:rFonts w:ascii="Calibri" w:hAnsi="Calibri"/>
          <w:b/>
          <w:i w:val="0"/>
          <w:color w:val="123044"/>
          <w:sz w:val="46"/>
        </w:rPr>
        <w:t>Gate 06A - Physical &amp; Geographic Workspace Configuration</w:t>
      </w:r>
    </w:p>
    <w:p>
      <w:pPr>
        <w:spacing w:after="300"/>
      </w:pPr>
      <w:r>
        <w:rPr>
          <w:rFonts w:ascii="Calibri" w:hAnsi="Calibri"/>
          <w:b w:val="0"/>
          <w:i w:val="0"/>
          <w:color w:val="5C6F7A"/>
          <w:sz w:val="26"/>
        </w:rPr>
        <w:t>Enterprise Structure &amp; Workspace Manager | ADMIN MODE</w:t>
      </w:r>
    </w:p>
    <w:p>
      <w:pPr>
        <w:spacing w:after="40"/>
      </w:pPr>
      <w:r>
        <w:rPr>
          <w:rFonts w:ascii="Calibri" w:hAnsi="Calibri"/>
          <w:b/>
          <w:i w:val="0"/>
          <w:color w:val="123044"/>
          <w:sz w:val="21"/>
        </w:rPr>
        <w:t xml:space="preserve">Aplicacion: </w:t>
      </w:r>
      <w:r>
        <w:rPr>
          <w:rFonts w:ascii="Calibri" w:hAnsi="Calibri"/>
          <w:b w:val="0"/>
          <w:i w:val="0"/>
          <w:color w:val="17232B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123044"/>
          <w:sz w:val="21"/>
        </w:rPr>
        <w:t xml:space="preserve">Repositorio: </w:t>
      </w:r>
      <w:r>
        <w:rPr>
          <w:rFonts w:ascii="Calibri" w:hAnsi="Calibri"/>
          <w:b w:val="0"/>
          <w:i w:val="0"/>
          <w:color w:val="17232B"/>
          <w:sz w:val="21"/>
        </w:rPr>
        <w:t>pypmis-ia-sas | rama main | base 0076e02</w:t>
      </w:r>
    </w:p>
    <w:p>
      <w:pPr>
        <w:spacing w:after="40"/>
      </w:pPr>
      <w:r>
        <w:rPr>
          <w:rFonts w:ascii="Calibri" w:hAnsi="Calibri"/>
          <w:b/>
          <w:i w:val="0"/>
          <w:color w:val="123044"/>
          <w:sz w:val="21"/>
        </w:rPr>
        <w:t xml:space="preserve">Fecha de cierre: </w:t>
      </w:r>
      <w:r>
        <w:rPr>
          <w:rFonts w:ascii="Calibri" w:hAnsi="Calibri"/>
          <w:b w:val="0"/>
          <w:i w:val="0"/>
          <w:color w:val="17232B"/>
          <w:sz w:val="21"/>
        </w:rPr>
        <w:t>12 de agosto de 2026</w:t>
      </w:r>
    </w:p>
    <w:p>
      <w:pPr>
        <w:spacing w:after="40"/>
      </w:pPr>
      <w:r>
        <w:rPr>
          <w:rFonts w:ascii="Calibri" w:hAnsi="Calibri"/>
          <w:b/>
          <w:i w:val="0"/>
          <w:color w:val="123044"/>
          <w:sz w:val="21"/>
        </w:rPr>
        <w:t xml:space="preserve">Entorno validado: </w:t>
      </w:r>
      <w:r>
        <w:rPr>
          <w:rFonts w:ascii="Calibri" w:hAnsi="Calibri"/>
          <w:b w:val="0"/>
          <w:i w:val="0"/>
          <w:color w:val="17232B"/>
          <w:sz w:val="21"/>
        </w:rPr>
        <w:t>Docker localhost: Frontend 5173 / API 8000 / PostgreSQL 16</w:t>
      </w:r>
    </w:p>
    <w:p>
      <w:pPr>
        <w:spacing w:after="40"/>
      </w:pPr>
      <w:r>
        <w:rPr>
          <w:rFonts w:ascii="Calibri" w:hAnsi="Calibri"/>
          <w:b/>
          <w:i w:val="0"/>
          <w:color w:val="123044"/>
          <w:sz w:val="21"/>
        </w:rPr>
        <w:t xml:space="preserve">Estado: </w:t>
      </w:r>
      <w:r>
        <w:rPr>
          <w:rFonts w:ascii="Calibri" w:hAnsi="Calibri"/>
          <w:b w:val="0"/>
          <w:i w:val="0"/>
          <w:color w:val="17232B"/>
          <w:sz w:val="21"/>
        </w:rPr>
        <w:t>READY_FOR_PHYSICAL_WORKSPACE_CREATION_PROCESSES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shd w:fill="E7F5ED"/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7F5A"/>
                <w:sz w:val="18"/>
              </w:rPr>
              <w:t>DECISION DE CIERRE</w:t>
              <w:br/>
            </w:r>
            <w:r>
              <w:rPr>
                <w:rFonts w:ascii="Calibri" w:hAnsi="Calibri"/>
                <w:b/>
                <w:i w:val="0"/>
                <w:color w:val="123044"/>
                <w:sz w:val="22"/>
              </w:rPr>
              <w:t>Gate 06A completado. Se configuraron contratos gobernados sin crear instancias fisicas reales.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Resumen ejecutivo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Se amplió Enterprise Workspace Structure con una rama física/geográfica configurable para REGION, DISTRICT, SITE, PROPERTY, FACILITY y WAREHOUSE. LINEAR_ASSET quedó reservado e inactivo, mientras ASSET permanece explícitamente fuera de EWS como futuro registro operacional de Asset Manager.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La implementación reutiliza AdminConfiguration, EnterpriseWorkspace, AdminNumberSequence, el motor jerárquico de Record Code, RBAC, SecurityEvent y la infraestructura de revisiones. No se introdujo un motor paralelo de jerarquía, plantillas, numeración, clasificación o auditoría.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La interfaz ADMIN MODE incorpora un panel único parametrizado por Workspace Type con General, Attributes, Composition, Templates, Numbering, Policy y Preview. Las mutaciones usan autorización, If-Match y auditoría; el preview es estrictamente no persistente.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Inspección REUSE BEFORE CREATE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Capacidad existente</w:t>
            </w:r>
          </w:p>
        </w:tc>
        <w:tc>
          <w:tcPr>
            <w:tcW w:type="dxa" w:w="666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Decisión Gate 06A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Workspace Types / Composition Rules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Extender el catálogo existente y versionar revisiones publicadas.</w:t>
            </w:r>
          </w:p>
        </w:tc>
      </w:tr>
      <w:tr>
        <w:tc>
          <w:tcPr>
            <w:tcW w:type="dxa" w:w="2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AdminConfiguration</w:t>
            </w:r>
          </w:p>
        </w:tc>
        <w:tc>
          <w:tcPr>
            <w:tcW w:type="dxa" w:w="6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Persistir tipos, templates, numbering y policies sin tablas paralelas.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EnterpriseWorkspace / Record Code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Reutilizar identidad estable y cálculo jerárquico vigente.</w:t>
            </w:r>
          </w:p>
        </w:tc>
      </w:tr>
      <w:tr>
        <w:tc>
          <w:tcPr>
            <w:tcW w:type="dxa" w:w="2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AdminNumberSequence</w:t>
            </w:r>
          </w:p>
        </w:tc>
        <w:tc>
          <w:tcPr>
            <w:tcW w:type="dxa" w:w="6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Secuencias tenant-scoped con bloqueo transaccional y no reuse.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RBAC / SecurityEvent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Añadir permisos faltantes y emitir eventos tipados Gate 06A.</w:t>
            </w:r>
          </w:p>
        </w:tc>
      </w:tr>
      <w:tr>
        <w:tc>
          <w:tcPr>
            <w:tcW w:type="dxa" w:w="2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Enterprise Explorer / Links</w:t>
            </w:r>
          </w:p>
        </w:tc>
        <w:tc>
          <w:tcPr>
            <w:tcW w:type="dxa" w:w="6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Preparar contratos físicos y relaciones cruzadas sin poblar datos reales.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Arquitectura física y geográfica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La estructura corporativa y la estructura física permanecen separadas pero coexisten bajo ENTERPRISE. La profundidad geográfica es capacidad permitida, no una obligación: un tenant puede ir directamente a PROPERTY o incorporar REGION, DISTRICT y SITE según sus Composition Rules.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ENTERPRISE -&gt; REGION -&gt; DISTRICT -&gt; SITE -&gt; PROPERTY -&gt; FACILITY / WAREHOUSE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ENTERPRISE -&gt; REGION -&gt; PROPERTY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ENTERPRISE -&gt; PROPERTY -&gt; FACILITY / WAREHOUSE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PROJECT se relaciona con PROPERTY/FACILITY/WAREHOUSE mediante links, no por subordinación jerárquica.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Workspace Types finales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600"/>
        <w:gridCol w:w="4260"/>
        <w:gridCol w:w="1800"/>
      </w:tblGrid>
      <w:tr>
        <w:trPr>
          <w:tblHeader/>
        </w:trPr>
        <w:tc>
          <w:tcPr>
            <w:tcW w:type="dxa" w:w="17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16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426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Identidad / propósito</w:t>
            </w:r>
          </w:p>
        </w:tc>
        <w:tc>
          <w:tcPr>
            <w:tcW w:type="dxa" w:w="18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Business No.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REGION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Activo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Agrupación geográfica u operacional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REG-00001</w:t>
            </w:r>
          </w:p>
        </w:tc>
      </w:tr>
      <w:t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DISTRICT</w:t>
            </w:r>
          </w:p>
        </w:tc>
        <w:tc>
          <w:tcPr>
            <w:tcW w:type="dxa" w:w="1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Activo opcional</w:t>
            </w:r>
          </w:p>
        </w:tc>
        <w:tc>
          <w:tcPr>
            <w:tcW w:type="dxa" w:w="42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Subdivisión dentro de Region</w:t>
            </w:r>
          </w:p>
        </w:tc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DST-00001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SITE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Activo opcional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Emplazamiento, campus o complejo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SIT-00001</w:t>
            </w:r>
          </w:p>
        </w:tc>
      </w:tr>
      <w:t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PROPERTY</w:t>
            </w:r>
          </w:p>
        </w:tc>
        <w:tc>
          <w:tcPr>
            <w:tcW w:type="dxa" w:w="1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Activo</w:t>
            </w:r>
          </w:p>
        </w:tc>
        <w:tc>
          <w:tcPr>
            <w:tcW w:type="dxa" w:w="42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Real Estate con identidad y gobierno propios</w:t>
            </w:r>
          </w:p>
        </w:tc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PYP-PROP-00001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FACILITY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Activo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Instalación física u operacional independiente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PYP-FAC-00001</w:t>
            </w:r>
          </w:p>
        </w:tc>
      </w:tr>
      <w:t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WAREHOUSE</w:t>
            </w:r>
          </w:p>
        </w:tc>
        <w:tc>
          <w:tcPr>
            <w:tcW w:type="dxa" w:w="1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Activo</w:t>
            </w:r>
          </w:p>
        </w:tc>
        <w:tc>
          <w:tcPr>
            <w:tcW w:type="dxa" w:w="42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Workspace especializado de almacén</w:t>
            </w:r>
          </w:p>
        </w:tc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PYP-WH-00001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LINEAR_ASSET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Reservado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Contrato futuro; no creable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No aplica</w:t>
            </w:r>
          </w:p>
        </w:tc>
      </w:tr>
      <w:t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ASSET</w:t>
            </w:r>
          </w:p>
        </w:tc>
        <w:tc>
          <w:tcPr>
            <w:tcW w:type="dxa" w:w="1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Fuera de EWS</w:t>
            </w:r>
          </w:p>
        </w:tc>
        <w:tc>
          <w:tcPr>
            <w:tcW w:type="dxa" w:w="42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Registro futuro de Asset Manager</w:t>
            </w:r>
          </w:p>
        </w:tc>
        <w:tc>
          <w:tcPr>
            <w:tcW w:type="dxa" w:w="1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No aplica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Composition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Parent</w:t>
            </w:r>
          </w:p>
        </w:tc>
        <w:tc>
          <w:tcPr>
            <w:tcW w:type="dxa" w:w="726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Allowed physical children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ENTERPRISE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REGION, SITE, PROPERTY, FACILITY, WAREHOUSE</w:t>
            </w:r>
          </w:p>
        </w:tc>
      </w:tr>
      <w:tr>
        <w:tc>
          <w:tcPr>
            <w:tcW w:type="dxa" w:w="2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REGION</w:t>
            </w:r>
          </w:p>
        </w:tc>
        <w:tc>
          <w:tcPr>
            <w:tcW w:type="dxa" w:w="72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REGION, DISTRICT, SITE, PROPERTY, FACILITY, WAREHOUSE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DISTRICT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SITE, PROPERTY, FACILITY, WAREHOUSE</w:t>
            </w:r>
          </w:p>
        </w:tc>
      </w:tr>
      <w:tr>
        <w:tc>
          <w:tcPr>
            <w:tcW w:type="dxa" w:w="2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SITE</w:t>
            </w:r>
          </w:p>
        </w:tc>
        <w:tc>
          <w:tcPr>
            <w:tcW w:type="dxa" w:w="72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PROPERTY, FACILITY, WAREHOUSE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PROPERTY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FACILITY, WAREHOUSE</w:t>
            </w:r>
          </w:p>
        </w:tc>
      </w:tr>
      <w:tr>
        <w:tc>
          <w:tcPr>
            <w:tcW w:type="dxa" w:w="2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FACILITY</w:t>
            </w:r>
          </w:p>
        </w:tc>
        <w:tc>
          <w:tcPr>
            <w:tcW w:type="dxa" w:w="72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WAREHOUSE (configurable)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WAREHOUSE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Sin hijos en Gate 06A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La actualización física preserva los hijos no físicos existentes de ENTERPRISE. El backend valida una matriz máxima por parent; por tanto, un administrador no puede introducir relaciones ajenas al contrato Gate 06A.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PROPERTY = Real Estate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shd w:fill="EEF5FA"/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REGLA TERMINOLÓGICA</w:t>
              <w:br/>
            </w:r>
            <w:r>
              <w:rPr>
                <w:rFonts w:ascii="Calibri" w:hAnsi="Calibri"/>
                <w:b/>
                <w:i w:val="0"/>
                <w:color w:val="123044"/>
                <w:sz w:val="22"/>
              </w:rPr>
              <w:t>El nombre visible permanece PROPERTY. Real Estate describe el dominio; no reemplaza al Workspace Type.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PROPERTY representa predio, inmueble, lote o unidad inmobiliaria. FACILITY sigue siendo una instalación administrada y WAREHOUSE un Workspace independiente especializado. Esta separación evita confundir titularidad inmobiliaria, operación de instalaciones e inventario futuro.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Atributos configurados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766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Atributos iniciales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REGION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Name, Code, Description, Country/Countries, Responsible Area, Responsible, Status</w:t>
            </w:r>
          </w:p>
        </w:tc>
      </w:tr>
      <w:t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DISTRICT</w:t>
            </w:r>
          </w:p>
        </w:tc>
        <w:tc>
          <w:tcPr>
            <w:tcW w:type="dxa" w:w="7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Name, Code, Description, Region, Responsible, Status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SITE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Name, Code, Description, Country, State, City, Address, Postal Code, Lat/Long, Responsible, Status</w:t>
            </w:r>
          </w:p>
        </w:tc>
      </w:tr>
      <w:t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PROPERTY</w:t>
            </w:r>
          </w:p>
        </w:tc>
        <w:tc>
          <w:tcPr>
            <w:tcW w:type="dxa" w:w="7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Name/Number/Type, tenure/legal, address/geo, areas, dates/values, responsible, manager, status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FACILITY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Name/Number/Type, parent, responsible, status, commissioning, areas/capacity, criticality, address/geo</w:t>
            </w:r>
          </w:p>
        </w:tc>
      </w:tr>
      <w:tr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WAREHOUSE</w:t>
            </w:r>
          </w:p>
        </w:tc>
        <w:tc>
          <w:tcPr>
            <w:tcW w:type="dxa" w:w="7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Name/Number/Type, parent, manager, status, address, capacity/unit, criticality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ASSET y LINEAR_ASSET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ASSET no se registra como Workspace Type. El modelo futuro previsto es FACILITY Workspace -&gt; Asset Manager -&gt; Asset Records. Gate 06A no crea Asset Manager, registros Asset, mantenimiento, espacio, utilities ni condition assessment.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LINEAR_ASSET sí se registra como tipo reservado/inactivo para conservar un contrato futuro para carreteras, ferrocarriles, tuberías, líneas y corredores. No admite templates, operación, creación ni preview.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Numbering Rules y Record Code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Se crearon seis Numbering Rules tenant-scoped. El preview lee next_value sin modificarlo; la emisión usa el registro AdminNumberSequence con bloqueo transaccional, incremento monotónico y no reutilización. PostgreSQL E2E validó dos emisiones concurrentes únicas.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Record Code permanece separado de Business Number: se calcula con el motor jerárquico vigente, es único por tenant y no actúa como PK/FK. id y external_key permanecen estables. El QA persistente produjo el preview ilustrativo 01.05 y PYP-PROP-00001 sin consumir secuencia.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2E74B5"/>
          <w:sz w:val="32"/>
        </w:rPr>
        <w:t>10. Templates, módulos y Creation Policies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000"/>
        <w:gridCol w:w="1760"/>
      </w:tblGrid>
      <w:tr>
        <w:trPr>
          <w:tblHeader/>
        </w:trPr>
        <w:tc>
          <w:tcPr>
            <w:tcW w:type="dxa" w:w="26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Objeto</w:t>
            </w:r>
          </w:p>
        </w:tc>
        <w:tc>
          <w:tcPr>
            <w:tcW w:type="dxa" w:w="50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Configuración</w:t>
            </w:r>
          </w:p>
        </w:tc>
        <w:tc>
          <w:tcPr>
            <w:tcW w:type="dxa" w:w="176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PYP-PROP-GENERAL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Template general Property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DRAFT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PYP-FAC-GENERAL</w:t>
            </w:r>
          </w:p>
        </w:tc>
        <w:tc>
          <w:tcPr>
            <w:tcW w:type="dxa" w:w="5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Template general Facility</w:t>
            </w:r>
          </w:p>
        </w:tc>
        <w:tc>
          <w:tcPr>
            <w:tcW w:type="dxa" w:w="17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DRAFT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PYP-FAC-BUILDING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Template Facility Building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DRAFT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PYP-FAC-INDUSTRIAL</w:t>
            </w:r>
          </w:p>
        </w:tc>
        <w:tc>
          <w:tcPr>
            <w:tcW w:type="dxa" w:w="5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Template Facility Industrial</w:t>
            </w:r>
          </w:p>
        </w:tc>
        <w:tc>
          <w:tcPr>
            <w:tcW w:type="dxa" w:w="17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DRAFT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PYP-WH-GENERAL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Template general Warehouse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DRAFT</w:t>
            </w:r>
          </w:p>
        </w:tc>
      </w:tr>
      <w:tr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Policies</w:t>
            </w:r>
          </w:p>
        </w:tc>
        <w:tc>
          <w:tcPr>
            <w:tcW w:type="dxa" w:w="5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PROPERTY, FACILITY y WAREHOUSE</w:t>
            </w:r>
          </w:p>
        </w:tc>
        <w:tc>
          <w:tcPr>
            <w:tcW w:type="dxa" w:w="17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3 DRAFT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Los módulos ya existentes se validan contra el catálogo publicado. Los dominios futuros (Lease, Asset Manager, Maintenance, Inventory, etc.) quedan como planned y no se crean como Module Definitions ficticias.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Las policies incluyen Allowed Parent Types, Template/Responsible/Approval Required, Auto Business Number, Auto Record Code, Initial Status y Activation Rule. Gate 06A no ejecuta Creation Processes.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Contrato de relaciones cruzadas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PROJECT &lt;-&gt; PROPERTY mediante LOCATED_AT.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PROJECT &lt;-&gt; FACILITY mediante LOCATED_AT.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PROJECT &lt;-&gt; WAREHOUSE mediante SERVES.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Hierarchy y Cross Relationships se mantienen como conceptos y persistencias separadas.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ADMIN UI y Preview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Se añadió Physical Workspaces dentro de Enterprise Structure Configuration conservando CompactModuleHeader. El componente parametrizado ofrece tarjetas de los seis tipos activos y LINEAR_ASSET, secciones compartidas y controles de edición para composición, numeración y policies.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El preview recibe Workspace Type, Parent, Template y atributos mínimos; devuelve Allowed, Record Code, Business Number, clasificaciones, módulos, estado, issues, warnings y persisted=false. La UI no ofrece materialización.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Enterprise Explorer y contratos operativos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Enterprise Explorer conserva el CORE publicado y los Workspaces operativos existentes. Los tests sintéticos cubren la jerarquía Enterprise/Region/District/Site/Property/Facility/Warehouse sin crear estos nodos en el tenant persistente. El contrato evita duplicar estructura CORE y operación futura.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RBAC y auditoría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716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Implementación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RBAC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7 permisos admin.enterprise_structure.*.manage; tenant scope y roles existentes.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Concurrencia</w:t>
            </w:r>
          </w:p>
        </w:tc>
        <w:tc>
          <w:tcPr>
            <w:tcW w:type="dxa" w:w="71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If-Match/ETag para tipo, composición, numbering, policy y template.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Four-Eyes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El creador de un template no puede publicarlo; requiere actor distinto.</w:t>
            </w:r>
          </w:p>
        </w:tc>
      </w:tr>
      <w:tr>
        <w:tc>
          <w:tcPr>
            <w:tcW w:type="dxa" w:w="22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Auditoría</w:t>
            </w:r>
          </w:p>
        </w:tc>
        <w:tc>
          <w:tcPr>
            <w:tcW w:type="dxa" w:w="71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SecurityEvent con eventos de tipos, composición, template, numbering y policy.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Cross-tenant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Consultas y mutaciones filtran tenant_id; prueba aislada devuelve 404.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15. Migración y despliegue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La revisión Alembic 20260812_0036 registra el contrato Gate 06A como marcador reversible. No crea tablas nuevas porque toda la persistencia reutiliza esquemas existentes. En PostgreSQL efímero se ejecutó upgrade 0035-&gt;0036, downgrade 0036-&gt;0035 y upgrade final. El localhost persistente quedó en 0036 head.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Servicios en ejecución: frontend http://127.0.0.1:5173/app, API http://127.0.0.1:8000, PostgreSQL 16 y Redis. El API fue reconstruido y reportó health=healthy.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16. Evidencia de pruebas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1700"/>
        <w:gridCol w:w="5410"/>
      </w:tblGrid>
      <w:tr>
        <w:trPr>
          <w:tblHeader/>
        </w:trPr>
        <w:tc>
          <w:tcPr>
            <w:tcW w:type="dxa" w:w="225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Capa</w:t>
            </w:r>
          </w:p>
        </w:tc>
        <w:tc>
          <w:tcPr>
            <w:tcW w:type="dxa" w:w="17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</w:t>
            </w:r>
          </w:p>
        </w:tc>
        <w:tc>
          <w:tcPr>
            <w:tcW w:type="dxa" w:w="541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Backend focal Gate 06A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39 PASS / 1 SKIP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Skip esperado de concurrencia en SQLite.</w:t>
            </w:r>
          </w:p>
        </w:tc>
      </w:tr>
      <w:tr>
        <w:tc>
          <w:tcPr>
            <w:tcW w:type="dxa" w:w="22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Backend Gate 05A-06A</w:t>
            </w:r>
          </w:p>
        </w:tc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165 PASS / 4 SKIP</w:t>
            </w:r>
          </w:p>
        </w:tc>
        <w:tc>
          <w:tcPr>
            <w:tcW w:type="dxa" w:w="5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Sin regresión del ciclo Project.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Backend integral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386 PASS / 5 SKIP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Un test Gate06A se ajustó a estado inicial; no fallo de producto.</w:t>
            </w:r>
          </w:p>
        </w:tc>
      </w:tr>
      <w:tr>
        <w:tc>
          <w:tcPr>
            <w:tcW w:type="dxa" w:w="22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PostgreSQL E2E</w:t>
            </w:r>
          </w:p>
        </w:tc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40 PASS</w:t>
            </w:r>
          </w:p>
        </w:tc>
        <w:tc>
          <w:tcPr>
            <w:tcW w:type="dxa" w:w="5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Concurrencia, fixtures, Four-Eyes y migraciones.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Frontend Gate 06A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6 PASS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Tipos, Property, composición, numbering, preview y reserved.</w:t>
            </w:r>
          </w:p>
        </w:tc>
      </w:tr>
      <w:tr>
        <w:tc>
          <w:tcPr>
            <w:tcW w:type="dxa" w:w="22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Frontend integral</w:t>
            </w:r>
          </w:p>
        </w:tc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173 PASS</w:t>
            </w:r>
          </w:p>
        </w:tc>
        <w:tc>
          <w:tcPr>
            <w:tcW w:type="dxa" w:w="5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1 timeout histórico pasó aislado en 21 s.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Build estático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TypeScript + Vite, 2347 módulos.</w:t>
            </w:r>
          </w:p>
        </w:tc>
      </w:tr>
      <w:tr>
        <w:tc>
          <w:tcPr>
            <w:tcW w:type="dxa" w:w="225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Calidad</w:t>
            </w:r>
          </w:p>
        </w:tc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  <w:tc>
          <w:tcPr>
            <w:tcW w:type="dxa" w:w="541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Ruff; ESLint 0 errors / 9 warnings históricas; Prettier PASS.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Browser localhost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Preview real y reserved sin errores de consola.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17. Nota de regresión integral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La primera suite integral encontró que el importador histórico trataba los nuevos tipos físicos y warehouse-type como prerrequisitos obligatorios de CORE. Se corrigió mediante CORE_GOVERNANCE_WORKSPACE_TYPES/CATEGORIES: Gate 06A puede configurarse operacionalmente sin forzar una nueva revisión CORE.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También se aisló el directorio temporal de pytest por una denegación de acceso del host Windows. Este es un riesgo ambiental, no funcional. La repetición integral ejecutó 391 casos efectivos: 386 pass y 5 skip.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18. Protección de la línea base real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600"/>
        <w:gridCol w:w="2600"/>
        <w:gridCol w:w="1060"/>
      </w:tblGrid>
      <w:tr>
        <w:trPr>
          <w:tblHeader/>
        </w:trPr>
        <w:tc>
          <w:tcPr>
            <w:tcW w:type="dxa" w:w="31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Invariante</w:t>
            </w:r>
          </w:p>
        </w:tc>
        <w:tc>
          <w:tcPr>
            <w:tcW w:type="dxa" w:w="26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Antes</w:t>
            </w:r>
          </w:p>
        </w:tc>
        <w:tc>
          <w:tcPr>
            <w:tcW w:type="dxa" w:w="26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Después</w:t>
            </w:r>
          </w:p>
        </w:tc>
        <w:tc>
          <w:tcPr>
            <w:tcW w:type="dxa" w:w="106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Tenant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1 · P&amp;P Ingeniería y Proyectos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Sin cambio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CORE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ES-PYP-CORE-RECONCILED-20260809 published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Sin cambio; drafts=0</w:t>
            </w:r>
          </w:p>
        </w:tc>
        <w:tc>
          <w:tcPr>
            <w:tcW w:type="dxa" w:w="10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Workspaces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14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14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Project Workspaces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1 · PRJ-PPMIS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1 · PRJ-PPMIS</w:t>
            </w:r>
          </w:p>
        </w:tc>
        <w:tc>
          <w:tcPr>
            <w:tcW w:type="dxa" w:w="10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Instancias físicas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0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Project sequence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next_value=1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next_value=1</w:t>
            </w:r>
          </w:p>
        </w:tc>
        <w:tc>
          <w:tcPr>
            <w:tcW w:type="dxa" w:w="10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Project templates DRAFT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5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Project Creation Requests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0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0</w:t>
            </w:r>
          </w:p>
        </w:tc>
        <w:tc>
          <w:tcPr>
            <w:tcW w:type="dxa" w:w="10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Project Initializations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0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Templates físicos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0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5 DRAFT / 0 published</w:t>
            </w:r>
          </w:p>
        </w:tc>
        <w:tc>
          <w:tcPr>
            <w:tcW w:type="dxa" w:w="10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Policies físicas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3 DRAFT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La configuración nueva sí persiste metadatos gobernados (tipos, rules, templates DRAFT y policies DRAFT), como exige el gate. No persiste REGION, DISTRICT, SITE, PROPERTY, FACILITY o WAREHOUSE ni publica templates físicos.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19. Riesgos y deuda pendiente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Los Creation Processes de Property, Facility y Warehouse deben ser un gate separado con idempotencia, aprobación y materialización explícitas.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Los módulos planned no deben habilitarse hasta existir sus Module Definitions y permisos operativos.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La warnings histórica de React en BimIfcModelViewer y ProjectCreationWorkspace no fue introducida por Gate 06A; conviene sanearla en deuda técnica.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El timeout histórico de AppFlow es sensible a carga paralela; se recomienda ajustar aislamiento o presupuesto temporal en CI sin ocultar fallos funcionales.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17232B"/>
          <w:sz w:val="20"/>
        </w:rPr>
        <w:t>Asset Manager, Inventory y Linear Assets permanecen excluidos y no deben iniciarse implícitamente.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20. Recomendación del siguiente gate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Siguiente gate recomendado: Property/Facility/Warehouse Creation Processes. Debe reutilizar el patrón Request -&gt; Review -&gt; Approve -&gt; Materialize ya consolidado para Project, con policies 06A, Four-Eyes, secuencias, preview no persistente e invariantes de baseline. No iniciar Asset Manager ni Inventory dentro de ese gate.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2E74B5"/>
          <w:sz w:val="32"/>
        </w:rPr>
        <w:t>21. Matriz de aceptación Gate 06A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700"/>
        <w:gridCol w:w="1660"/>
      </w:tblGrid>
      <w:tr>
        <w:trPr>
          <w:tblHeader/>
        </w:trPr>
        <w:tc>
          <w:tcPr>
            <w:tcW w:type="dxa" w:w="770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1660"/>
            <w:shd w:fill="123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7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REGION / DISTRICT / SITE configurados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PROPERTY = Real Estate</w:t>
            </w:r>
          </w:p>
        </w:tc>
        <w:tc>
          <w:tcPr>
            <w:tcW w:type="dxa" w:w="1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FACILITY y WAREHOUSE independientes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LINEAR_ASSET reserved / ASSET excluded</w:t>
            </w:r>
          </w:p>
        </w:tc>
        <w:tc>
          <w:tcPr>
            <w:tcW w:type="dxa" w:w="1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Geographic hierarchy y Composition Rules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Record Code y Business Numbering</w:t>
            </w:r>
          </w:p>
        </w:tc>
        <w:tc>
          <w:tcPr>
            <w:tcW w:type="dxa" w:w="1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Templates DRAFT y Creation Policies DRAFT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Attributes y módulo planned contract</w:t>
            </w:r>
          </w:p>
        </w:tc>
        <w:tc>
          <w:tcPr>
            <w:tcW w:type="dxa" w:w="1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Preview non-persistent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Enterprise Explorer / Cross Relationships</w:t>
            </w:r>
          </w:p>
        </w:tc>
        <w:tc>
          <w:tcPr>
            <w:tcW w:type="dxa" w:w="1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RBAC / Audit / Four-Eyes / cross-tenant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Alembic / PostgreSQL E2E / localhost</w:t>
            </w:r>
          </w:p>
        </w:tc>
        <w:tc>
          <w:tcPr>
            <w:tcW w:type="dxa" w:w="16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  <w:tr>
        <w:tc>
          <w:tcPr>
            <w:tcW w:type="dxa" w:w="7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Real baseline unchanged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32B"/>
                <w:sz w:val="18"/>
              </w:rPr>
              <w:t>PASS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shd w:fill="E7F5ED"/>
            <w:tcBorders>
              <w:top w:val="single" w:sz="5" w:color="D9E2E7"/>
              <w:left w:val="single" w:sz="5" w:color="D9E2E7"/>
              <w:bottom w:val="single" w:sz="5" w:color="D9E2E7"/>
              <w:right w:val="single" w:sz="5" w:color="D9E2E7"/>
              <w:insideH w:val="single" w:sz="5" w:color="D9E2E7"/>
              <w:insideV w:val="single" w:sz="5" w:color="D9E2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7F5A"/>
                <w:sz w:val="18"/>
              </w:rPr>
              <w:t>ESTADO FINAL EXCLUSIVO</w:t>
              <w:br/>
            </w:r>
            <w:r>
              <w:rPr>
                <w:rFonts w:ascii="Calibri" w:hAnsi="Calibri"/>
                <w:b/>
                <w:i w:val="0"/>
                <w:color w:val="123044"/>
                <w:sz w:val="22"/>
              </w:rPr>
              <w:t>READY_FOR_PHYSICAL_WORKSPACE_CREATION_PROCESSES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32B"/>
          <w:sz w:val="21"/>
        </w:rPr>
        <w:t>Gate 06A termina aquí. No se iniciaron Creation Processes, Asset Manager, Inventory Manager ni operación de Linear Assets.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F7A"/>
        <w:sz w:val="16"/>
      </w:rPr>
      <w:t>Configuracion fisica y geografica  |  12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C6F7A"/>
        <w:sz w:val="17"/>
      </w:rPr>
      <w:t>P&amp;Pmis Construction AI  |  Informe tecnico Gate 06A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0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06A - Physical Workspace Configuration</dc:title>
  <dc:subject>P&amp;Pmis Construction AI</dc:subject>
  <dc:creator>P&amp;Pmis Engineering</dc:creator>
  <cp:keywords>Gate 06A, Enterprise Structure, Property, Facility, Warehouse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