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</w:t>
      </w:r>
    </w:p>
    <w:p>
      <w:pPr>
        <w:pStyle w:val="Subtitle"/>
      </w:pPr>
      <w:r>
        <w:t>Gate 06B · Physical Workspace Creation Process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Tenant: </w:t>
      </w:r>
      <w:r>
        <w:rPr>
          <w:rFonts w:ascii="Calibri" w:hAnsi="Calibri"/>
          <w:i w:val="0"/>
          <w:color w:val="16222B"/>
          <w:sz w:val="22"/>
        </w:rPr>
        <w:t>P&amp;P Ingeniería y Proyectos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Fecha de cierre: </w:t>
      </w:r>
      <w:r>
        <w:rPr>
          <w:rFonts w:ascii="Calibri" w:hAnsi="Calibri"/>
          <w:i w:val="0"/>
          <w:color w:val="16222B"/>
          <w:sz w:val="22"/>
        </w:rPr>
        <w:t>13 de agosto de 2026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Alcance: </w:t>
      </w:r>
      <w:r>
        <w:rPr>
          <w:rFonts w:ascii="Calibri" w:hAnsi="Calibri"/>
          <w:i w:val="0"/>
          <w:color w:val="16222B"/>
          <w:sz w:val="22"/>
        </w:rPr>
        <w:t>PROPERTY · FACILITY · WAREHOUSE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Estado: </w:t>
      </w:r>
      <w:r>
        <w:rPr>
          <w:rFonts w:ascii="Calibri" w:hAnsi="Calibri"/>
          <w:i w:val="0"/>
          <w:color w:val="16222B"/>
          <w:sz w:val="22"/>
        </w:rPr>
        <w:t>READY_FOR_PHYSICAL_WORKSPACE_INITIALIZATION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Siguiente gate: </w:t>
      </w:r>
      <w:r>
        <w:rPr>
          <w:rFonts w:ascii="Calibri" w:hAnsi="Calibri"/>
          <w:i w:val="0"/>
          <w:color w:val="16222B"/>
          <w:sz w:val="22"/>
        </w:rPr>
        <w:t>Gate 06C · Initialization &amp; Activation (no iniciado)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7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RESULTADO DE CIERRE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Se implementó un solo proceso parametrizado por workspace_type_code para PROPERTY, FACILITY y WAREHOUSE. La materialización transaccional produce un enterprise_workspace PENDING; no inicializa ni activa el Workspace.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Resumen ejecutivo</w:t>
      </w:r>
    </w:p>
    <w:p>
      <w:r>
        <w:t>Gate 06B amplía la arquitectura abierta existente con un proceso gobernado, tenant-scoped y reutilizable para solicitar, revisar, aprobar y materializar Workspaces físicos operativos. La identidad canónica continúa en enterprise_workspaces; la nueva entidad conserva únicamente el ciclo de solicitud, snapshots, hashes, decisión, trazabilidad y vínculo hacia el Workspace final.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64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Motor único</w:t>
            </w:r>
          </w:p>
        </w:tc>
        <w:tc>
          <w:tcPr>
            <w:tcW w:type="dxa" w:w="6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PROPERTY / FACILITY / WAREHOUSE</w:t>
            </w:r>
          </w:p>
        </w:tc>
      </w:tr>
      <w:t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Tipos excluidos</w:t>
            </w:r>
          </w:p>
        </w:tc>
        <w:tc>
          <w:tcPr>
            <w:tcW w:type="dxa" w:w="6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REGION / DISTRICT / SITE / LINEAR_ASSET / ASSET / PROJECT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Preview</w:t>
            </w:r>
          </w:p>
        </w:tc>
        <w:tc>
          <w:tcPr>
            <w:tcW w:type="dxa" w:w="6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no persistente; no consume Business Number</w:t>
            </w:r>
          </w:p>
        </w:tc>
      </w:tr>
      <w:t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Gobierno</w:t>
            </w:r>
          </w:p>
        </w:tc>
        <w:tc>
          <w:tcPr>
            <w:tcW w:type="dxa" w:w="6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RBAC, Four-Eyes, ETag/If-Match, snapshots y hashes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Materialización</w:t>
            </w:r>
          </w:p>
        </w:tc>
        <w:tc>
          <w:tcPr>
            <w:tcW w:type="dxa" w:w="6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una transacción; Workspace PENDING</w:t>
            </w:r>
          </w:p>
        </w:tc>
      </w:tr>
      <w:t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Concurrencia</w:t>
            </w:r>
          </w:p>
        </w:tc>
        <w:tc>
          <w:tcPr>
            <w:tcW w:type="dxa" w:w="6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Business Numbers y Record Codes únicos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Idempotencia</w:t>
            </w:r>
          </w:p>
        </w:tc>
        <w:tc>
          <w:tcPr>
            <w:tcW w:type="dxa" w:w="6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segundo materialize = ALREADY_CREATED / 0 mutaciones</w:t>
            </w:r>
          </w:p>
        </w:tc>
      </w:tr>
      <w:t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 E2E</w:t>
            </w:r>
          </w:p>
        </w:tc>
        <w:tc>
          <w:tcPr>
            <w:tcW w:type="dxa" w:w="6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31 pruebas y migración reversible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</w:t>
            </w:r>
          </w:p>
        </w:tc>
        <w:tc>
          <w:tcPr>
            <w:tcW w:type="dxa" w:w="6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182/182 tests; build, lint y Prettier</w:t>
            </w:r>
          </w:p>
        </w:tc>
      </w:tr>
      <w:t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Baseline real</w:t>
            </w:r>
          </w:p>
        </w:tc>
        <w:tc>
          <w:tcPr>
            <w:tcW w:type="dxa" w:w="6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14 Workspaces; 0 solicitudes físicas; secuencias sin consumo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REUSE BEFORE CREATE</w:t>
      </w:r>
    </w:p>
    <w:p>
      <w:r>
        <w:t>Se inspeccionaron y reutilizaron las capacidades probadas en Gates 05B, 05C y 06A. No se generalizó ProjectCreationRequest porque habría mezclado semánticas de Project con dominios físicos; en su lugar se creó una única entidad física y un único servicio parametrizado.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Capacidad reutilizada</w:t>
            </w:r>
          </w:p>
        </w:tc>
        <w:tc>
          <w:tcPr>
            <w:tcW w:type="dxa" w:w="65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Uso en Gate 06B</w:t>
            </w:r>
          </w:p>
        </w:tc>
      </w:tr>
      <w:tr>
        <w:tc>
          <w:tcPr>
            <w:tcW w:type="dxa" w:w="2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enterprise_workspaces</w:t>
            </w:r>
          </w:p>
        </w:tc>
        <w:tc>
          <w:tcPr>
            <w:tcW w:type="dxa" w:w="6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Identidad canónica y jerarquía del Workspace final</w:t>
            </w:r>
          </w:p>
        </w:tc>
      </w:tr>
      <w:t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AdminConfiguration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 Type, Composition Rule, Template, Policy, Catalog y Numbering Rule</w:t>
            </w:r>
          </w:p>
        </w:tc>
      </w:tr>
      <w:tr>
        <w:tc>
          <w:tcPr>
            <w:tcW w:type="dxa" w:w="2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AdminNumberSequence</w:t>
            </w:r>
          </w:p>
        </w:tc>
        <w:tc>
          <w:tcPr>
            <w:tcW w:type="dxa" w:w="6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Request Number y Business Number con UPDATE ... RETURNING</w:t>
            </w:r>
          </w:p>
        </w:tc>
      </w:tr>
      <w:t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Record Code engine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Cálculo jerárquico con bloqueo de parent para concurrencia</w:t>
            </w:r>
          </w:p>
        </w:tc>
      </w:tr>
      <w:tr>
        <w:tc>
          <w:tcPr>
            <w:tcW w:type="dxa" w:w="2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SecurityAccessAssignment</w:t>
            </w:r>
          </w:p>
        </w:tc>
        <w:tc>
          <w:tcPr>
            <w:tcW w:type="dxa" w:w="6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Asignación mínima del responsable en scope Workspace</w:t>
            </w:r>
          </w:p>
        </w:tc>
      </w:tr>
      <w:t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SecurityEvent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Auditoría de cada transición y resultado materializado/fallido</w:t>
            </w:r>
          </w:p>
        </w:tc>
      </w:tr>
      <w:tr>
        <w:tc>
          <w:tcPr>
            <w:tcW w:type="dxa" w:w="2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ETag / If-Match</w:t>
            </w:r>
          </w:p>
        </w:tc>
        <w:tc>
          <w:tcPr>
            <w:tcW w:type="dxa" w:w="6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Control optimista de todas las mutaciones, incluida Materialization</w:t>
            </w:r>
          </w:p>
        </w:tc>
      </w:tr>
      <w:t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Enterprise Explorer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CORE publicado + Project operativo + Workspaces físicos operativos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Decisión de alcance estructural vs. operacional</w:t>
      </w:r>
    </w:p>
    <w:p>
      <w:pPr>
        <w:pStyle w:val="ListBullet"/>
        <w:spacing w:after="80"/>
      </w:pPr>
      <w:r>
        <w:t>REGION, DISTRICT y SITE siguen administrándose en ADMIN MODE mediante Workspace Revision Manager.</w:t>
      </w:r>
    </w:p>
    <w:p>
      <w:pPr>
        <w:pStyle w:val="ListBullet"/>
        <w:spacing w:after="80"/>
      </w:pPr>
      <w:r>
        <w:t>PROPERTY, FACILITY y WAREHOUSE usan el nuevo Physical Workspace Creation Process en USER MODE.</w:t>
      </w:r>
    </w:p>
    <w:p>
      <w:pPr>
        <w:pStyle w:val="ListBullet"/>
        <w:spacing w:after="80"/>
      </w:pPr>
      <w:r>
        <w:t>LINEAR_ASSET permanece reservado/inactivo y ASSET continúa fuera de Enterprise Workspace Structure.</w:t>
      </w:r>
    </w:p>
    <w:p>
      <w:pPr>
        <w:pStyle w:val="ListBullet"/>
        <w:spacing w:after="80"/>
      </w:pPr>
      <w:r>
        <w:t>Gate 06B no crea inventario, assets, mantenimiento, spaces, utilities ni transacciones inmobiliarias.</w:t>
      </w:r>
    </w:p>
    <w:p>
      <w:r>
        <w:br w:type="page"/>
      </w:r>
    </w:p>
    <w:p>
      <w:pPr>
        <w:pStyle w:val="Heading1"/>
        <w:keepNext/>
      </w:pPr>
      <w:r>
        <w:t>4. Arquitectura del proceso único parametrizado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71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UI React</w:t>
            </w:r>
          </w:p>
        </w:tc>
        <w:tc>
          <w:tcPr>
            <w:tcW w:type="dxa" w:w="7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Selector de tipo, intake común, atributos dinámicos, solicitudes, review queue y overview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FastAPI Router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Contratos USER/REVIEW/MATERIALIZATION/OVERVIEW y autorización por permiso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Domain Service</w:t>
            </w:r>
          </w:p>
        </w:tc>
        <w:tc>
          <w:tcPr>
            <w:tcW w:type="dxa" w:w="7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Reglas, transiciones, snapshots, hashes, preview, materialización e idempotencia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SQLAlchemy Model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Una sola tabla physical_workspace_creation_requests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Governance Config</w:t>
            </w:r>
          </w:p>
        </w:tc>
        <w:tc>
          <w:tcPr>
            <w:tcW w:type="dxa" w:w="7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Backend source of truth para parents, templates, policy, atributos y clasificaciones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Locks, secuencias, unicidad, FKs y transacción atómica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Modelo PhysicalWorkspaceCreationRequest</w:t>
      </w:r>
    </w:p>
    <w:p>
      <w:r>
        <w:t>La tabla tenant-scoped conserva request_number, workspace_type_code, state, requestor, parent, template, nombre, descripción, responsable, previews, atributos, clasificaciones, snapshot y hash de submit, decisión de approval, hash de aprobación, vínculo materializado, números finales, revision_version y trazabilidad temporal/actor.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7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SEPARACIÓN DE IDENTIDADES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Request Number (PWR-00001) != Business Number (PYP-PROP-00001) != Record Code (01.05.01). Preview y Approval no consumen el Business Number; solo Materialization lo reserva.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Máquina de estados y controles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00"/>
        <w:gridCol w:w="4860"/>
      </w:tblGrid>
      <w:tr>
        <w:trPr>
          <w:tblHeader w:val="true"/>
        </w:trPr>
        <w:tc>
          <w:tcPr>
            <w:tcW w:type="dxa" w:w="17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 origen</w:t>
            </w:r>
          </w:p>
        </w:tc>
        <w:tc>
          <w:tcPr>
            <w:tcW w:type="dxa" w:w="28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Transición permitida</w:t>
            </w:r>
          </w:p>
        </w:tc>
        <w:tc>
          <w:tcPr>
            <w:tcW w:type="dxa" w:w="48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 principal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DRAFT</w:t>
            </w:r>
          </w:p>
        </w:tc>
        <w:tc>
          <w:tcPr>
            <w:tcW w:type="dxa" w:w="2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SUBMITTED / CANCELLED</w:t>
            </w:r>
          </w:p>
        </w:tc>
        <w:tc>
          <w:tcPr>
            <w:tcW w:type="dxa" w:w="4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Owner, If-Match y revalidación total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SUBMITTED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UNDER_REVIEW / RETURNED / CANCELLED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Reviewer y razón para Return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UNDER_REVIEW</w:t>
            </w:r>
          </w:p>
        </w:tc>
        <w:tc>
          <w:tcPr>
            <w:tcW w:type="dxa" w:w="2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APPROVED / RETURNED / REJECTED</w:t>
            </w:r>
          </w:p>
        </w:tc>
        <w:tc>
          <w:tcPr>
            <w:tcW w:type="dxa" w:w="4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Approver, Four-Eyes y hash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RETURNED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DRAFT / CANCELLED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Owner edita y crea nueva versión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APPROVED</w:t>
            </w:r>
          </w:p>
        </w:tc>
        <w:tc>
          <w:tcPr>
            <w:tcW w:type="dxa" w:w="2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MATERIALIZING</w:t>
            </w:r>
          </w:p>
        </w:tc>
        <w:tc>
          <w:tcPr>
            <w:tcW w:type="dxa" w:w="4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If-Match, approval_hash y locks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MATERIALIZING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CREATED / FAILED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Commit único o rollback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CREATED</w:t>
            </w:r>
          </w:p>
        </w:tc>
        <w:tc>
          <w:tcPr>
            <w:tcW w:type="dxa" w:w="2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ALREADY_CREATED</w:t>
            </w:r>
          </w:p>
        </w:tc>
        <w:tc>
          <w:tcPr>
            <w:tcW w:type="dxa" w:w="4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Idempotencia; 0 mutaciones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Type, Location, Template y Policy Pickers</w:t>
      </w:r>
    </w:p>
    <w:p>
      <w:pPr>
        <w:pStyle w:val="ListBullet"/>
        <w:spacing w:after="80"/>
      </w:pPr>
      <w:r>
        <w:t>Workspace Type Picker expone exclusivamente Property, Facility y Warehouse; el backend rechaza cualquier otro código.</w:t>
      </w:r>
    </w:p>
    <w:p>
      <w:pPr>
        <w:pStyle w:val="ListBullet"/>
        <w:spacing w:after="80"/>
      </w:pPr>
      <w:r>
        <w:t>Workspace Location Picker consume Composition Rules, Policy publicada, tenant, status active y árbol CORE + operacional.</w:t>
      </w:r>
    </w:p>
    <w:p>
      <w:pPr>
        <w:pStyle w:val="ListBullet"/>
        <w:spacing w:after="80"/>
      </w:pPr>
      <w:r>
        <w:t>La UI no contiene una matriz de parents: consulta la elegibilidad al backend para cada acción contextual.</w:t>
      </w:r>
    </w:p>
    <w:p>
      <w:pPr>
        <w:pStyle w:val="ListBullet"/>
        <w:spacing w:after="80"/>
      </w:pPr>
      <w:r>
        <w:t>Template Picker acepta solo configuraciones PUBLISHED del mismo tenant, tipo y parent aplicable.</w:t>
      </w:r>
    </w:p>
    <w:p>
      <w:pPr>
        <w:pStyle w:val="ListBullet"/>
        <w:spacing w:after="80"/>
      </w:pPr>
      <w:r>
        <w:t>Creation Policy gobierna allowed parents, template/responsible/approval, numeración, Record Code y status PENDING.</w:t>
      </w:r>
    </w:p>
    <w:p>
      <w:pPr>
        <w:pStyle w:val="ListBullet"/>
        <w:spacing w:after="80"/>
      </w:pPr>
      <w:r>
        <w:t>Las configuraciones reales de 06A siguen DRAFT; la pantalla muestra un bloqueo controlado y no publica automáticamente.</w:t>
      </w:r>
    </w:p>
    <w:p>
      <w:pPr>
        <w:pStyle w:val="Heading1"/>
        <w:keepNext/>
      </w:pPr>
      <w:r>
        <w:t>8. Common Intake y atributos dinámicos</w:t>
      </w:r>
    </w:p>
    <w:p>
      <w:r>
        <w:t>El formulario es común y parametrizado: Workspace Type, Name, Description, Parent, Template, Responsible, estado previsto y números proyectados readonly. Los campos específicos se derivan del tipo vigente y abarcan Property Type/tenure/legal/geographic/value/area; Facility Type/commissioning/area/capacity/criticality; y Warehouse Type/location/storage capacity/unit/criticality. Las clasificaciones se obtienen de catálogos publicados.</w:t>
      </w:r>
    </w:p>
    <w:p>
      <w:r>
        <w:br w:type="page"/>
      </w:r>
    </w:p>
    <w:p>
      <w:pPr>
        <w:pStyle w:val="Heading1"/>
        <w:keepNext/>
      </w:pPr>
      <w:r>
        <w:t>9. Preview, Submit y Approval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75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Comportamiento implementado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Preview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Calcula parent path, Business Number, Record Code, template, policy, módulos y status; persisted=false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Submit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Revalida tenant/type/parent/rule/template/policy/responsable/atributos/clasificaciones/módulos/versión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Snapshot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Persiste fingerprint lógico de request y gobernanza; submitted_hash SHA-256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Review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Start Review, Return con reason, Reject con reason y Resubmit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Approve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Four-Eyes requestor != approver y last_modified_by != approver; approval_hash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Concurrency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409 PHYSICAL_WORKSPACE_REQUEST_VERSION_CONFLICT; no merge silencioso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Materialization transaccional</w:t>
      </w:r>
    </w:p>
    <w:p>
      <w:r>
        <w:t>Materialization bloquea la solicitud y el parent, revalida gobernanza publicada y aprobación, reserva la secuencia por tipo, calcula un Record Code jerárquico único, crea el EnterpriseWorkspace PENDING, persiste metadatos, clasificaciones, module settings y assignment del responsable, enlaza la solicitud y registra SecurityEvent. Todo ocurre dentro de una única transacción PostgreSQL.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72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Garantía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Éxito</w:t>
            </w:r>
          </w:p>
        </w:tc>
        <w:tc>
          <w:tcPr>
            <w:tcW w:type="dxa" w:w="7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Request CREATED; enterprise_workspace PENDING; números finales persistidos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Error antes de commit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ROLLBACK; no Workspace parcial; la secuencia tampoco se consume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IntegrityError</w:t>
            </w:r>
          </w:p>
        </w:tc>
        <w:tc>
          <w:tcPr>
            <w:tcW w:type="dxa" w:w="7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Solicitud marcada FAILED en transacción separada y evento failure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Falla genérica inyectada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Solicitud vuelve a APPROVED; evento failure; reintento posible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Segundo materialize</w:t>
            </w:r>
          </w:p>
        </w:tc>
        <w:tc>
          <w:tcPr>
            <w:tcW w:type="dxa" w:w="7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ALREADY_CREATED; mismo workspace_id; mutation_count=0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Concurrencia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Números por tipo y Record Codes hermanos únicos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5E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NO-REUSE DE NUMERACIÓN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La reserva usa la misma transacción que la creación; un rollback revierte next_value. No se deja un hueco por una materialización fallida antes del commit. Un número confirmado no se reutiliza.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Enterprise Explorer y Physical Workspace Overview</w:t>
      </w:r>
    </w:p>
    <w:p>
      <w:pPr>
        <w:pStyle w:val="ListBullet"/>
        <w:spacing w:after="80"/>
      </w:pPr>
      <w:r>
        <w:t>Enterprise Explorer combina el release CORE publicado con Project y Workspaces físicos operativos, sin duplicar nodos.</w:t>
      </w:r>
    </w:p>
    <w:p>
      <w:pPr>
        <w:pStyle w:val="ListBullet"/>
        <w:spacing w:after="80"/>
      </w:pPr>
      <w:r>
        <w:t>Creation Requests no aparecen como nodos; solo el Workspace materializado se incorpora.</w:t>
      </w:r>
    </w:p>
    <w:p>
      <w:pPr>
        <w:pStyle w:val="ListBullet"/>
        <w:spacing w:after="80"/>
      </w:pPr>
      <w:r>
        <w:t>Overview genérico muestra tipo, nombre, Business Number, Record Code, PENDING, parent, responsable, template, request y fecha.</w:t>
      </w:r>
    </w:p>
    <w:p>
      <w:pPr>
        <w:pStyle w:val="ListBullet"/>
        <w:spacing w:after="80"/>
      </w:pPr>
      <w:r>
        <w:t>Atributos, clasificaciones, módulos habilitados y módulos planificados se presentan por la misma vista parametrizada.</w:t>
      </w:r>
    </w:p>
    <w:p>
      <w:pPr>
        <w:pStyle w:val="Heading1"/>
        <w:keepNext/>
      </w:pPr>
      <w:r>
        <w:t>12. USER MODE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Vista/acción</w:t>
            </w:r>
          </w:p>
        </w:tc>
        <w:tc>
          <w:tcPr>
            <w:tcW w:type="dxa" w:w="68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Create Physical Workspace</w:t>
            </w:r>
          </w:p>
        </w:tc>
        <w:tc>
          <w:tcPr>
            <w:tcW w:type="dxa" w:w="6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Selector de tres tipos, location, template, responsible y dynamic intake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Acciones contextuales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Create Property / Facility / Warehouse según elegibilidad backend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My Physical Requests</w:t>
            </w:r>
          </w:p>
        </w:tc>
        <w:tc>
          <w:tcPr>
            <w:tcW w:type="dxa" w:w="6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8 filtros y acciones por estado: edit, preview, submit, cancel y open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 Review Queue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Start review, return, reject, approve y materialize con RBAC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 Overview</w:t>
            </w:r>
          </w:p>
        </w:tc>
        <w:tc>
          <w:tcPr>
            <w:tcW w:type="dxa" w:w="6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Landing común para PROPERTY / FACILITY / WAREHOUSE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CompactModuleHeader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Conservado dentro del Enterprise Explorer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13. APIs implementadas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Método</w:t>
            </w:r>
          </w:p>
        </w:tc>
        <w:tc>
          <w:tcPr>
            <w:tcW w:type="dxa" w:w="77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Ruta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</w:t>
            </w:r>
          </w:p>
        </w:tc>
        <w:tc>
          <w:tcPr>
            <w:tcW w:type="dxa" w:w="7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/api/v1/physical-workspace-creation-requests/options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 / GET</w:t>
            </w:r>
          </w:p>
        </w:tc>
        <w:tc>
          <w:tcPr>
            <w:tcW w:type="dxa" w:w="7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/api/v1/physical-workspace-creation-requests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 / PUT</w:t>
            </w:r>
          </w:p>
        </w:tc>
        <w:tc>
          <w:tcPr>
            <w:tcW w:type="dxa" w:w="7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/api/v1/physical-workspace-creation-requests/{id}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</w:t>
            </w:r>
          </w:p>
        </w:tc>
        <w:tc>
          <w:tcPr>
            <w:tcW w:type="dxa" w:w="7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/{id}/preview · /submit · /cancel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</w:t>
            </w:r>
          </w:p>
        </w:tc>
        <w:tc>
          <w:tcPr>
            <w:tcW w:type="dxa" w:w="7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/{id}/start-review · /return · /reject · /approve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</w:t>
            </w:r>
          </w:p>
        </w:tc>
        <w:tc>
          <w:tcPr>
            <w:tcW w:type="dxa" w:w="7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/{id}/materialize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</w:t>
            </w:r>
          </w:p>
        </w:tc>
        <w:tc>
          <w:tcPr>
            <w:tcW w:type="dxa" w:w="7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/api/v1/physical-workspaces/{workspace_id}/overview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RBAC y SecurityEvent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51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Permisos / responsabilidad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 Workspace Requestor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create, edit, submit, read</w:t>
            </w:r>
          </w:p>
        </w:tc>
      </w:tr>
      <w:tr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 Workspace Reviewer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 y review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 Workspace Approver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 y approve; sujeto a Four-Eyes</w:t>
            </w:r>
          </w:p>
        </w:tc>
      </w:tr>
      <w:tr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Materialization Service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 y materialize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 Workspace Responsible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assignment mínimo sobre el Workspace creado</w:t>
            </w:r>
          </w:p>
        </w:tc>
      </w:tr>
    </w:tbl>
    <w:p>
      <w:pPr>
        <w:spacing w:after="40"/>
      </w:pPr>
    </w:p>
    <w:p>
      <w:r>
        <w:t>Los eventos cubren creación, edición, submit, cancel, start review, return, reject, approve, materialization_started, workspace_created y materialization_failed. Incluyen tenant, actor, request, tipo, parent, estado anterior/posterior y resultado.</w:t>
      </w:r>
    </w:p>
    <w:p>
      <w:pPr>
        <w:pStyle w:val="Heading1"/>
        <w:keepNext/>
      </w:pPr>
      <w:r>
        <w:t>15. Migración</w:t>
      </w:r>
    </w:p>
    <w:p>
      <w:pPr>
        <w:pStyle w:val="ListBullet"/>
        <w:spacing w:after="80"/>
      </w:pPr>
      <w:r>
        <w:t>Alembic 20260812_0037 es aditiva, tenant-scoped, reversible y no modifica el release CORE.</w:t>
      </w:r>
    </w:p>
    <w:p>
      <w:pPr>
        <w:pStyle w:val="ListBullet"/>
        <w:spacing w:after="80"/>
      </w:pPr>
      <w:r>
        <w:t>Define FKs explícitas, revision_version, unicidad tenant/request_number y materialized_workspace_id único.</w:t>
      </w:r>
    </w:p>
    <w:p>
      <w:pPr>
        <w:pStyle w:val="ListBullet"/>
        <w:spacing w:after="80"/>
      </w:pPr>
      <w:r>
        <w:t>PostgreSQL efímero validó upgrade 0036→0037, downgrade 0037→0036 y re-upgrade a 0037.</w:t>
      </w:r>
    </w:p>
    <w:p>
      <w:pPr>
        <w:pStyle w:val="ListBullet"/>
        <w:spacing w:after="80"/>
      </w:pPr>
      <w:r>
        <w:t>PostgreSQL persistente quedó en 20260812_0037 (head).</w:t>
      </w:r>
    </w:p>
    <w:p>
      <w:pPr>
        <w:pStyle w:val="Heading1"/>
        <w:keepNext/>
      </w:pPr>
      <w:r>
        <w:t>16. Pruebas y regresión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651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 06B PostgreSQL E2E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31 passed · concurrencia + rollback + reversibilidad</w:t>
            </w:r>
          </w:p>
        </w:tc>
      </w:tr>
      <w:tr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 06B SQLite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30 passed · 1 skipped por contrato PostgreSQL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 componente Gate 06B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8 passed</w:t>
            </w:r>
          </w:p>
        </w:tc>
      </w:tr>
      <w:tr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Regresión Gates 02A–06A + Organization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217 passed · 4 skipped; 1 diagnóstico de montaje, luego validado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Backend full suite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417 passed · 6 skipped · coverage 85,92 %</w:t>
            </w:r>
          </w:p>
        </w:tc>
      </w:tr>
      <w:tr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 full suite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28 files · 182 passed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TypeScript / Vite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producción compilada</w:t>
            </w:r>
          </w:p>
        </w:tc>
      </w:tr>
      <w:tr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ESLint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0 errores; 9 warnings históricos dentro del budget de CI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Prettier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Ruff backend completo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check y format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Browser localhost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login, Explorer, acciones, selector y bloque DRAFT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17. Protección del baseline real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60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 al cierre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Tenant</w:t>
            </w:r>
          </w:p>
        </w:tc>
        <w:tc>
          <w:tcPr>
            <w:tcW w:type="dxa" w:w="6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P&amp;P Ingeniería y Proyectos · sin cambio</w:t>
            </w:r>
          </w:p>
        </w:tc>
      </w:tr>
      <w:t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CORE Release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ES-PYP-CORE-RECONCILED-20260809 · published · sin cambio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CORE drafts</w:t>
            </w:r>
          </w:p>
        </w:tc>
        <w:tc>
          <w:tcPr>
            <w:tcW w:type="dxa" w:w="6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</w:t>
            </w:r>
          </w:p>
        </w:tc>
      </w:tr>
      <w:t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Workspaces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14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 Workspaces</w:t>
            </w:r>
          </w:p>
        </w:tc>
        <w:tc>
          <w:tcPr>
            <w:tcW w:type="dxa" w:w="6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</w:t>
            </w:r>
          </w:p>
        </w:tc>
      </w:tr>
      <w:t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REGION / DISTRICT / SITE reales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 / 0 / 0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PROPERTY / FACILITY / WAREHOUSE reales</w:t>
            </w:r>
          </w:p>
        </w:tc>
        <w:tc>
          <w:tcPr>
            <w:tcW w:type="dxa" w:w="6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 / 0 / 0</w:t>
            </w:r>
          </w:p>
        </w:tc>
      </w:tr>
      <w:t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 Creation Requests reales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 Templates</w:t>
            </w:r>
          </w:p>
        </w:tc>
        <w:tc>
          <w:tcPr>
            <w:tcW w:type="dxa" w:w="6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5 DRAFT / 0 PUBLISHED</w:t>
            </w:r>
          </w:p>
        </w:tc>
      </w:tr>
      <w:t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 Creation Policies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3 DRAFT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 Business Number sequences</w:t>
            </w:r>
          </w:p>
        </w:tc>
        <w:tc>
          <w:tcPr>
            <w:tcW w:type="dxa" w:w="6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PROPERTY/FACILITY/WAREHOUSE next_value = 1</w:t>
            </w:r>
          </w:p>
        </w:tc>
      </w:tr>
      <w:t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 Number sequence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next_value = 1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Riesgos y deuda</w:t>
      </w:r>
    </w:p>
    <w:p>
      <w:pPr>
        <w:pStyle w:val="ListBullet"/>
        <w:spacing w:after="80"/>
      </w:pPr>
      <w:r>
        <w:t>Las policies y templates reales permanecen DRAFT; el flujo real debe seguir bloqueado hasta aprobación/publicación administrada.</w:t>
      </w:r>
    </w:p>
    <w:p>
      <w:pPr>
        <w:pStyle w:val="ListBullet"/>
        <w:spacing w:after="80"/>
      </w:pPr>
      <w:r>
        <w:t>El runner completo backend en un contenedor sin Redis arroja readiness 503; al ejecutarlo en la red real la prueba pasa. Es configuración del runner, no defecto Gate 06B.</w:t>
      </w:r>
    </w:p>
    <w:p>
      <w:pPr>
        <w:pStyle w:val="ListBullet"/>
        <w:spacing w:after="80"/>
      </w:pPr>
      <w:r>
        <w:t>La suite frontend AppFlow requiere 45 s de margen bajo carga paralela; el caso tarda 27,8 s aislado y 41,4 s en suite completa.</w:t>
      </w:r>
    </w:p>
    <w:p>
      <w:pPr>
        <w:pStyle w:val="ListBullet"/>
        <w:spacing w:after="80"/>
      </w:pPr>
      <w:r>
        <w:t>Persisten 9 warnings ESLint históricos en el visor BIM/Project Creation; están dentro del presupuesto de CI y fuera de Gate 06B.</w:t>
      </w:r>
    </w:p>
    <w:p>
      <w:pPr>
        <w:pStyle w:val="ListBullet"/>
        <w:spacing w:after="80"/>
      </w:pPr>
      <w:r>
        <w:t>La autorización futura puede ampliar el authorization context con restricciones por workspace_type_code más granulares sin crear permisos por tipo.</w:t>
      </w:r>
    </w:p>
    <w:p>
      <w:pPr>
        <w:pStyle w:val="Heading1"/>
        <w:keepNext/>
      </w:pPr>
      <w:r>
        <w:t>19. Recomendación del siguiente gate</w:t>
      </w:r>
    </w:p>
    <w:p>
      <w:r>
        <w:t>Abrir Gate 06C como incremento independiente para Physical Workspace Initialization &amp; Activation. Debe reutilizar el patrón probado de Gate 05C, mantener Four-Eyes, definir readiness, asignaciones mínimas, módulos inicializables y la transición PENDING→ACTIVE. No iniciar Asset Manager, Inventory Manager ni operación profunda de Facility/Property.</w:t>
      </w:r>
    </w:p>
    <w:p>
      <w:pPr>
        <w:pStyle w:val="Heading1"/>
        <w:keepNext/>
      </w:pPr>
      <w:r>
        <w:t>20. Matriz de aceptación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00"/>
        <w:gridCol w:w="1460"/>
      </w:tblGrid>
      <w:tr>
        <w:trPr>
          <w:tblHeader w:val="true"/>
        </w:trPr>
        <w:tc>
          <w:tcPr>
            <w:tcW w:type="dxa" w:w="79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 agrupado</w:t>
            </w:r>
          </w:p>
        </w:tc>
        <w:tc>
          <w:tcPr>
            <w:tcW w:type="dxa" w:w="14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7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Generic process / PROPERTY / FACILITY / WAREHOUSE</w:t>
            </w:r>
          </w:p>
        </w:tc>
        <w:tc>
          <w:tcPr>
            <w:tcW w:type="dxa" w:w="1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Exclusiones REGION / DISTRICT / SITE / LINEAR_ASSET / ASSET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Type / Location / Template / Policy pickers</w:t>
            </w:r>
          </w:p>
        </w:tc>
        <w:tc>
          <w:tcPr>
            <w:tcW w:type="dxa" w:w="1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Dynamic Intake / Preview / Submit / Review / Return / Reject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Approval / Four-Eyes / ETag-If-Match</w:t>
            </w:r>
          </w:p>
        </w:tc>
        <w:tc>
          <w:tcPr>
            <w:tcW w:type="dxa" w:w="1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Transactional Materialization / Business Number / Record Code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Concurrency / Idempotency / Failure rollback</w:t>
            </w:r>
          </w:p>
        </w:tc>
        <w:tc>
          <w:tcPr>
            <w:tcW w:type="dxa" w:w="1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Attributes / Classifications / Modules / Responsible Assignment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Enterprise Explorer / Physical Overview / USER MODE</w:t>
            </w:r>
          </w:p>
        </w:tc>
        <w:tc>
          <w:tcPr>
            <w:tcW w:type="dxa" w:w="1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RBAC / SecurityEvent / Migration / PostgreSQL E2E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Real baseline unchanged</w:t>
            </w:r>
          </w:p>
        </w:tc>
        <w:tc>
          <w:tcPr>
            <w:tcW w:type="dxa" w:w="1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7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ESTADO FINAL EXCLUSIVO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READY_FOR_PHYSICAL_WORKSPACE_INITIALIZATION</w:t>
            </w:r>
          </w:p>
        </w:tc>
      </w:tr>
    </w:tbl>
    <w:p>
      <w:pPr>
        <w:spacing w:after="0"/>
      </w:pPr>
    </w:p>
    <w:p>
      <w:r>
        <w:t>Gate 06B termina aquí. Gate 06C, Asset Manager, Inventory Manager y cualquier operación física profunda no fueron iniciados.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B6870"/>
        <w:sz w:val="16"/>
      </w:rPr>
      <w:t xml:space="preserve">Controlled technical baseline  |  13 Aug 2026  |  Page </w:t>
    </w:r>
    <w:r>
      <w:rPr>
        <w:rFonts w:ascii="Calibri" w:hAnsi="Calibri"/>
        <w:i w:val="0"/>
        <w:color w:val="5B6870"/>
        <w:sz w:val="16"/>
      </w:rPr>
      <w:fldChar w:fldCharType="begin"/>
      <w:instrText xml:space="preserve"> PAGE 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870"/>
        <w:sz w:val="17"/>
      </w:rPr>
      <w:t>P&amp;Pmis Construction AI  |  Gate 06B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622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D2A3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5B68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06B - Physical Workspace Creation Process</dc:title>
  <dc:subject>PROPERTY, FACILITY y WAREHOUSE - proceso único gobernado</dc:subject>
  <dc:creator>P&amp;Pmis Construction AI Engineering</dc:creator>
  <cp:keywords/>
  <dc:description>Gate 06B cerrado; Gate 06C no iniciado.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