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r>
        <w:rPr>
          <w:rFonts w:ascii="Calibri" w:hAnsi="Calibri"/>
          <w:b/>
          <w:i w:val="0"/>
          <w:color w:val="0B2545"/>
          <w:sz w:val="50"/>
        </w:rPr>
        <w:t>Gate 07J-FUND</w:t>
      </w:r>
    </w:p>
    <w:p>
      <w:pPr>
        <w:spacing w:after="0"/>
      </w:pPr>
      <w:r>
        <w:rPr>
          <w:rFonts w:ascii="Calibri" w:hAnsi="Calibri"/>
          <w:b/>
          <w:i w:val="0"/>
          <w:color w:val="1F4D78"/>
          <w:sz w:val="30"/>
        </w:rPr>
        <w:t>Funds Manager / Funding Readiness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Fecha: </w:t>
      </w:r>
      <w:r>
        <w:rPr>
          <w:rFonts w:ascii="Calibri" w:hAnsi="Calibri"/>
          <w:i w:val="0"/>
          <w:color w:val="000000"/>
          <w:sz w:val="21"/>
        </w:rPr>
        <w:t>30 de agosto de 2026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- branch main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20260827_0051 (head)</w:t>
      </w:r>
    </w:p>
    <w:p>
      <w:pPr>
        <w:spacing w:after="0"/>
      </w:pPr>
      <w:r>
        <w:rPr>
          <w:rFonts w:ascii="Calibri" w:hAnsi="Calibri"/>
          <w:b/>
          <w:i w:val="0"/>
          <w:color w:val="0B2545"/>
          <w:sz w:val="21"/>
        </w:rPr>
        <w:t xml:space="preserve">Estado: </w:t>
      </w:r>
      <w:r>
        <w:rPr>
          <w:rFonts w:ascii="Calibri" w:hAnsi="Calibri"/>
          <w:i w:val="0"/>
          <w:color w:val="000000"/>
          <w:sz w:val="21"/>
        </w:rPr>
        <w:t>GATE07J_FUND_RELEASE_VALIDATED</w:t>
      </w:r>
    </w:p>
    <w:p>
      <w:pPr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GATE07J_FUND_RELEASE_VALIDATED. El cierre H confirma el lifecycle de Sources, Funds y Assignments, tres recorridos Browser E2E completos USER + ADMIN y la restauración exacta del baseline persistente. Funds Manager entrega evidencia trazable para Gate 07J sin asumir autoridad de Tesorería, Contabilidad, compromisos, pagos, FID o activación de Projects.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Backend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Dominio, lifecycles, readiness, ETag, idempotencia y adapter Gate 07J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126/126; migración 0051 -&gt; 0050 -&gt; 0051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Ruff, Prettier, ESLint, TypeScript, Vite y Vitest focalizado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Browser E2E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3/3 FLOW_PASS contra API y PostgreSQL reales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Localhost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ACTIVE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Frontend 5173; API 8000; PostgreSQL head 0051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Alcance, arquitectura y límites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OBJETIVO FUNCIONAL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Implementar Funds Manager como proveedor gobernado de FUNDING_READINESS para Portfolios y Projects. La capacidad relaciona fuentes, fondos y asignaciones con el requerimiento derivado de la recomendación de Portfolio, manteniendo lineage, hashes y snapshots reproducibles.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0"/>
        <w:gridCol w:w="3210"/>
        <w:gridCol w:w="3200"/>
      </w:tblGrid>
      <w:tr>
        <w:trPr>
          <w:tblHeader w:val="true"/>
          <w:cantSplit/>
        </w:trPr>
        <w:tc>
          <w:tcPr>
            <w:tcW w:type="dxa" w:w="29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Origen</w:t>
            </w:r>
          </w:p>
        </w:tc>
        <w:tc>
          <w:tcPr>
            <w:tcW w:type="dxa" w:w="32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Funds Manager</w:t>
            </w:r>
          </w:p>
        </w:tc>
        <w:tc>
          <w:tcPr>
            <w:tcW w:type="dxa" w:w="3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Consumidor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07I: alternativa recomendada y requerimiento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Readiness por Portfolio, Project y periodo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 Investment Gate Preparation</w:t>
            </w:r>
          </w:p>
        </w:tc>
      </w:tr>
      <w:tr>
        <w:trPr>
          <w:cantSplit/>
        </w:trPr>
        <w:tc>
          <w:tcPr>
            <w:tcW w:type="dxa" w:w="29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07G: escenario presupuestal</w:t>
            </w:r>
          </w:p>
        </w:tc>
        <w:tc>
          <w:tcPr>
            <w:tcW w:type="dxa" w:w="32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Referencia de necesidad; nunca fuente de dinero</w:t>
            </w:r>
          </w:p>
        </w:tc>
        <w:tc>
          <w:tcPr>
            <w:tcW w:type="dxa" w:w="3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Paquete de evidencia gobernada</w:t>
            </w:r>
          </w:p>
        </w:tc>
      </w:tr>
      <w:tr>
        <w:trPr>
          <w:cantSplit/>
        </w:trPr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AdminConfiguration publicada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Política efectiva por scope y governance model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UI USER/ADMIN, API y auditoría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6610"/>
      </w:tblGrid>
      <w:tr>
        <w:trPr>
          <w:tblHeader w:val="true"/>
          <w:cantSplit/>
        </w:trPr>
        <w:tc>
          <w:tcPr>
            <w:tcW w:type="dxa" w:w="27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Regla de dominio</w:t>
            </w:r>
          </w:p>
        </w:tc>
        <w:tc>
          <w:tcPr>
            <w:tcW w:type="dxa" w:w="66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Decisión implementada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Budget != Funding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presupuestos expresan necesidad; sólo las asignaciones de fondos expresan cobertura.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Modelo predeterminado</w:t>
            </w:r>
          </w:p>
        </w:tc>
        <w:tc>
          <w:tcPr>
            <w:tcW w:type="dxa" w:w="66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CAPITAL_OWNER. Contractor Delivery y Direct Internal no son obligatorios.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Moneda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existe conversión FX silenciosa; monedas incompatibles generan blocker.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Autoridad</w:t>
            </w:r>
          </w:p>
        </w:tc>
        <w:tc>
          <w:tcPr>
            <w:tcW w:type="dxa" w:w="66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módulo prepara evidencia; no aprueba inversión, paga, compromete ni activa ejecución.</w:t>
            </w:r>
          </w:p>
        </w:tc>
      </w:tr>
    </w:tbl>
    <w:p>
      <w:pPr>
        <w:spacing w:after="0"/>
      </w:pPr>
    </w:p>
    <w:p>
      <w:pPr>
        <w:pStyle w:val="Heading2"/>
      </w:pPr>
      <w:r>
        <w:t>1.1 Capas implementadas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20"/>
        <w:gridCol w:w="494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29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49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Dominio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models.py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Fuentes estratégicas, fondos, asignaciones y snapshots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Aplicación</w:t>
            </w:r>
          </w:p>
        </w:tc>
        <w:tc>
          <w:tcPr>
            <w:tcW w:type="dxa" w:w="29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service.py</w:t>
            </w:r>
          </w:p>
        </w:tc>
        <w:tc>
          <w:tcPr>
            <w:tcW w:type="dxa" w:w="4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Lifecycles, reglas financieras, readiness, hashes y eventos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Contrato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schemas.py / router.py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DTOs tipados y endpoints USER/ADMIN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Integración</w:t>
            </w:r>
          </w:p>
        </w:tc>
        <w:tc>
          <w:tcPr>
            <w:tcW w:type="dxa" w:w="29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investment_gate_preparation/service.py</w:t>
            </w:r>
          </w:p>
        </w:tc>
        <w:tc>
          <w:tcPr>
            <w:tcW w:type="dxa" w:w="4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Adapter de evidencia FUNDING_READINESS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Experiencia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frontend/src/features/funds-manager</w:t>
            </w:r>
          </w:p>
        </w:tc>
        <w:tc>
          <w:tcPr>
            <w:tcW w:type="dxa" w:w="4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Workspace USER y configuración ADMIN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REUSE BEFORE CREATE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reutilizaron AdminConfiguration, resolución por scope, RBAC, SecurityEvent, ETag, idempotencia, Workspace Context y el motor de requisitos de Gate 07J. La tabla FBS existente funding_sources se preservó; la nueva entidad se denominó StrategicFundingSource para evitar duplicidad semántica y técnica.</w:t>
            </w:r>
          </w:p>
        </w:tc>
      </w:tr>
    </w:tbl>
    <w:p>
      <w:pPr>
        <w:spacing w:after="0"/>
      </w:pPr>
    </w:p>
    <w:p>
      <w:pPr>
        <w:pStyle w:val="Heading1"/>
      </w:pPr>
      <w:r>
        <w:t>2. Modelo de dominio y persistencia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250"/>
        <w:gridCol w:w="3760"/>
      </w:tblGrid>
      <w:tr>
        <w:trPr>
          <w:tblHeader w:val="true"/>
          <w:cantSplit/>
        </w:trPr>
        <w:tc>
          <w:tcPr>
            <w:tcW w:type="dxa" w:w="23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Agregado</w:t>
            </w:r>
          </w:p>
        </w:tc>
        <w:tc>
          <w:tcPr>
            <w:tcW w:type="dxa" w:w="32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Propósito</w:t>
            </w:r>
          </w:p>
        </w:tc>
        <w:tc>
          <w:tcPr>
            <w:tcW w:type="dxa" w:w="3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Controles principales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StrategicFundingSource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Origen gobernado del capital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FSRC, moneda, restricciones, elegibilidad, status, ETag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Fund</w:t>
            </w:r>
          </w:p>
        </w:tc>
        <w:tc>
          <w:tcPr>
            <w:tcW w:type="dxa" w:w="3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Vehículo o bolsa disponible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FUND, source FK, moneda, capacidad, vigencia, status, ETag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FundingAssignment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Cobertura de Portfolio/Project/periodo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FASN, amount, condition, reservation, idempotency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FundingReadinessSnapshot</w:t>
            </w:r>
          </w:p>
        </w:tc>
        <w:tc>
          <w:tcPr>
            <w:tcW w:type="dxa" w:w="3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Resultado reproducible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 hashes, requirement hash, coverage, blockers, stale</w:t>
            </w:r>
          </w:p>
        </w:tc>
      </w:tr>
    </w:tbl>
    <w:p>
      <w:pPr>
        <w:spacing w:after="0"/>
      </w:pPr>
    </w:p>
    <w:p>
      <w:pPr>
        <w:pStyle w:val="Heading2"/>
      </w:pPr>
      <w:r>
        <w:t>2.1 Lifecycles controlados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10"/>
        <w:gridCol w:w="425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Entidad</w:t>
            </w:r>
          </w:p>
        </w:tc>
        <w:tc>
          <w:tcPr>
            <w:tcW w:type="dxa" w:w="32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Estados / transición</w:t>
            </w:r>
          </w:p>
        </w:tc>
        <w:tc>
          <w:tcPr>
            <w:tcW w:type="dxa" w:w="42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Efecto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Fuente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 -&gt; ACTIVE -&gt; SUSPENDED/CLOSED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Sólo ACTIVE puede soportar financiación vigente.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Fondo</w:t>
            </w:r>
          </w:p>
        </w:tc>
        <w:tc>
          <w:tcPr>
            <w:tcW w:type="dxa" w:w="32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 -&gt; ACTIVE -&gt; SUSPENDED/CLOSED</w:t>
            </w:r>
          </w:p>
        </w:tc>
        <w:tc>
          <w:tcPr>
            <w:tcW w:type="dxa" w:w="4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Valida fuente, moneda, capacidad y periodo.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Asignación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DRAFT -&gt; RESERVED/CONFIRMED -&gt; RELEASED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RELEASED devuelve disponibilidad; CANCELLED sólo anula asignación no efectiva.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Readiness</w:t>
            </w:r>
          </w:p>
        </w:tc>
        <w:tc>
          <w:tcPr>
            <w:tcW w:type="dxa" w:w="32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NOT_STARTED / BLOCKED / STALE / READY</w:t>
            </w:r>
          </w:p>
        </w:tc>
        <w:tc>
          <w:tcPr>
            <w:tcW w:type="dxa" w:w="4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 habilita evidencia; los demás estados no.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INTEGRIDAD FINANCIERA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suma de asignaciones activas no puede superar la capacidad del fondo ni contar dos veces el mismo tramo. Las cancelaciones quedan auditadas; no se borran para corregir historia.</w:t>
            </w:r>
          </w:p>
        </w:tc>
      </w:tr>
    </w:tbl>
    <w:p>
      <w:pPr>
        <w:spacing w:after="0"/>
      </w:pPr>
    </w:p>
    <w:p>
      <w:pPr>
        <w:pStyle w:val="Heading2"/>
      </w:pPr>
      <w:r>
        <w:t>2.2 Decisión de lifecycle del cierre 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0"/>
        <w:gridCol w:w="1760"/>
        <w:gridCol w:w="1660"/>
        <w:gridCol w:w="4280"/>
      </w:tblGrid>
      <w:tr>
        <w:trPr>
          <w:tblHeader w:val="true"/>
          <w:cantSplit/>
        </w:trPr>
        <w:tc>
          <w:tcPr>
            <w:tcW w:type="dxa" w:w="1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Entidad</w:t>
            </w:r>
          </w:p>
        </w:tc>
        <w:tc>
          <w:tcPr>
            <w:tcW w:type="dxa" w:w="1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 candidato</w:t>
            </w:r>
          </w:p>
        </w:tc>
        <w:tc>
          <w:tcPr>
            <w:tcW w:type="dxa" w:w="1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Decisión</w:t>
            </w:r>
          </w:p>
        </w:tc>
        <w:tc>
          <w:tcPr>
            <w:tcW w:type="dxa" w:w="42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Rationale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Source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AUTHORIZED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KEEP CURRENT</w:t>
            </w:r>
          </w:p>
        </w:tc>
        <w:tc>
          <w:tcPr>
            <w:tcW w:type="dxa" w:w="4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ACTIVE ya representa autorización y activación gobernadas.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AUTHORIZED</w:t>
            </w:r>
          </w:p>
        </w:tc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PERSISTED</w:t>
            </w:r>
          </w:p>
        </w:tc>
        <w:tc>
          <w:tcPr>
            <w:tcW w:type="dxa" w:w="42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La autorización Four-Eyes cambia acciones y precede la activación.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EXHAUSTED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DERIVED</w:t>
            </w:r>
          </w:p>
        </w:tc>
        <w:tc>
          <w:tcPr>
            <w:tcW w:type="dxa" w:w="4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available_amount = 0 es reversible y evita desincronización.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SUPERSEDED</w:t>
            </w:r>
          </w:p>
        </w:tc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RESERVED</w:t>
            </w:r>
          </w:p>
        </w:tc>
        <w:tc>
          <w:tcPr>
            <w:tcW w:type="dxa" w:w="42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CLOSED, historia y revisiones preservan reemplazo sin una acción nueva.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RELEASED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PERSISTED</w:t>
            </w:r>
          </w:p>
        </w:tc>
        <w:tc>
          <w:tcPr>
            <w:tcW w:type="dxa" w:w="4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Devuelve capacidad y conserva significado de auditoría distinto de CANCELLED.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EXPIRED</w:t>
            </w:r>
          </w:p>
        </w:tc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DERIVED</w:t>
            </w:r>
          </w:p>
        </w:tc>
        <w:tc>
          <w:tcPr>
            <w:tcW w:type="dxa" w:w="42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Las fechas excluyen cobertura actual sin borrar el registro histórico.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ADR 53 - KEEP_CURRENT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persisten únicamente estados que cambian acciones, disponibilidad, readiness o significado de auditoría. EXHAUSTED y EXPIRED se derivan; no se requirió migración sucesora ni se modificó 20260827_0051.</w:t>
            </w:r>
          </w:p>
        </w:tc>
      </w:tr>
    </w:tbl>
    <w:p>
      <w:pPr>
        <w:spacing w:after="0"/>
      </w:pPr>
    </w:p>
    <w:p>
      <w:pPr>
        <w:pStyle w:val="Heading2"/>
      </w:pPr>
      <w:r>
        <w:t>2.3 Migración Alembic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Artefacto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20260827_0051_gate07j_funds_manager.py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Cuatro tablas aditivas con FKs tenant-scoped, checks, uniques e índices.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Upgrade</w:t>
            </w:r>
          </w:p>
        </w:tc>
        <w:tc>
          <w:tcPr>
            <w:tcW w:type="dxa" w:w="5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0046 -&gt; 0047 -&gt; 0048 -&gt; 0049 -&gt; 0050 -&gt; 0051 validado.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Reversibilidad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0051 -&gt; 0050 -&gt; 0051 validado sin afectar objetos previos.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Baseline persistente</w:t>
            </w:r>
          </w:p>
        </w:tc>
        <w:tc>
          <w:tcPr>
            <w:tcW w:type="dxa" w:w="5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Datos previos y hash de Project 14 permanecieron idénticos.</w:t>
            </w:r>
          </w:p>
        </w:tc>
      </w:tr>
    </w:tbl>
    <w:p>
      <w:pPr>
        <w:spacing w:after="0"/>
      </w:pPr>
    </w:p>
    <w:p>
      <w:pPr>
        <w:pStyle w:val="Heading1"/>
      </w:pPr>
      <w:r>
        <w:t>3. Motor de Funding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5320"/>
        <w:gridCol w:w="3040"/>
      </w:tblGrid>
      <w:tr>
        <w:trPr>
          <w:tblHeader w:val="true"/>
          <w:cantSplit/>
        </w:trPr>
        <w:tc>
          <w:tcPr>
            <w:tcW w:type="dxa" w:w="1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Paso</w:t>
            </w:r>
          </w:p>
        </w:tc>
        <w:tc>
          <w:tcPr>
            <w:tcW w:type="dxa" w:w="53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Cálculo / validación</w:t>
            </w:r>
          </w:p>
        </w:tc>
        <w:tc>
          <w:tcPr>
            <w:tcW w:type="dxa" w:w="30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Salida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5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Resolver recomendación Gate 07I y escenario presupuestal Gate 07G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Requerimiento y lineage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5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Seleccionar fuentes, fondos y asignaciones vigentes del mismo tenant/scope</w:t>
            </w:r>
          </w:p>
        </w:tc>
        <w:tc>
          <w:tcPr>
            <w:tcW w:type="dxa" w:w="30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Cobertura elegible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5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Aplicar moneda, restricciones, condiciones, periodo y no doble conteo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Warnings y blockers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5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Agregar por Portfolio, Project y periodo</w:t>
            </w:r>
          </w:p>
        </w:tc>
        <w:tc>
          <w:tcPr>
            <w:tcW w:type="dxa" w:w="30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Confirmed, reserved, gap y porcentajes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5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Sellar hashes de source, requirement y readiness</w:t>
            </w:r>
          </w:p>
        </w:tc>
        <w:tc>
          <w:tcPr>
            <w:tcW w:type="dxa" w:w="3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Snapshot reproducible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5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Comparar fuentes actuales contra snapshot</w:t>
            </w:r>
          </w:p>
        </w:tc>
        <w:tc>
          <w:tcPr>
            <w:tcW w:type="dxa" w:w="30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READY, BLOCKED, STALE o NOT_STARTED</w:t>
            </w:r>
          </w:p>
        </w:tc>
      </w:tr>
    </w:tbl>
    <w:p>
      <w:pPr>
        <w:spacing w:after="0"/>
      </w:pPr>
    </w:p>
    <w:p>
      <w:pPr>
        <w:pStyle w:val="Heading2"/>
      </w:pPr>
      <w:r>
        <w:t>3.1 Criterios de decisión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00"/>
        <w:gridCol w:w="25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5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 resumido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Gate 07J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READY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100% confirmado, moneda coherente, fuentes actuales, sin blocker abierto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Puede suministrar evidencia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BLOCKED</w:t>
            </w:r>
          </w:p>
        </w:tc>
        <w:tc>
          <w:tcPr>
            <w:tcW w:type="dxa" w:w="5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Gap, restricción incumplida, condición bloqueante o moneda incompatible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suministra evidencia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STALE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Cambió recomendación, presupuesto, configuración, fondo o asignación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Requiere refresh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NOT_STARTED</w:t>
            </w:r>
          </w:p>
        </w:tc>
        <w:tc>
          <w:tcPr>
            <w:tcW w:type="dxa" w:w="5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existe requerimiento/snapshot evaluable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suministra evidencia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SALIDA CONTRACTUAL EXCLUSIVA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estado READY produce final_output = READY_FOR_GOVERNED_FUNDING_EVIDENCE y can_supply_investment_gate_evidence = true. No produce GO, FID ni autorización de gasto.</w:t>
            </w:r>
          </w:p>
        </w:tc>
      </w:tr>
    </w:tbl>
    <w:p>
      <w:pPr>
        <w:spacing w:after="0"/>
      </w:pPr>
    </w:p>
    <w:p>
      <w:pPr>
        <w:pStyle w:val="Heading2"/>
      </w:pPr>
      <w:r>
        <w:t>3.2 Trazabilidad y vigencia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persistida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Source lineage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source_convergence_id, recommendation hash y project-set hash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Budget lineage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budget_scenario_id, budget hash y requirement hash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Funding lineage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source/fund/assignment snapshot y source hash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Resultado</w:t>
            </w:r>
          </w:p>
        </w:tc>
        <w:tc>
          <w:tcPr>
            <w:tcW w:type="dxa" w:w="6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coverage summaries, warnings, blockers y funding_readiness_hash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Freshness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source_current y comparación determinística de hashes</w:t>
            </w:r>
          </w:p>
        </w:tc>
      </w:tr>
    </w:tbl>
    <w:p>
      <w:pPr>
        <w:spacing w:after="0"/>
      </w:pPr>
    </w:p>
    <w:p>
      <w:pPr>
        <w:pStyle w:val="Heading1"/>
      </w:pPr>
      <w:r>
        <w:t>4. Gobierno, seguridad y concurrencia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69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Configuración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Starter DRAFT; clone/edit/preview/publish; resolución por tenant/scope.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Herencia</w:t>
            </w:r>
          </w:p>
        </w:tc>
        <w:tc>
          <w:tcPr>
            <w:tcW w:type="dxa" w:w="6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Enterprise, Portfolio y Project con política efectiva y hash de source.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Permisos separados para lectura, gestión, confirmación, readiness y configuración.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Four Eyes</w:t>
            </w:r>
          </w:p>
        </w:tc>
        <w:tc>
          <w:tcPr>
            <w:tcW w:type="dxa" w:w="6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Acciones de confirmación/publicación respetan segregación cuando la política la exige.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ETag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If-Match evita last-write-wins silencioso y responde 412 en conflicto.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Idempotencia</w:t>
            </w:r>
          </w:p>
        </w:tc>
        <w:tc>
          <w:tcPr>
            <w:tcW w:type="dxa" w:w="6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Claves tenant-scoped impiden duplicados en reintentos.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Auditoría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SecurityEvent conserva actor, target, transición, hashes y contexto.</w:t>
            </w:r>
          </w:p>
        </w:tc>
      </w:tr>
    </w:tbl>
    <w:p>
      <w:pPr>
        <w:spacing w:after="0"/>
      </w:pPr>
    </w:p>
    <w:p>
      <w:pPr>
        <w:pStyle w:val="Heading2"/>
      </w:pPr>
      <w:r>
        <w:t>4.1 Restricciones y condiciones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Dimensión</w:t>
            </w:r>
          </w:p>
        </w:tc>
        <w:tc>
          <w:tcPr>
            <w:tcW w:type="dxa" w:w="69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Comportamiento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Elegibilidad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Fuentes o fondos no elegibles quedan excluidos y explicados.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Uso restringido</w:t>
            </w:r>
          </w:p>
        </w:tc>
        <w:tc>
          <w:tcPr>
            <w:tcW w:type="dxa" w:w="6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El destino debe satisfacer etiquetas y condiciones de uso.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Condiciones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Open blocking impide READY; no blocking se presenta como warning.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Vigencia</w:t>
            </w:r>
          </w:p>
        </w:tc>
        <w:tc>
          <w:tcPr>
            <w:tcW w:type="dxa" w:w="6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Fechas fuera del periodo requerido bloquean la cobertura correspondiente.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Moneda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Sin FX explícito no se agrega una moneda diferente.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MODELO DE GOBIERNO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CAPITAL_OWNER es el comportamiento predeterminado. Ningún flujo obliga a que Contractor Delivery o Direct Internal administren financiación; sólo una configuración publicada y aplicable puede habilitar variantes.</w:t>
            </w:r>
          </w:p>
        </w:tc>
      </w:tr>
    </w:tbl>
    <w:p>
      <w:pPr>
        <w:spacing w:after="0"/>
      </w:pPr>
    </w:p>
    <w:p>
      <w:pPr>
        <w:pStyle w:val="Heading1"/>
      </w:pPr>
      <w:r>
        <w:t>5. API, interfaz y navegación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Superficie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API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Overview, sources, funds, assignments, readiness, refresh y evidence.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 API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List/clone/update/preview/publish de configuración efectiva.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USER UI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Overview, Sources, Funds, Assignments, Coverage, Restrictions, Conditions y Evidence.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 UI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General, policies, thresholds, governance models, inheritance, permissions y preview.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Workspace Context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Funds en Portfolio y Project Funding en Project.</w:t>
            </w:r>
          </w:p>
        </w:tc>
      </w:tr>
    </w:tbl>
    <w:p>
      <w:pPr>
        <w:spacing w:after="0"/>
      </w:pPr>
    </w:p>
    <w:p>
      <w:pPr>
        <w:pStyle w:val="Heading2"/>
      </w:pPr>
      <w:r>
        <w:t>5.1 Integración con Gate 07J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Contrato</w:t>
            </w:r>
          </w:p>
        </w:tc>
        <w:tc>
          <w:tcPr>
            <w:tcW w:type="dxa" w:w="6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source_module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FUNDS_MANAGER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requirement_type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FUNDING_READINESS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READY / BLOCKED / STALE / NOT_STARTED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payload</w:t>
            </w:r>
          </w:p>
        </w:tc>
        <w:tc>
          <w:tcPr>
            <w:tcW w:type="dxa" w:w="6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Coverage, gap, project/period summaries, restrictions, conditions y hashes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habilitación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Sólo READY + source_current + ausencia de blockers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EXPERIENCIA CONSISTENTE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capacidad se integró al árbol de macroprocesos, módulos y submódulos existente sin duplicar pantallas. USER MODE opera evidencia; ADMIN MODE configura políticas. El selector de modo y la navegación previa se conservan.</w:t>
            </w:r>
          </w:p>
        </w:tc>
      </w:tr>
    </w:tbl>
    <w:p>
      <w:pPr>
        <w:spacing w:after="0"/>
      </w:pPr>
    </w:p>
    <w:p>
      <w:pPr>
        <w:pStyle w:val="Heading1"/>
      </w:pPr>
      <w:r>
        <w:t>6. Validación y despliegue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1300"/>
        <w:gridCol w:w="5410"/>
      </w:tblGrid>
      <w:tr>
        <w:trPr>
          <w:tblHeader w:val="true"/>
          <w:cantSplit/>
        </w:trPr>
        <w:tc>
          <w:tcPr>
            <w:tcW w:type="dxa" w:w="2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Prueba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54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Detalle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focalizado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 passed; 1 skipped (PostgreSQL opt-in)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transversal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69/69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Gates 07E-07J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57/57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Total PostgreSQL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126/126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Migration cycle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0051 -&gt; 0050 -&gt; 0051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 / compile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errores en el alcance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ESLint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errores en alcance; spec E2E fuera del patrón de lint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TypeScript / Vite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2405 módulos; build de producción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Funds Manager 2/2; regresión global sin fallos de alcance observados</w:t>
            </w:r>
          </w:p>
        </w:tc>
      </w:tr>
      <w:tr>
        <w:trPr>
          <w:cantSplit/>
        </w:trPr>
        <w:tc>
          <w:tcPr>
            <w:tcW w:type="dxa" w:w="2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E2E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4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3/3 FLOW_PASS USER + ADMIN; 8,1 min</w:t>
            </w:r>
          </w:p>
        </w:tc>
      </w:tr>
    </w:tbl>
    <w:p>
      <w:pPr>
        <w:spacing w:after="0"/>
      </w:pPr>
    </w:p>
    <w:p>
      <w:pPr>
        <w:pStyle w:val="Heading2"/>
      </w:pPr>
      <w:r>
        <w:t>6.1 Protección del baseline persistente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600"/>
        <w:gridCol w:w="2600"/>
        <w:gridCol w:w="16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Antes</w:t>
            </w:r>
          </w:p>
        </w:tc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Después</w:t>
            </w:r>
          </w:p>
        </w:tc>
        <w:tc>
          <w:tcPr>
            <w:tcW w:type="dxa" w:w="1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configurations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Enterprise workspaces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accounts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14 defaults MD5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eea3648c6908a267d1e0651828ff4459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eea3648c6908a267d1e0651828ff4459</w:t>
            </w:r>
          </w:p>
        </w:tc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Strategic sources / funds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Assignments / snapshots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</w:t>
            </w:r>
          </w:p>
        </w:tc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/ 0</w:t>
            </w:r>
          </w:p>
        </w:tc>
        <w:tc>
          <w:tcPr>
            <w:tcW w:type="dxa" w:w="1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 head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0051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MATCH</w:t>
            </w:r>
          </w:p>
        </w:tc>
      </w:tr>
    </w:tbl>
    <w:p>
      <w:pPr>
        <w:spacing w:after="0"/>
      </w:pPr>
    </w:p>
    <w:p>
      <w:pPr>
        <w:pStyle w:val="Heading1"/>
      </w:pPr>
      <w:r>
        <w:t>7. Lifecycle &amp; Browser E2E Release Closeout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DECISIÓN DE RELEASE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Los criterios del PROMPT 07J-FUND-H quedaron cubiertos sin expandir alcance. La suite Browser usa frontend, API y PostgreSQL reales, sin mocks de negocio, y fue ejecutada tres veces de forma consecutiva.</w:t>
            </w:r>
          </w:p>
        </w:tc>
      </w:tr>
    </w:tbl>
    <w:p>
      <w:pPr>
        <w:spacing w:after="0"/>
      </w:pPr>
    </w:p>
    <w:p>
      <w:pPr>
        <w:pStyle w:val="Heading2"/>
      </w:pPr>
      <w:r>
        <w:t>7.1 Flujo USER validado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6160"/>
        <w:gridCol w:w="1350"/>
      </w:tblGrid>
      <w:tr>
        <w:trPr>
          <w:tblHeader w:val="true"/>
          <w:cantSplit/>
        </w:trPr>
        <w:tc>
          <w:tcPr>
            <w:tcW w:type="dxa" w:w="1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 Browser E2E</w:t>
            </w:r>
          </w:p>
        </w:tc>
        <w:tc>
          <w:tcPr>
            <w:tcW w:type="dxa" w:w="13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Source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Código, tipo, moneda, vigencia, status, restricciones y evidencia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Source, capacidad autorizada, assigned/available, vigencia y restricciones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DRAFT -&gt; RESERVED -&gt; CONFIRMED; número estable y ETag cambiante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Coverage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Required 100, Confirmed 100, Reserved 0, Gap 0, Coverage 100%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READY, source_current=true, hash presente, sin blockers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07J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FUNDS_MANAGER / FUNDING_READINESS / GOVERNED_SOURCE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Release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Histórico preservado; coverage baja y disponibilidad aumenta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Expiry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Asignación histórica visible; contribución actual cero; readiness recalculado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t>7.2 Casos negativos y guardrails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70"/>
        <w:gridCol w:w="5940"/>
        <w:gridCol w:w="1350"/>
      </w:tblGrid>
      <w:tr>
        <w:trPr>
          <w:tblHeader w:val="true"/>
          <w:cantSplit/>
        </w:trPr>
        <w:tc>
          <w:tcPr>
            <w:tcW w:type="dxa" w:w="207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594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Comportamiento comprobado</w:t>
            </w:r>
          </w:p>
        </w:tc>
        <w:tc>
          <w:tcPr>
            <w:tcW w:type="dxa" w:w="13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Partial funding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Confirmed 70%, potential 90%, gap 30; no READY automático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Currency mismatch</w:t>
            </w:r>
          </w:p>
        </w:tc>
        <w:tc>
          <w:tcPr>
            <w:tcW w:type="dxa" w:w="5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COP vs USD sin normalización produce CURRENCY_NOT_COMPARABLE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Restriction mismatch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Fondo inelegible se excluye con razón explícita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Blocking condition</w:t>
            </w:r>
          </w:p>
        </w:tc>
        <w:tc>
          <w:tcPr>
            <w:tcW w:type="dxa" w:w="5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OPEN bloquea; al satisfacerse, readiness se recalcula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 source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Cambios de source exponen STALE y delta antes de refresh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Over-allocation</w:t>
            </w:r>
          </w:p>
        </w:tc>
        <w:tc>
          <w:tcPr>
            <w:tcW w:type="dxa" w:w="5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70 + 70 sobre 100 se rechaza transaccionalmente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double count</w:t>
            </w:r>
          </w:p>
        </w:tc>
        <w:tc>
          <w:tcPr>
            <w:tcW w:type="dxa" w:w="5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Subasignaciones explican distribución y no duplican cobertura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CONTRACTOR_DELIVERY</w:t>
            </w:r>
          </w:p>
        </w:tc>
        <w:tc>
          <w:tcPr>
            <w:tcW w:type="dxa" w:w="59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readiness no es obligatorio por defecto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t>7.3 Flujo ADMIN y controles de plataforma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910"/>
        <w:gridCol w:w="135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59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3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Clone/Edit</w:t>
            </w:r>
          </w:p>
        </w:tc>
        <w:tc>
          <w:tcPr>
            <w:tcW w:type="dxa" w:w="5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Configuración efectiva clonada a DRAFT y campos gobernados editados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</w:t>
            </w:r>
          </w:p>
        </w:tc>
        <w:tc>
          <w:tcPr>
            <w:tcW w:type="dxa" w:w="5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persisted=false; no crea Source, Fund, Assignment ni Snapshot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Save</w:t>
            </w:r>
          </w:p>
        </w:tc>
        <w:tc>
          <w:tcPr>
            <w:tcW w:type="dxa" w:w="5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If-Match, revision_version y ETag; permanece DRAFT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 ETag</w:t>
            </w:r>
          </w:p>
        </w:tc>
        <w:tc>
          <w:tcPr>
            <w:tcW w:type="dxa" w:w="5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Segunda sesión obtiene 412 ETAG_MISMATCH sin overwrite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Publish</w:t>
            </w:r>
          </w:p>
        </w:tc>
        <w:tc>
          <w:tcPr>
            <w:tcW w:type="dxa" w:w="5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Nueva revisión PUBLISHED; anterior inmutable; hash efectivo cambia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Inheritance</w:t>
            </w:r>
          </w:p>
        </w:tc>
        <w:tc>
          <w:tcPr>
            <w:tcW w:type="dxa" w:w="5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Nearest published override resuelto por Tenant/Enterprise/Portfolio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Four-Eyes</w:t>
            </w:r>
          </w:p>
        </w:tc>
        <w:tc>
          <w:tcPr>
            <w:tcW w:type="dxa" w:w="5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Mismo actor rechazado; segundo actor autorizado completa la acción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Idempotency</w:t>
            </w:r>
          </w:p>
        </w:tc>
        <w:tc>
          <w:tcPr>
            <w:tcW w:type="dxa" w:w="5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Retry de create/confirm no duplica asignación ni coverage</w:t>
            </w:r>
          </w:p>
        </w:tc>
        <w:tc>
          <w:tcPr>
            <w:tcW w:type="dxa" w:w="13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Console/network</w:t>
            </w:r>
          </w:p>
        </w:tc>
        <w:tc>
          <w:tcPr>
            <w:tcW w:type="dxa" w:w="5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 errores no controlados; sólo conflictos negativos esperados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t>7.4 Estabilidad, datos efímeros y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60"/>
        <w:gridCol w:w="1700"/>
        <w:gridCol w:w="240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Ejecución</w:t>
            </w:r>
          </w:p>
        </w:tc>
        <w:tc>
          <w:tcPr>
            <w:tcW w:type="dxa" w:w="3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Preparación determinística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Browser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Teardown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FLOW 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Prerequisites READY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FLOW 2</w:t>
            </w:r>
          </w:p>
        </w:tc>
        <w:tc>
          <w:tcPr>
            <w:tcW w:type="dxa" w:w="3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Prerequisites READY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FLOW 3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Prerequisites READY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PASS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MATCH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PROTECCIÓN PERSISTENTE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fixture creó datos aislados para tres copias, reutilizó prerequisites idempotentes y eliminó configuraciones, workspaces, sources, funds, assignments, snapshots y recomendaciones. PERSISTENT_BASELINE_MATCH=True; Project 14 no fue usado destructivamente.</w:t>
            </w:r>
          </w:p>
        </w:tc>
      </w:tr>
    </w:tbl>
    <w:p>
      <w:pPr>
        <w:spacing w:after="0"/>
      </w:pPr>
    </w:p>
    <w:p>
      <w:pPr>
        <w:pStyle w:val="Heading2"/>
      </w:pPr>
      <w:r>
        <w:t>7.5 Defectos mínimos corregidos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4460"/>
        <w:gridCol w:w="2650"/>
      </w:tblGrid>
      <w:tr>
        <w:trPr>
          <w:tblHeader w:val="true"/>
          <w:cantSplit/>
        </w:trPr>
        <w:tc>
          <w:tcPr>
            <w:tcW w:type="dxa" w:w="22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Hallazgo</w:t>
            </w:r>
          </w:p>
        </w:tc>
        <w:tc>
          <w:tcPr>
            <w:tcW w:type="dxa" w:w="4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Corrección aplicada</w:t>
            </w:r>
          </w:p>
        </w:tc>
        <w:tc>
          <w:tcPr>
            <w:tcW w:type="dxa" w:w="2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Impacto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Semántica de release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RELEASED diferenciado de CANCELLED y cubierto por auditoría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Disponibilidad e historia correctas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Expiry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Estado derivado por vigencia y exclusión de coverage</w:t>
            </w:r>
          </w:p>
        </w:tc>
        <w:tc>
          <w:tcPr>
            <w:tcW w:type="dxa" w:w="2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estado persistido redundante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Capital owner applicability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Resolución por membresía activa del Portfolio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CONTRACTOR opcional por defecto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Blocking precedence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Condiciones bloqueantes preceden estados no aplicables</w:t>
            </w:r>
          </w:p>
        </w:tc>
        <w:tc>
          <w:tcPr>
            <w:tcW w:type="dxa" w:w="2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 consistente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Preview UI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Mensaje de acción ya no se sobrescribe y persisted=false queda visible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Contrato ADMIN verificable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Fixture E2E</w:t>
            </w:r>
          </w:p>
        </w:tc>
        <w:tc>
          <w:tcPr>
            <w:tcW w:type="dxa" w:w="44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Prerequisites 07F/07G/07H/07I/FUND idempotentes y teardown circular seguro</w:t>
            </w:r>
          </w:p>
        </w:tc>
        <w:tc>
          <w:tcPr>
            <w:tcW w:type="dxa" w:w="2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Tres corridas reproducibles</w:t>
            </w:r>
          </w:p>
        </w:tc>
      </w:tr>
    </w:tbl>
    <w:p>
      <w:pPr>
        <w:spacing w:after="0"/>
      </w:pPr>
    </w:p>
    <w:p>
      <w:pPr>
        <w:pStyle w:val="Heading1"/>
      </w:pPr>
      <w:r>
        <w:t>8. Matriz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10"/>
        <w:gridCol w:w="1550"/>
      </w:tblGrid>
      <w:tr>
        <w:trPr>
          <w:tblHeader w:val="true"/>
          <w:cantSplit/>
        </w:trPr>
        <w:tc>
          <w:tcPr>
            <w:tcW w:type="dxa" w:w="78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Criterio</w:t>
            </w:r>
          </w:p>
        </w:tc>
        <w:tc>
          <w:tcPr>
            <w:tcW w:type="dxa" w:w="15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Source lifecycle decision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 AUTHORIZED decision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 EXHAUSTED decision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 SUPERSEDED decision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Assignment RELEASED decision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Assignment EXPIRED decision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Lifecycle ADR completed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Funding Source flow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Fund flow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Assignment DRAFT-&gt;RESERVED-&gt;CONFIRMED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Coverage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Funding Readiness READY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Gate07J governed evidence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Release semantics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Expiry semantics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Partial funding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Currency mismatch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Restriction mismatch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Blocking condition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 source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Over-allocation protection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double count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CONTRACTOR_DELIVERY optional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Clone DRAFT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Edit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Preview persisted=false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Save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stale ETag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Publish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 inheritance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Four-Eyes / SoD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Idempotency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Treasury/Accounting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Commitments/Payments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Investment/FID controls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Initialization/Activation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console/network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Playwright 3 consecutive runs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regression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 regression</w:t>
            </w:r>
          </w:p>
        </w:tc>
        <w:tc>
          <w:tcPr>
            <w:tcW w:type="dxa" w:w="15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7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Persistent baseline protected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ESTADO EXCLUSIVO FINAL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GATE07J_FUND_RELEASE_VALIDATED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DESPLIEGUE ACTIVO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Docker Compose mantiene API, worker, beat y frontend activos; PostgreSQL y Redis están healthy. Aplicación: http://localhost:5173/app. API readiness: http://localhost:8000/api/v1/health/ready.</w:t>
            </w:r>
          </w:p>
        </w:tc>
      </w:tr>
    </w:tbl>
    <w:p>
      <w:pPr>
        <w:spacing w:after="0"/>
      </w:pPr>
    </w:p>
    <w:p>
      <w:pPr>
        <w:pStyle w:val="Heading1"/>
      </w:pPr>
      <w:r>
        <w:t>9. Cierre técnico, riesgos y STOP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1450"/>
        <w:gridCol w:w="5660"/>
      </w:tblGrid>
      <w:tr>
        <w:trPr>
          <w:tblHeader w:val="true"/>
          <w:cantSplit/>
        </w:trPr>
        <w:tc>
          <w:tcPr>
            <w:tcW w:type="dxa" w:w="22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Aspecto</w:t>
            </w:r>
          </w:p>
        </w:tc>
        <w:tc>
          <w:tcPr>
            <w:tcW w:type="dxa" w:w="14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5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Observación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Arquitectura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CLOSED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Límites y lifecycle documentados en ADR 52 y ADR 53.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Funcionalidad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CLOSED</w:t>
            </w:r>
          </w:p>
        </w:tc>
        <w:tc>
          <w:tcPr>
            <w:tcW w:type="dxa" w:w="5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Sources -&gt; Funds -&gt; Assignments -&gt; Readiness -&gt; Evidence.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Persistencia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CLOSED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Migración aditiva y reversible, schema validado.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Seguridad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CLOSED</w:t>
            </w:r>
          </w:p>
        </w:tc>
        <w:tc>
          <w:tcPr>
            <w:tcW w:type="dxa" w:w="5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RBAC, Four Eyes, ETag, idempotencia y eventos.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Release local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CLOSED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Servicios healthy y 3/3 FLOW_PASS.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Escalabilidad</w:t>
            </w:r>
          </w:p>
        </w:tc>
        <w:tc>
          <w:tcPr>
            <w:tcW w:type="dxa" w:w="1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WATCH</w:t>
            </w:r>
          </w:p>
        </w:tc>
        <w:tc>
          <w:tcPr>
            <w:tcW w:type="dxa" w:w="56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Paginar histories y matrices cuando aumente el volumen.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FX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STOP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No habilitar conversión hasta definir fuente, fecha y política de tasa.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ESTADO FINAL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GATE07J_FUND_RELEASE_VALIDATED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 BOUNDARY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No implementar ni inferir Investment Decision/FID, GO/HOLD/RECYCLE/KILL, Tesorería, Contabilidad, compromisos, pagos, Project Initialization, Activation o Execution. Funds Manager se detiene en evidencia gobernada de funding readiness.</w:t>
            </w:r>
          </w:p>
        </w:tc>
      </w:tr>
    </w:tbl>
    <w:p>
      <w:pPr>
        <w:spacing w:after="0"/>
      </w:pPr>
    </w:p>
    <w:p>
      <w:pPr>
        <w:pStyle w:val="Heading2"/>
      </w:pPr>
      <w:r>
        <w:t>9.1 Inventario técnico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type="dxa" w:w="22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71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Ruta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backend/app/modules/funds_manager/{models,schemas,service,router}.py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Migración</w:t>
            </w:r>
          </w:p>
        </w:tc>
        <w:tc>
          <w:tcPr>
            <w:tcW w:type="dxa" w:w="71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backend/alembic/versions/20260827_0051_gate07j_funds_manager.py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Adapter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backend/app/modules/investment_gate_preparation/service.py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</w:t>
            </w:r>
          </w:p>
        </w:tc>
        <w:tc>
          <w:tcPr>
            <w:tcW w:type="dxa" w:w="71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frontend/src/features/funds-manager/*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Navegación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frontend/src/navigation/applicationNavigation.ts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Tests</w:t>
            </w:r>
          </w:p>
        </w:tc>
        <w:tc>
          <w:tcPr>
            <w:tcW w:type="dxa" w:w="71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backend/tests/*funds_manager* y frontend/e2e/funds-manager.spec.ts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ADR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docs/52-adr-gate07j-fund-funds-manager.md y docs/53-adr-gate07j-fund-lifecycle-closeout.md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CI</w:t>
            </w:r>
          </w:p>
        </w:tc>
        <w:tc>
          <w:tcPr>
            <w:tcW w:type="dxa" w:w="71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.github/workflows/ci.yml y docker-compose.gate07e.yml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07J-FUND - Funds Manager</dc:title>
  <dc:subject>Lifecycle &amp; Browser E2E Release Closeout de Funding Readiness gobernado</dc:subject>
  <dc:creator>P&amp;Pmis Construction AI</dc:creator>
  <cp:keywords>Gate 07J, Funds Manager, Funding Readiness, Portfolio, Project, evidence</cp:keywords>
  <dc:description>Updated from verified repository evidence on 2026-08-30.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