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658368" cy="592905"/>
            <wp:docPr id="1" name="Picture 1" descr="Logotipo de P&amp;Pmis Construction AI" title="P&amp;Pmis Construction AI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ypmis-construction-ai-log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8368" cy="5929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Calibri" w:hAnsi="Calibri"/>
          <w:b/>
          <w:i w:val="0"/>
          <w:color w:val="0D8F8B"/>
          <w:sz w:val="20"/>
        </w:rPr>
        <w:t>INFORME TÉCNICO DE IMPLEMENTACIÓN</w:t>
      </w:r>
    </w:p>
    <w:p>
      <w:pPr>
        <w:keepNext/>
        <w:spacing w:after="80"/>
      </w:pPr>
      <w:r>
        <w:rPr>
          <w:rFonts w:ascii="Calibri" w:hAnsi="Calibri"/>
          <w:b/>
          <w:i w:val="0"/>
          <w:color w:val="0B2545"/>
          <w:sz w:val="50"/>
        </w:rPr>
        <w:t>Gate 07J-RISK</w:t>
      </w:r>
    </w:p>
    <w:p>
      <w:pPr>
        <w:spacing w:after="320"/>
      </w:pPr>
      <w:r>
        <w:rPr>
          <w:rFonts w:ascii="Calibri" w:hAnsi="Calibri"/>
          <w:b/>
          <w:i w:val="0"/>
          <w:color w:val="1F4D78"/>
          <w:sz w:val="30"/>
        </w:rPr>
        <w:t>Risk Readiness Governed Provider</w:t>
      </w:r>
    </w:p>
    <w:p>
      <w:pPr>
        <w:spacing w:after="40"/>
      </w:pPr>
      <w:r>
        <w:rPr>
          <w:rFonts w:ascii="Calibri" w:hAnsi="Calibri"/>
          <w:b/>
          <w:i w:val="0"/>
          <w:color w:val="0B2545"/>
          <w:sz w:val="21"/>
        </w:rPr>
        <w:t xml:space="preserve">Aplicación: </w:t>
      </w:r>
      <w:r>
        <w:rPr>
          <w:rFonts w:ascii="Calibri" w:hAnsi="Calibri"/>
          <w:i w:val="0"/>
          <w:color w:val="000000"/>
          <w:sz w:val="21"/>
        </w:rPr>
        <w:t>P&amp;Pmis Construction AI</w:t>
      </w:r>
    </w:p>
    <w:p>
      <w:pPr>
        <w:spacing w:after="40"/>
      </w:pPr>
      <w:r>
        <w:rPr>
          <w:rFonts w:ascii="Calibri" w:hAnsi="Calibri"/>
          <w:b/>
          <w:i w:val="0"/>
          <w:color w:val="0B2545"/>
          <w:sz w:val="21"/>
        </w:rPr>
        <w:t xml:space="preserve">Fecha de corte: </w:t>
      </w:r>
      <w:r>
        <w:rPr>
          <w:rFonts w:ascii="Calibri" w:hAnsi="Calibri"/>
          <w:i w:val="0"/>
          <w:color w:val="000000"/>
          <w:sz w:val="21"/>
        </w:rPr>
        <w:t>31 de agosto de 2026</w:t>
      </w:r>
    </w:p>
    <w:p>
      <w:pPr>
        <w:spacing w:after="40"/>
      </w:pPr>
      <w:r>
        <w:rPr>
          <w:rFonts w:ascii="Calibri" w:hAnsi="Calibri"/>
          <w:b/>
          <w:i w:val="0"/>
          <w:color w:val="0B2545"/>
          <w:sz w:val="21"/>
        </w:rPr>
        <w:t xml:space="preserve">Repositorio: </w:t>
      </w:r>
      <w:r>
        <w:rPr>
          <w:rFonts w:ascii="Calibri" w:hAnsi="Calibri"/>
          <w:i w:val="0"/>
          <w:color w:val="000000"/>
          <w:sz w:val="21"/>
        </w:rPr>
        <w:t>pypmis-ia-sas · branch main · base fde6027</w:t>
      </w:r>
    </w:p>
    <w:p>
      <w:pPr>
        <w:spacing w:after="40"/>
      </w:pPr>
      <w:r>
        <w:rPr>
          <w:rFonts w:ascii="Calibri" w:hAnsi="Calibri"/>
          <w:b/>
          <w:i w:val="0"/>
          <w:color w:val="0B2545"/>
          <w:sz w:val="21"/>
        </w:rPr>
        <w:t xml:space="preserve">Migración: </w:t>
      </w:r>
      <w:r>
        <w:rPr>
          <w:rFonts w:ascii="Calibri" w:hAnsi="Calibri"/>
          <w:i w:val="0"/>
          <w:color w:val="000000"/>
          <w:sz w:val="21"/>
        </w:rPr>
        <w:t>20260830_0053</w:t>
      </w:r>
    </w:p>
    <w:p>
      <w:pPr>
        <w:spacing w:after="40"/>
      </w:pPr>
      <w:r>
        <w:rPr>
          <w:rFonts w:ascii="Calibri" w:hAnsi="Calibri"/>
          <w:b/>
          <w:i w:val="0"/>
          <w:color w:val="0B2545"/>
          <w:sz w:val="21"/>
        </w:rPr>
        <w:t xml:space="preserve">Salida funcional: </w:t>
      </w:r>
      <w:r>
        <w:rPr>
          <w:rFonts w:ascii="Calibri" w:hAnsi="Calibri"/>
          <w:i w:val="0"/>
          <w:color w:val="000000"/>
          <w:sz w:val="21"/>
        </w:rPr>
        <w:t>READY_FOR_GOVERNED_RISK_EVIDENCE</w:t>
      </w:r>
    </w:p>
    <w:p>
      <w:pPr>
        <w:spacing w:after="40"/>
      </w:pPr>
      <w:r>
        <w:rPr>
          <w:rFonts w:ascii="Calibri" w:hAnsi="Calibri"/>
          <w:b/>
          <w:i w:val="0"/>
          <w:color w:val="0B2545"/>
          <w:sz w:val="21"/>
        </w:rPr>
        <w:t xml:space="preserve">Estado exclusivo: </w:t>
      </w:r>
      <w:r>
        <w:rPr>
          <w:rFonts w:ascii="Calibri" w:hAnsi="Calibri"/>
          <w:i w:val="0"/>
          <w:color w:val="000000"/>
          <w:sz w:val="21"/>
        </w:rPr>
        <w:t>GATE07J_RISK_RELEASE_VALIDATED</w:t>
      </w:r>
    </w:p>
    <w:p>
      <w:pPr>
        <w:spacing w:before="200" w:after="280"/>
        <w:pBdr>
          <w:bottom w:val="single" w:sz="14" w:space="1" w:color="2E74B5"/>
        </w:pBdr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EAF7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RESULTADO EJECUTIVO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Se implementó el proveedor gobernado RISK_READINESS_PROVIDER sobre un único registro ProjectRisk y evaluaciones versionadas e inmutables. PYP-FFA conserva Class A, bloqueo, 100% de cobertura, 90 días y cero fallback manual; PYP-INV-SELECT conserva Class B no bloqueante. La entrega no crea ERM, QRA, Permit Readiness, Investment Decision ni FID.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1300"/>
        <w:gridCol w:w="6160"/>
      </w:tblGrid>
      <w:tr>
        <w:trPr>
          <w:tblHeader w:val="true"/>
          <w:cantSplit/>
        </w:trPr>
        <w:tc>
          <w:tcPr>
            <w:tcW w:type="dxa" w:w="19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Capa</w:t>
            </w:r>
          </w:p>
        </w:tc>
        <w:tc>
          <w:tcPr>
            <w:tcW w:type="dxa" w:w="13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Resultado</w:t>
            </w:r>
          </w:p>
        </w:tc>
        <w:tc>
          <w:tcPr>
            <w:tcW w:type="dxa" w:w="61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Evidencia verificable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Dominio / API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PASS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ProjectRisk, assessments, readiness Project/Set, 19 rutas OpenAPI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Gate 07J-EVID</w:t>
            </w:r>
          </w:p>
        </w:tc>
        <w:tc>
          <w:tcPr>
            <w:tcW w:type="dxa" w:w="13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PASS</w:t>
            </w:r>
          </w:p>
        </w:tc>
        <w:tc>
          <w:tcPr>
            <w:tcW w:type="dxa" w:w="61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Provider AVAILABLE; GOVERNED_SOURCE; no fallback Class A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PostgreSQL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PASS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69/69 + 74/74; upgrade/downgrade/upgrade 0053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Frontend</w:t>
            </w:r>
          </w:p>
        </w:tc>
        <w:tc>
          <w:tcPr>
            <w:tcW w:type="dxa" w:w="13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PASS</w:t>
            </w:r>
          </w:p>
        </w:tc>
        <w:tc>
          <w:tcPr>
            <w:tcW w:type="dxa" w:w="61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8 USER views; 16 ADMIN tabs; filters y matrices completas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Browser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PASS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Chromium USER/ADMIN; 0 uncaught; no controles FID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Localhost</w:t>
            </w:r>
          </w:p>
        </w:tc>
        <w:tc>
          <w:tcPr>
            <w:tcW w:type="dxa" w:w="13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ACTIVE</w:t>
            </w:r>
          </w:p>
        </w:tc>
        <w:tc>
          <w:tcPr>
            <w:tcW w:type="dxa" w:w="61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Frontend 5173; API 8000 ready; Alembic 0053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t>Contenido y trazabilidad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5600"/>
        <w:gridCol w:w="2710"/>
      </w:tblGrid>
      <w:tr>
        <w:trPr>
          <w:tblHeader w:val="true"/>
          <w:cantSplit/>
        </w:trPr>
        <w:tc>
          <w:tcPr>
            <w:tcW w:type="dxa" w:w="105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Capítulo</w:t>
            </w:r>
          </w:p>
        </w:tc>
        <w:tc>
          <w:tcPr>
            <w:tcW w:type="dxa" w:w="56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Tema</w:t>
            </w:r>
          </w:p>
        </w:tc>
        <w:tc>
          <w:tcPr>
            <w:tcW w:type="dxa" w:w="271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Entregables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5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Baseline, alcance y decisiones de reutilización</w:t>
            </w:r>
          </w:p>
        </w:tc>
        <w:tc>
          <w:tcPr>
            <w:tcW w:type="dxa" w:w="2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1-6</w:t>
            </w:r>
          </w:p>
        </w:tc>
      </w:tr>
      <w:tr>
        <w:trPr>
          <w:cantSplit/>
        </w:trPr>
        <w:tc>
          <w:tcPr>
            <w:tcW w:type="dxa" w:w="10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56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Dominio Project Risk y lifecycle</w:t>
            </w:r>
          </w:p>
        </w:tc>
        <w:tc>
          <w:tcPr>
            <w:tcW w:type="dxa" w:w="271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7-16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5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Política y cálculo de Risk Readiness</w:t>
            </w:r>
          </w:p>
        </w:tc>
        <w:tc>
          <w:tcPr>
            <w:tcW w:type="dxa" w:w="2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17-28</w:t>
            </w:r>
          </w:p>
        </w:tc>
      </w:tr>
      <w:tr>
        <w:trPr>
          <w:cantSplit/>
        </w:trPr>
        <w:tc>
          <w:tcPr>
            <w:tcW w:type="dxa" w:w="10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56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Proveedor Gate 07J y perfiles</w:t>
            </w:r>
          </w:p>
        </w:tc>
        <w:tc>
          <w:tcPr>
            <w:tcW w:type="dxa" w:w="271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29-35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5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ADMIN, USER, seguridad y APIs</w:t>
            </w:r>
          </w:p>
        </w:tc>
        <w:tc>
          <w:tcPr>
            <w:tcW w:type="dxa" w:w="2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36-46</w:t>
            </w:r>
          </w:p>
        </w:tc>
      </w:tr>
      <w:tr>
        <w:trPr>
          <w:cantSplit/>
        </w:trPr>
        <w:tc>
          <w:tcPr>
            <w:tcW w:type="dxa" w:w="10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56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Pruebas, regresión y baseline persistente</w:t>
            </w:r>
          </w:p>
        </w:tc>
        <w:tc>
          <w:tcPr>
            <w:tcW w:type="dxa" w:w="271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47-64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5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Riesgos, gap analysis y cierre</w:t>
            </w:r>
          </w:p>
        </w:tc>
        <w:tc>
          <w:tcPr>
            <w:tcW w:type="dxa" w:w="2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65-69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CÓMO LEER ESTE INFORME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El capítulo 8 contiene una matriz final de los 69 entregables del PROMPT 07J-RISK. Los resultados de pruebas corresponden a comandos ejecutados en esta entrega y el baseline local se midió antes y después.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1. Baseline, alcance y REUSE BEFORE CREATE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3200"/>
        <w:gridCol w:w="4160"/>
      </w:tblGrid>
      <w:tr>
        <w:trPr>
          <w:tblHeader w:val="true"/>
          <w:cantSplit/>
        </w:trPr>
        <w:tc>
          <w:tcPr>
            <w:tcW w:type="dxa" w:w="20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Baseline</w:t>
            </w:r>
          </w:p>
        </w:tc>
        <w:tc>
          <w:tcPr>
            <w:tcW w:type="dxa" w:w="32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Estado de entrada</w:t>
            </w:r>
          </w:p>
        </w:tc>
        <w:tc>
          <w:tcPr>
            <w:tcW w:type="dxa" w:w="41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Decisión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Alembic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20260830_0052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Sucesora aditiva y reversible 0053</w:t>
            </w:r>
          </w:p>
        </w:tc>
      </w:tr>
      <w:tr>
        <w:trPr>
          <w:cantSplit/>
        </w:trPr>
        <w:tc>
          <w:tcPr>
            <w:tcW w:type="dxa" w:w="2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Gate 07J-EVID</w:t>
            </w:r>
          </w:p>
        </w:tc>
        <w:tc>
          <w:tcPr>
            <w:tcW w:type="dxa" w:w="3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Risk provider RESERVED / UNAVAILABLE</w:t>
            </w:r>
          </w:p>
        </w:tc>
        <w:tc>
          <w:tcPr>
            <w:tcW w:type="dxa" w:w="41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Registrar provider real y conservar policy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PYP-INV-SELECT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Risk B · no block · 90 d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Sin cambio</w:t>
            </w:r>
          </w:p>
        </w:tc>
      </w:tr>
      <w:tr>
        <w:trPr>
          <w:cantSplit/>
        </w:trPr>
        <w:tc>
          <w:tcPr>
            <w:tcW w:type="dxa" w:w="2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PYP-FFA</w:t>
            </w:r>
          </w:p>
        </w:tc>
        <w:tc>
          <w:tcPr>
            <w:tcW w:type="dxa" w:w="3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Risk A · block · 100% · 90 d</w:t>
            </w:r>
          </w:p>
        </w:tc>
        <w:tc>
          <w:tcPr>
            <w:tcW w:type="dxa" w:w="41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Sin cambio; no manual fallback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Gate 07J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READY_FOR_INVESTMENT_DECISION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Sólo consumir evidencia; can_enter_fid=false</w:t>
            </w:r>
          </w:p>
        </w:tc>
      </w:tr>
    </w:tbl>
    <w:p>
      <w:pPr>
        <w:spacing w:after="0"/>
      </w:pPr>
    </w:p>
    <w:p>
      <w:pPr>
        <w:pStyle w:val="Heading2"/>
      </w:pPr>
      <w:r>
        <w:t>1.1 Inventario reutilizado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tblHeader w:val="true"/>
          <w:cantSplit/>
        </w:trPr>
        <w:tc>
          <w:tcPr>
            <w:tcW w:type="dxa" w:w="30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Capacidad existente</w:t>
            </w:r>
          </w:p>
        </w:tc>
        <w:tc>
          <w:tcPr>
            <w:tcW w:type="dxa" w:w="63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Uso en 07J-RISK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EnterpriseWorkspace(PROJECT)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Identidad canónica; no se creó un Project master paralelo</w:t>
            </w:r>
          </w:p>
        </w:tc>
      </w:tr>
      <w:tr>
        <w:trPr>
          <w:cantSplit/>
        </w:trPr>
        <w:tc>
          <w:tcPr>
            <w:tcW w:type="dxa" w:w="3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Gate 07I</w:t>
            </w:r>
          </w:p>
        </w:tc>
        <w:tc>
          <w:tcPr>
            <w:tcW w:type="dxa" w:w="63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Recommended Project Set y hash para agregación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Gate 07F / 07E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Métricas de riesgo como referencias read-only</w:t>
            </w:r>
          </w:p>
        </w:tc>
      </w:tr>
      <w:tr>
        <w:trPr>
          <w:cantSplit/>
        </w:trPr>
        <w:tc>
          <w:tcPr>
            <w:tcW w:type="dxa" w:w="3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Gate 07J-FEL</w:t>
            </w:r>
          </w:p>
        </w:tc>
        <w:tc>
          <w:tcPr>
            <w:tcW w:type="dxa" w:w="63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Dependencia de freshness configurable; no duplica madurez FEL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Gate 07G / 07J-FUND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Riesgos pueden referenciarlos; no recalculan Budget/Funding</w:t>
            </w:r>
          </w:p>
        </w:tc>
      </w:tr>
      <w:tr>
        <w:trPr>
          <w:cantSplit/>
        </w:trPr>
        <w:tc>
          <w:tcPr>
            <w:tcW w:type="dxa" w:w="3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AdminConfiguration</w:t>
            </w:r>
          </w:p>
        </w:tc>
        <w:tc>
          <w:tcPr>
            <w:tcW w:type="dxa" w:w="63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DRAFT/PUBLISHED/SUPERSEDED, herencia, hash, preview y publish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RBAC / SecurityEvent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Permisos, roles, SoD y auditoría existentes</w:t>
            </w:r>
          </w:p>
        </w:tc>
      </w:tr>
      <w:tr>
        <w:trPr>
          <w:cantSplit/>
        </w:trPr>
        <w:tc>
          <w:tcPr>
            <w:tcW w:type="dxa" w:w="3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ETag / idempotency</w:t>
            </w:r>
          </w:p>
        </w:tc>
        <w:tc>
          <w:tcPr>
            <w:tcW w:type="dxa" w:w="63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revision_version, If-Match y claves transaccionales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Gate07J provider contracts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InvestmentGateRiskEvidenceOut integrado al resolver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FF5E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DECISIÓN DE MODELO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No existía un Risk Register reutilizable. Se creó ProjectRisk como único master de riesgo y RiskReadinessAssessment como evidencia versionada separada. Risk Record != Risk Readiness.</w:t>
            </w:r>
          </w:p>
        </w:tc>
      </w:tr>
    </w:tbl>
    <w:p>
      <w:pPr>
        <w:spacing w:after="0"/>
      </w:pPr>
    </w:p>
    <w:p>
      <w:pPr>
        <w:pStyle w:val="Heading1"/>
      </w:pPr>
      <w:r>
        <w:t>2. Dominio Project Risk y lifecycle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4460"/>
        <w:gridCol w:w="2500"/>
      </w:tblGrid>
      <w:tr>
        <w:trPr>
          <w:tblHeader w:val="true"/>
          <w:cantSplit/>
        </w:trPr>
        <w:tc>
          <w:tcPr>
            <w:tcW w:type="dxa" w:w="24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Objeto</w:t>
            </w:r>
          </w:p>
        </w:tc>
        <w:tc>
          <w:tcPr>
            <w:tcW w:type="dxa" w:w="44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Responsabilidad</w:t>
            </w:r>
          </w:p>
        </w:tc>
        <w:tc>
          <w:tcPr>
            <w:tcW w:type="dxa" w:w="25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Controles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ProjectRisk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Identificación, categoría, owner, inherente, tratamiento, residual, aceptación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Tenant + Project; RSK-00001; ETag</w:t>
            </w:r>
          </w:p>
        </w:tc>
      </w:tr>
      <w:tr>
        <w:trPr>
          <w:cantSplit/>
        </w:trPr>
        <w:tc>
          <w:tcPr>
            <w:tcW w:type="dxa" w:w="24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RiskReadinessAssessment</w:t>
            </w:r>
          </w:p>
        </w:tc>
        <w:tc>
          <w:tcPr>
            <w:tcW w:type="dxa" w:w="44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Snapshot de fuente/configuración, gaps, vigencia y readiness</w:t>
            </w:r>
          </w:p>
        </w:tc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RRA-00001; versión; COMPLETED inmutable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ProjectRiskReadiness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Último resultado Project vigente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READY/BLOCKED/STALE/EXPIRED</w:t>
            </w:r>
          </w:p>
        </w:tc>
      </w:tr>
      <w:tr>
        <w:trPr>
          <w:cantSplit/>
        </w:trPr>
        <w:tc>
          <w:tcPr>
            <w:tcW w:type="dxa" w:w="24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PortfolioReadiness</w:t>
            </w:r>
          </w:p>
        </w:tc>
        <w:tc>
          <w:tcPr>
            <w:tcW w:type="dxa" w:w="44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Agrega Recommended Project Set exacto</w:t>
            </w:r>
          </w:p>
        </w:tc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Cobertura 100%; no promedia faltantes</w:t>
            </w:r>
          </w:p>
        </w:tc>
      </w:tr>
    </w:tbl>
    <w:p>
      <w:pPr>
        <w:spacing w:after="0"/>
      </w:pPr>
    </w:p>
    <w:p>
      <w:pPr>
        <w:pStyle w:val="Heading2"/>
      </w:pPr>
      <w:r>
        <w:t>2.1 Riesgo inherente, tratamiento y residual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  <w:cantSplit/>
        </w:trPr>
        <w:tc>
          <w:tcPr>
            <w:tcW w:type="dxa" w:w="23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Dimensión</w:t>
            </w:r>
          </w:p>
        </w:tc>
        <w:tc>
          <w:tcPr>
            <w:tcW w:type="dxa" w:w="70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Implementación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Inherent Risk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likelihood_before + impact_before → matriz publicada; nunca se sobrescribe</w:t>
            </w:r>
          </w:p>
        </w:tc>
      </w:tr>
      <w:tr>
        <w:trPr>
          <w:cantSplit/>
        </w:trPr>
        <w:tc>
          <w:tcPr>
            <w:tcW w:type="dxa" w:w="23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Treatment</w:t>
            </w:r>
          </w:p>
        </w:tc>
        <w:tc>
          <w:tcPr>
            <w:tcW w:type="dxa" w:w="70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AVOID/REDUCE/TRANSFER/ACCEPT; owner, fecha, estado y evidencia en el Risk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Residual Risk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likelihood_after + impact_after; preservado aparte del inherente</w:t>
            </w:r>
          </w:p>
        </w:tc>
      </w:tr>
      <w:tr>
        <w:trPr>
          <w:cantSplit/>
        </w:trPr>
        <w:tc>
          <w:tcPr>
            <w:tcW w:type="dxa" w:w="23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Acceptance</w:t>
            </w:r>
          </w:p>
        </w:tc>
        <w:tc>
          <w:tcPr>
            <w:tcW w:type="dxa" w:w="70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Actor, fecha, comentario y autoridad; no equivale a Investment Approval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SoD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Owner no acepta su propio HIGH/CRITICAL cuando policy lo prohíbe</w:t>
            </w:r>
          </w:p>
        </w:tc>
      </w:tr>
    </w:tbl>
    <w:p>
      <w:pPr>
        <w:spacing w:after="0"/>
      </w:pPr>
    </w:p>
    <w:p>
      <w:pPr>
        <w:pStyle w:val="Heading2"/>
      </w:pPr>
      <w:r>
        <w:t>2.2 Lifecycles y catálogos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  <w:cantSplit/>
        </w:trPr>
        <w:tc>
          <w:tcPr>
            <w:tcW w:type="dxa" w:w="23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Componente</w:t>
            </w:r>
          </w:p>
        </w:tc>
        <w:tc>
          <w:tcPr>
            <w:tcW w:type="dxa" w:w="70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Estados / catálogo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Risk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DRAFT → OPEN → UNDER_TREATMENT / MONITORING → CLOSED; VOIDED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Treatment</w:t>
            </w:r>
          </w:p>
        </w:tc>
        <w:tc>
          <w:tcPr>
            <w:tcW w:type="dxa" w:w="70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OPEN · IN_PROGRESS · COMPLETED · CANCELLED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Assessment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DRAFT · IN_PROGRESS · COMPLETED · SUPERSEDED · VOIDED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Readiness</w:t>
            </w:r>
          </w:p>
        </w:tc>
        <w:tc>
          <w:tcPr>
            <w:tcW w:type="dxa" w:w="70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NOT_STARTED · READY · BLOCKED · STALE · EXPIRED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Ratings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LOW · MODERATE · HIGH · CRITICAL, calculados por matriz configurable</w:t>
            </w:r>
          </w:p>
        </w:tc>
      </w:tr>
      <w:tr>
        <w:trPr>
          <w:cantSplit/>
        </w:trPr>
        <w:tc>
          <w:tcPr>
            <w:tcW w:type="dxa" w:w="23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Categories</w:t>
            </w:r>
          </w:p>
        </w:tc>
        <w:tc>
          <w:tcPr>
            <w:tcW w:type="dxa" w:w="70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19 starter values configurables; sin taxonomía sectorial hardcoded</w:t>
            </w:r>
          </w:p>
        </w:tc>
      </w:tr>
    </w:tbl>
    <w:p>
      <w:pPr>
        <w:spacing w:after="0"/>
      </w:pPr>
    </w:p>
    <w:p>
      <w:pPr>
        <w:pStyle w:val="Heading1"/>
      </w:pPr>
      <w:r>
        <w:t>3. Cálculo gobernado de Risk Readiness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700"/>
        <w:gridCol w:w="5660"/>
      </w:tblGrid>
      <w:tr>
        <w:trPr>
          <w:tblHeader w:val="true"/>
          <w:cantSplit/>
        </w:trPr>
        <w:tc>
          <w:tcPr>
            <w:tcW w:type="dxa" w:w="37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Chequeo Project</w:t>
            </w:r>
          </w:p>
        </w:tc>
        <w:tc>
          <w:tcPr>
            <w:tcW w:type="dxa" w:w="56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Resultado controlado</w:t>
            </w:r>
          </w:p>
        </w:tc>
      </w:tr>
      <w:tr>
        <w:trPr>
          <w:cantSplit/>
        </w:trPr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Register ausente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RISK_REGISTER_REQUIRED</w:t>
            </w:r>
          </w:p>
        </w:tc>
      </w:tr>
      <w:tr>
        <w:trPr>
          <w:cantSplit/>
        </w:trPr>
        <w:tc>
          <w:tcPr>
            <w:tcW w:type="dxa" w:w="3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HIGH/CRITICAL sin owner</w:t>
            </w:r>
          </w:p>
        </w:tc>
        <w:tc>
          <w:tcPr>
            <w:tcW w:type="dxa" w:w="56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HIGH_CRITICAL_OWNER_REQUIRED:&lt;risk&gt;</w:t>
            </w:r>
          </w:p>
        </w:tc>
      </w:tr>
      <w:tr>
        <w:trPr>
          <w:cantSplit/>
        </w:trPr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Tratamiento exigido e incompleto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TREATMENT_REQUIRED:&lt;risk&gt;</w:t>
            </w:r>
          </w:p>
        </w:tc>
      </w:tr>
      <w:tr>
        <w:trPr>
          <w:cantSplit/>
        </w:trPr>
        <w:tc>
          <w:tcPr>
            <w:tcW w:type="dxa" w:w="3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Tratamiento crítico vencido</w:t>
            </w:r>
          </w:p>
        </w:tc>
        <w:tc>
          <w:tcPr>
            <w:tcW w:type="dxa" w:w="56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OVERDUE_TREATMENT:&lt;risk&gt;</w:t>
            </w:r>
          </w:p>
        </w:tc>
      </w:tr>
      <w:tr>
        <w:trPr>
          <w:cantSplit/>
        </w:trPr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Residual requerido no evaluado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RESIDUAL_ASSESSMENT_REQUIRED:&lt;risk&gt;</w:t>
            </w:r>
          </w:p>
        </w:tc>
      </w:tr>
      <w:tr>
        <w:trPr>
          <w:cantSplit/>
        </w:trPr>
        <w:tc>
          <w:tcPr>
            <w:tcW w:type="dxa" w:w="3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Residual sin aceptación</w:t>
            </w:r>
          </w:p>
        </w:tc>
        <w:tc>
          <w:tcPr>
            <w:tcW w:type="dxa" w:w="56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RESIDUAL_ACCEPTANCE_REQUIRED:&lt;risk&gt;</w:t>
            </w:r>
          </w:p>
        </w:tc>
      </w:tr>
      <w:tr>
        <w:trPr>
          <w:cantSplit/>
        </w:trPr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Evidencia bajo threshold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RISK_EVIDENCE_COVERAGE_BELOW_THRESHOLD</w:t>
            </w:r>
          </w:p>
        </w:tc>
      </w:tr>
      <w:tr>
        <w:trPr>
          <w:cantSplit/>
        </w:trPr>
        <w:tc>
          <w:tcPr>
            <w:tcW w:type="dxa" w:w="3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Fuente/configuración cambió</w:t>
            </w:r>
          </w:p>
        </w:tc>
        <w:tc>
          <w:tcPr>
            <w:tcW w:type="dxa" w:w="56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STALE_RISK_SOURCE</w:t>
            </w:r>
          </w:p>
        </w:tc>
      </w:tr>
      <w:tr>
        <w:trPr>
          <w:cantSplit/>
        </w:trPr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Fecha &gt; valid_until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RISK_READINESS_EXPIRED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EAF7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REGLA SEMÁNTICA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READY no significa ausencia de riesgos HIGH. Significa identificación, owners, tratamientos, residual, aceptaciones, evidencia y fuentes vigentes conforme a policy. Un residual HIGH aceptado puede permanecer READY.</w:t>
            </w:r>
          </w:p>
        </w:tc>
      </w:tr>
    </w:tbl>
    <w:p>
      <w:pPr>
        <w:spacing w:after="0"/>
      </w:pPr>
    </w:p>
    <w:p>
      <w:pPr>
        <w:pStyle w:val="Heading2"/>
      </w:pPr>
      <w:r>
        <w:t>3.1 Cobertura de Project Set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500"/>
        <w:gridCol w:w="2600"/>
        <w:gridCol w:w="3260"/>
      </w:tblGrid>
      <w:tr>
        <w:trPr>
          <w:tblHeader w:val="true"/>
          <w:cantSplit/>
        </w:trPr>
        <w:tc>
          <w:tcPr>
            <w:tcW w:type="dxa" w:w="35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Caso</w:t>
            </w:r>
          </w:p>
        </w:tc>
        <w:tc>
          <w:tcPr>
            <w:tcW w:type="dxa" w:w="26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Cálculo</w:t>
            </w:r>
          </w:p>
        </w:tc>
        <w:tc>
          <w:tcPr>
            <w:tcW w:type="dxa" w:w="32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Readiness</w:t>
            </w:r>
          </w:p>
        </w:tc>
      </w:tr>
      <w:tr>
        <w:trPr>
          <w:cantSplit/>
        </w:trPr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A READY · B READY · C missing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2/3 = 66,67%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BLOCKED</w:t>
            </w:r>
          </w:p>
        </w:tc>
      </w:tr>
      <w:tr>
        <w:trPr>
          <w:cantSplit/>
        </w:trPr>
        <w:tc>
          <w:tcPr>
            <w:tcW w:type="dxa" w:w="3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A READY · B BLOCKED · C STALE</w:t>
            </w:r>
          </w:p>
        </w:tc>
        <w:tc>
          <w:tcPr>
            <w:tcW w:type="dxa" w:w="26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1/3 válido</w:t>
            </w:r>
          </w:p>
        </w:tc>
        <w:tc>
          <w:tcPr>
            <w:tcW w:type="dxa" w:w="32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BLOCKED; contadores separados</w:t>
            </w:r>
          </w:p>
        </w:tc>
      </w:tr>
      <w:tr>
        <w:trPr>
          <w:cantSplit/>
        </w:trPr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Todos READY y current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N/N = 100%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READY si no existen blockers</w:t>
            </w:r>
          </w:p>
        </w:tc>
      </w:tr>
    </w:tbl>
    <w:p>
      <w:pPr>
        <w:spacing w:after="0"/>
      </w:pPr>
    </w:p>
    <w:p>
      <w:pPr>
        <w:pStyle w:val="Heading2"/>
      </w:pPr>
      <w:r>
        <w:t>3.2 Freshness, hashes y reassessment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  <w:cantSplit/>
        </w:trPr>
        <w:tc>
          <w:tcPr>
            <w:tcW w:type="dxa" w:w="27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Control</w:t>
            </w:r>
          </w:p>
        </w:tc>
        <w:tc>
          <w:tcPr>
            <w:tcW w:type="dxa" w:w="66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Contenido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risk_source_hash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Project/type/governance, riesgos, tratamiento, residual, aceptación, evidencia y config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risk_readiness_hash</w:t>
            </w:r>
          </w:p>
        </w:tc>
        <w:tc>
          <w:tcPr>
            <w:tcW w:type="dxa" w:w="66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Assessment/version, source/config hashes, counts, coverage, warnings y blockers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Refresh Preview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Deltas de fuente, riesgos, ratings, owners, tratamientos y aceptación; persisted=false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Reassessment</w:t>
            </w:r>
          </w:p>
        </w:tc>
        <w:tc>
          <w:tcPr>
            <w:tcW w:type="dxa" w:w="66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Nueva versión; nunca reescribe el snapshot COMPLETED histórico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Validity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90 días compatible con PYP-FFA; expirado no suministra evidencia</w:t>
            </w:r>
          </w:p>
        </w:tc>
      </w:tr>
    </w:tbl>
    <w:p>
      <w:pPr>
        <w:spacing w:after="0"/>
      </w:pPr>
    </w:p>
    <w:p>
      <w:pPr>
        <w:pStyle w:val="Heading1"/>
      </w:pPr>
      <w:r>
        <w:t>4. Gate 07J evidence provider e integración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  <w:cantSplit/>
        </w:trPr>
        <w:tc>
          <w:tcPr>
            <w:tcW w:type="dxa" w:w="25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Contrato</w:t>
            </w:r>
          </w:p>
        </w:tc>
        <w:tc>
          <w:tcPr>
            <w:tcW w:type="dxa" w:w="68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Valor / regla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provider_key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RISK_READINESS_PROVIDER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source_module</w:t>
            </w:r>
          </w:p>
        </w:tc>
        <w:tc>
          <w:tcPr>
            <w:tcW w:type="dxa" w:w="68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RISK_READINESS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evidence_type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RISK_READINESS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status</w:t>
            </w:r>
          </w:p>
        </w:tc>
        <w:tc>
          <w:tcPr>
            <w:tcW w:type="dxa" w:w="68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AVAILABLE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scope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PROJECT_SET; contrato soporta portfolio/project context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payload</w:t>
            </w:r>
          </w:p>
        </w:tc>
        <w:tc>
          <w:tcPr>
            <w:tcW w:type="dxa" w:w="68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Hashes, fechas, coverage, counts, warnings, blockers, source_current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supply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Sólo READY + current + 100% + sin blockers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FID boundary</w:t>
            </w:r>
          </w:p>
        </w:tc>
        <w:tc>
          <w:tcPr>
            <w:tcW w:type="dxa" w:w="68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can_enter_fid=false siempre en esta entrega</w:t>
            </w:r>
          </w:p>
        </w:tc>
      </w:tr>
    </w:tbl>
    <w:p>
      <w:pPr>
        <w:spacing w:after="0"/>
      </w:pPr>
    </w:p>
    <w:p>
      <w:pPr>
        <w:pStyle w:val="Heading2"/>
      </w:pPr>
      <w:r>
        <w:t>4.1 Perfiles preservados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800"/>
        <w:gridCol w:w="1500"/>
        <w:gridCol w:w="1700"/>
        <w:gridCol w:w="1400"/>
        <w:gridCol w:w="1960"/>
      </w:tblGrid>
      <w:tr>
        <w:trPr>
          <w:tblHeader w:val="true"/>
          <w:cantSplit/>
        </w:trPr>
        <w:tc>
          <w:tcPr>
            <w:tcW w:type="dxa" w:w="20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Gate Profile</w:t>
            </w:r>
          </w:p>
        </w:tc>
        <w:tc>
          <w:tcPr>
            <w:tcW w:type="dxa" w:w="8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Class</w:t>
            </w:r>
          </w:p>
        </w:tc>
        <w:tc>
          <w:tcPr>
            <w:tcW w:type="dxa" w:w="15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Blocking</w:t>
            </w:r>
          </w:p>
        </w:tc>
        <w:tc>
          <w:tcPr>
            <w:tcW w:type="dxa" w:w="17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Coverage</w:t>
            </w:r>
          </w:p>
        </w:tc>
        <w:tc>
          <w:tcPr>
            <w:tcW w:type="dxa" w:w="14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Validity</w:t>
            </w:r>
          </w:p>
        </w:tc>
        <w:tc>
          <w:tcPr>
            <w:tcW w:type="dxa" w:w="19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Fallback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PYP-INV-SELECT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B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No por defecto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Policy contextual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90 días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Governed/manual B según policy</w:t>
            </w:r>
          </w:p>
        </w:tc>
      </w:tr>
      <w:tr>
        <w:trPr>
          <w:cantSplit/>
        </w:trPr>
        <w:tc>
          <w:tcPr>
            <w:tcW w:type="dxa" w:w="2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PYP-FFA</w:t>
            </w:r>
          </w:p>
        </w:tc>
        <w:tc>
          <w:tcPr>
            <w:tcW w:type="dxa" w:w="8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A</w:t>
            </w:r>
          </w:p>
        </w:tc>
        <w:tc>
          <w:tcPr>
            <w:tcW w:type="dxa" w:w="1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Sí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100%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90 días</w:t>
            </w:r>
          </w:p>
        </w:tc>
        <w:tc>
          <w:tcPr>
            <w:tcW w:type="dxa" w:w="19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Manual prohibido</w:t>
            </w:r>
          </w:p>
        </w:tc>
      </w:tr>
    </w:tbl>
    <w:p>
      <w:pPr>
        <w:spacing w:after="0"/>
      </w:pPr>
    </w:p>
    <w:p>
      <w:pPr>
        <w:pStyle w:val="Heading2"/>
      </w:pPr>
      <w:r>
        <w:t>4.2 Resolución en Gate 07J-EVID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500"/>
        <w:gridCol w:w="5860"/>
      </w:tblGrid>
      <w:tr>
        <w:trPr>
          <w:tblHeader w:val="true"/>
          <w:cantSplit/>
        </w:trPr>
        <w:tc>
          <w:tcPr>
            <w:tcW w:type="dxa" w:w="35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Fuente</w:t>
            </w:r>
          </w:p>
        </w:tc>
        <w:tc>
          <w:tcPr>
            <w:tcW w:type="dxa" w:w="58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Estado Evidence Item</w:t>
            </w:r>
          </w:p>
        </w:tc>
      </w:tr>
      <w:tr>
        <w:trPr>
          <w:cantSplit/>
        </w:trPr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READY + current + 100%</w:t>
            </w:r>
          </w:p>
        </w:tc>
        <w:tc>
          <w:tcPr>
            <w:tcW w:type="dxa" w:w="5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VALID · evidence_origin=GOVERNED_SOURCE</w:t>
            </w:r>
          </w:p>
        </w:tc>
      </w:tr>
      <w:tr>
        <w:trPr>
          <w:cantSplit/>
        </w:trPr>
        <w:tc>
          <w:tcPr>
            <w:tcW w:type="dxa" w:w="3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BLOCKED</w:t>
            </w:r>
          </w:p>
        </w:tc>
        <w:tc>
          <w:tcPr>
            <w:tcW w:type="dxa" w:w="58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BLOCKED</w:t>
            </w:r>
          </w:p>
        </w:tc>
      </w:tr>
      <w:tr>
        <w:trPr>
          <w:cantSplit/>
        </w:trPr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STALE</w:t>
            </w:r>
          </w:p>
        </w:tc>
        <w:tc>
          <w:tcPr>
            <w:tcW w:type="dxa" w:w="5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STALE · SOURCE_STALE</w:t>
            </w:r>
          </w:p>
        </w:tc>
      </w:tr>
      <w:tr>
        <w:trPr>
          <w:cantSplit/>
        </w:trPr>
        <w:tc>
          <w:tcPr>
            <w:tcW w:type="dxa" w:w="3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EXPIRED</w:t>
            </w:r>
          </w:p>
        </w:tc>
        <w:tc>
          <w:tcPr>
            <w:tcW w:type="dxa" w:w="58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EXPIRED</w:t>
            </w:r>
          </w:p>
        </w:tc>
      </w:tr>
      <w:tr>
        <w:trPr>
          <w:cantSplit/>
        </w:trPr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Provider ausente</w:t>
            </w:r>
          </w:p>
        </w:tc>
        <w:tc>
          <w:tcPr>
            <w:tcW w:type="dxa" w:w="5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SOURCE_PROVIDER_MISSING</w:t>
            </w:r>
          </w:p>
        </w:tc>
      </w:tr>
      <w:tr>
        <w:trPr>
          <w:cantSplit/>
        </w:trPr>
        <w:tc>
          <w:tcPr>
            <w:tcW w:type="dxa" w:w="3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Payload presente pero inválido</w:t>
            </w:r>
          </w:p>
        </w:tc>
        <w:tc>
          <w:tcPr>
            <w:tcW w:type="dxa" w:w="58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INVALID; nunca VALID por mera existencia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FF5E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GAP ANALYSIS ACTUALIZADO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Risk PYP-FFA deja de ser un missing provider. El resultado siguiente es contextual: Permit Readiness sólo donde la policy publicada todavía lo eleva a Class A; en los demás contextos, READY_TO_DESIGN_GATE07K. No se inició ninguno de los dos.</w:t>
            </w:r>
          </w:p>
        </w:tc>
      </w:tr>
    </w:tbl>
    <w:p>
      <w:pPr>
        <w:spacing w:after="0"/>
      </w:pPr>
    </w:p>
    <w:p>
      <w:pPr>
        <w:pStyle w:val="Heading1"/>
      </w:pPr>
      <w:r>
        <w:t>5. Superficies USER/ADMIN, seguridad y APIs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5760"/>
      </w:tblGrid>
      <w:tr>
        <w:trPr>
          <w:tblHeader w:val="true"/>
          <w:cantSplit/>
        </w:trPr>
        <w:tc>
          <w:tcPr>
            <w:tcW w:type="dxa" w:w="36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USER MODE — 8 vistas</w:t>
            </w:r>
          </w:p>
        </w:tc>
        <w:tc>
          <w:tcPr>
            <w:tcW w:type="dxa" w:w="57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Función principal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My Risk Work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Resumen operativo y brechas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Project Set Risk Readiness</w:t>
            </w:r>
          </w:p>
        </w:tc>
        <w:tc>
          <w:tcPr>
            <w:tcW w:type="dxa" w:w="57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Matriz Project por fecha, gaps, cobertura y readiness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Project Risk Register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Alta, filtros, tabla completa y detalle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Risk Assessments</w:t>
            </w:r>
          </w:p>
        </w:tc>
        <w:tc>
          <w:tcPr>
            <w:tcW w:type="dxa" w:w="57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Start, complete, versiones e inmutabilidad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Treatments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Owner, estrategia, estado y vencimiento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Residual Risk &amp; Acceptance</w:t>
            </w:r>
          </w:p>
        </w:tc>
        <w:tc>
          <w:tcPr>
            <w:tcW w:type="dxa" w:w="57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Residual, autoridad y aceptación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Risk Readiness Dashboard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Chips compactos y blockers/warnings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History / Audit</w:t>
            </w:r>
          </w:p>
        </w:tc>
        <w:tc>
          <w:tcPr>
            <w:tcW w:type="dxa" w:w="57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Refresh Preview y contrato Gate 07J</w:t>
            </w:r>
          </w:p>
        </w:tc>
      </w:tr>
    </w:tbl>
    <w:p>
      <w:pPr>
        <w:spacing w:after="0"/>
      </w:pPr>
    </w:p>
    <w:p>
      <w:pPr>
        <w:pStyle w:val="Heading2"/>
      </w:pPr>
      <w:r>
        <w:t>5.1 ADMIN MODE — 16 tabs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Grupo</w:t>
            </w:r>
          </w:p>
        </w:tc>
        <w:tc>
          <w:tcPr>
            <w:tcW w:type="dxa" w:w="71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Tabs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General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Configuration Overview · Risk Categories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Scoring</w:t>
            </w:r>
          </w:p>
        </w:tc>
        <w:tc>
          <w:tcPr>
            <w:tcW w:type="dxa" w:w="71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Likelihood Scale · Impact Scale · Risk Matrix · Rating Bands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Rules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Owner Rules · Treatment Rules · Residual Risk Rules · Acceptance Authority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Readiness</w:t>
            </w:r>
          </w:p>
        </w:tc>
        <w:tc>
          <w:tcPr>
            <w:tcW w:type="dxa" w:w="71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Readiness Criteria · Evidence Rules · Validity / Expiry · Gate Compatibility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Governance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Inheritance / Overrides · Versioning / Publish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EAF7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UI REQUERIDA CERRADA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Risk Register incluye filtros Open, High/Critical, No Owner, No Treatment, Overdue, Needs Acceptance y Expired Evidence, además de Due Date, Evidence y Warnings. La matriz de Project Set no usa tarjetas gigantes.</w:t>
            </w:r>
          </w:p>
        </w:tc>
      </w:tr>
    </w:tbl>
    <w:p>
      <w:pPr>
        <w:spacing w:after="0"/>
      </w:pPr>
    </w:p>
    <w:p>
      <w:pPr>
        <w:pStyle w:val="Heading2"/>
      </w:pPr>
      <w:r>
        <w:t>5.2 RBAC, SoD, ETag e idempotencia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  <w:cantSplit/>
        </w:trPr>
        <w:tc>
          <w:tcPr>
            <w:tcW w:type="dxa" w:w="25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Área</w:t>
            </w:r>
          </w:p>
        </w:tc>
        <w:tc>
          <w:tcPr>
            <w:tcW w:type="dxa" w:w="68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Implementación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Roles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risk_manager, owner, assessor, reviewer, acceptance_authority, viewer, configuration_admin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Permissions</w:t>
            </w:r>
          </w:p>
        </w:tc>
        <w:tc>
          <w:tcPr>
            <w:tcW w:type="dxa" w:w="68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risk read/create/edit/status/treatment/residual/accept + readiness create/edit/complete/refresh/admin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Allowed actions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Backend devuelve capacidades; frontend consume el contrato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SoD</w:t>
            </w:r>
          </w:p>
        </w:tc>
        <w:tc>
          <w:tcPr>
            <w:tcW w:type="dxa" w:w="68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Owner no autoacepta HIGH/CRITICAL; CRITICAL exige autoridad configurada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ETag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If-Match/revision_version; stale = 412 ETAG_MISMATCH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Idempotency</w:t>
            </w:r>
          </w:p>
        </w:tc>
        <w:tc>
          <w:tcPr>
            <w:tcW w:type="dxa" w:w="68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Create risk, acceptance, assessment, complete, reassess y refresh apply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Audit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SecurityEvent para creación, cambios, tratamientos, residual, aceptación, assessments y config</w:t>
            </w:r>
          </w:p>
        </w:tc>
      </w:tr>
    </w:tbl>
    <w:p>
      <w:pPr>
        <w:spacing w:after="0"/>
      </w:pPr>
    </w:p>
    <w:p>
      <w:pPr>
        <w:pStyle w:val="Heading2"/>
      </w:pPr>
      <w:r>
        <w:t>5.3 API pública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  <w:cantSplit/>
        </w:trPr>
        <w:tc>
          <w:tcPr>
            <w:tcW w:type="dxa" w:w="23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Grupo</w:t>
            </w:r>
          </w:p>
        </w:tc>
        <w:tc>
          <w:tcPr>
            <w:tcW w:type="dxa" w:w="70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Rutas implementadas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Risks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GET/POST projects/{id}/risks · GET/PUT risks/{id} · status · accept</w:t>
            </w:r>
          </w:p>
        </w:tc>
      </w:tr>
      <w:tr>
        <w:trPr>
          <w:cantSplit/>
        </w:trPr>
        <w:tc>
          <w:tcPr>
            <w:tcW w:type="dxa" w:w="23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Assessments</w:t>
            </w:r>
          </w:p>
        </w:tc>
        <w:tc>
          <w:tcPr>
            <w:tcW w:type="dxa" w:w="70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GET/POST project assessments · GET/PUT assessment · complete · reassess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Refresh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project refresh/preview · project refresh apply</w:t>
            </w:r>
          </w:p>
        </w:tc>
      </w:tr>
      <w:tr>
        <w:trPr>
          <w:cantSplit/>
        </w:trPr>
        <w:tc>
          <w:tcPr>
            <w:tcW w:type="dxa" w:w="23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Aggregation</w:t>
            </w:r>
          </w:p>
        </w:tc>
        <w:tc>
          <w:tcPr>
            <w:tcW w:type="dxa" w:w="70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portfolio readiness · portfolio projects · investment-gate-evidence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ADMIN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overview · configurations · clone · update · publish · preview</w:t>
            </w:r>
          </w:p>
        </w:tc>
      </w:tr>
    </w:tbl>
    <w:p>
      <w:pPr>
        <w:spacing w:after="0"/>
      </w:pPr>
    </w:p>
    <w:p>
      <w:pPr>
        <w:pStyle w:val="Heading1"/>
      </w:pPr>
      <w:r>
        <w:t>6. Persistencia, migración y validación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  <w:cantSplit/>
        </w:trPr>
        <w:tc>
          <w:tcPr>
            <w:tcW w:type="dxa" w:w="25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Elemento</w:t>
            </w:r>
          </w:p>
        </w:tc>
        <w:tc>
          <w:tcPr>
            <w:tcW w:type="dxa" w:w="68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Implementación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Migration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20260830_0053; down_revision 0052; aditiva, reversible, tenant-scoped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Tables</w:t>
            </w:r>
          </w:p>
        </w:tc>
        <w:tc>
          <w:tcPr>
            <w:tcW w:type="dxa" w:w="68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project_risks · risk_readiness_assessments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Uniqueness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Risk number/idempotency; assessment number/version/idempotency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Active assessment</w:t>
            </w:r>
          </w:p>
        </w:tc>
        <w:tc>
          <w:tcPr>
            <w:tcW w:type="dxa" w:w="68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Índice único parcial por tenant + Project para DRAFT/IN_PROGRESS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Checks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Lifecycles, ratings, acceptance pair, coverage 0-100 y COMPLETED integrity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Immutability</w:t>
            </w:r>
          </w:p>
        </w:tc>
        <w:tc>
          <w:tcPr>
            <w:tcW w:type="dxa" w:w="68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ORM rechaza update/delete de COMPLETED/SUPERSEDED/VOIDED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Performance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Índices tenant/Project/status/rating y agregación por counts; sin portfolio risk score sintético</w:t>
            </w:r>
          </w:p>
        </w:tc>
      </w:tr>
    </w:tbl>
    <w:p>
      <w:pPr>
        <w:spacing w:after="0"/>
      </w:pPr>
    </w:p>
    <w:p>
      <w:pPr>
        <w:pStyle w:val="Heading2"/>
      </w:pPr>
      <w:r>
        <w:t>6.1 Evidencia de pruebas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50"/>
        <w:gridCol w:w="1550"/>
        <w:gridCol w:w="4960"/>
      </w:tblGrid>
      <w:tr>
        <w:trPr>
          <w:tblHeader w:val="true"/>
          <w:cantSplit/>
        </w:trPr>
        <w:tc>
          <w:tcPr>
            <w:tcW w:type="dxa" w:w="285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Validación</w:t>
            </w:r>
          </w:p>
        </w:tc>
        <w:tc>
          <w:tcPr>
            <w:tcW w:type="dxa" w:w="155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Resultado</w:t>
            </w:r>
          </w:p>
        </w:tc>
        <w:tc>
          <w:tcPr>
            <w:tcW w:type="dxa" w:w="49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Cobertura</w:t>
            </w:r>
          </w:p>
        </w:tc>
      </w:tr>
      <w:tr>
        <w:trPr>
          <w:cantSplit/>
        </w:trP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PostgreSQL baseline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69/69 PASS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07D, Project Governance, workspace y Gate 07J base</w:t>
            </w:r>
          </w:p>
        </w:tc>
      </w:tr>
      <w:tr>
        <w:trPr>
          <w:cantSplit/>
        </w:trPr>
        <w:tc>
          <w:tcPr>
            <w:tcW w:type="dxa" w:w="28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PostgreSQL portfolio</w:t>
            </w:r>
          </w:p>
        </w:tc>
        <w:tc>
          <w:tcPr>
            <w:tcW w:type="dxa" w:w="15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74/74 PASS</w:t>
            </w:r>
          </w:p>
        </w:tc>
        <w:tc>
          <w:tcPr>
            <w:tcW w:type="dxa" w:w="49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07E-07J-RISK, EVID, FEL, FUND y persistencia</w:t>
            </w:r>
          </w:p>
        </w:tc>
      </w:tr>
      <w:tr>
        <w:trPr>
          <w:cantSplit/>
        </w:trP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Risk Readiness final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8/8 PASS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Happy, stale, SoD, policy, config, blockers, expiry y coverage</w:t>
            </w:r>
          </w:p>
        </w:tc>
      </w:tr>
      <w:tr>
        <w:trPr>
          <w:cantSplit/>
        </w:trPr>
        <w:tc>
          <w:tcPr>
            <w:tcW w:type="dxa" w:w="28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EVID regression</w:t>
            </w:r>
          </w:p>
        </w:tc>
        <w:tc>
          <w:tcPr>
            <w:tcW w:type="dxa" w:w="15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7/7 PASS</w:t>
            </w:r>
          </w:p>
        </w:tc>
        <w:tc>
          <w:tcPr>
            <w:tcW w:type="dxa" w:w="49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Provider source, stale, A/B y gap analysis</w:t>
            </w:r>
          </w:p>
        </w:tc>
      </w:tr>
      <w:tr>
        <w:trPr>
          <w:cantSplit/>
        </w:trP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Migration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PASS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0052→0053→0052→0053 + validadores</w:t>
            </w:r>
          </w:p>
        </w:tc>
      </w:tr>
      <w:tr>
        <w:trPr>
          <w:cantSplit/>
        </w:trPr>
        <w:tc>
          <w:tcPr>
            <w:tcW w:type="dxa" w:w="28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Frontend targeted</w:t>
            </w:r>
          </w:p>
        </w:tc>
        <w:tc>
          <w:tcPr>
            <w:tcW w:type="dxa" w:w="15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2/2 PASS</w:t>
            </w:r>
          </w:p>
        </w:tc>
        <w:tc>
          <w:tcPr>
            <w:tcW w:type="dxa" w:w="49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Register, filtros/columnas, 16 tabs, preview</w:t>
            </w:r>
          </w:p>
        </w:tc>
      </w:tr>
      <w:tr>
        <w:trPr>
          <w:cantSplit/>
        </w:trP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Frontend AppFlow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28/28 PASS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Navegación y módulos históricos</w:t>
            </w:r>
          </w:p>
        </w:tc>
      </w:tr>
      <w:tr>
        <w:trPr>
          <w:cantSplit/>
        </w:trPr>
        <w:tc>
          <w:tcPr>
            <w:tcW w:type="dxa" w:w="28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Browser Chromium</w:t>
            </w:r>
          </w:p>
        </w:tc>
        <w:tc>
          <w:tcPr>
            <w:tcW w:type="dxa" w:w="15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1/1 PASS</w:t>
            </w:r>
          </w:p>
        </w:tc>
        <w:tc>
          <w:tcPr>
            <w:tcW w:type="dxa" w:w="49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USER + ADMIN + no FID + 0 page errors</w:t>
            </w:r>
          </w:p>
        </w:tc>
      </w:tr>
      <w:tr>
        <w:trPr>
          <w:cantSplit/>
        </w:trP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Build / static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PASS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TypeScript, Vite, ESLint, Ruff, py_compile/import</w:t>
            </w:r>
          </w:p>
        </w:tc>
      </w:tr>
      <w:tr>
        <w:trPr>
          <w:cantSplit/>
        </w:trPr>
        <w:tc>
          <w:tcPr>
            <w:tcW w:type="dxa" w:w="28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Local health</w:t>
            </w:r>
          </w:p>
        </w:tc>
        <w:tc>
          <w:tcPr>
            <w:tcW w:type="dxa" w:w="15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PASS</w:t>
            </w:r>
          </w:p>
        </w:tc>
        <w:tc>
          <w:tcPr>
            <w:tcW w:type="dxa" w:w="49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/app 200; API ready; DB/Redis ok; 19 risk paths</w:t>
            </w:r>
          </w:p>
        </w:tc>
      </w:tr>
    </w:tbl>
    <w:p>
      <w:pPr>
        <w:spacing w:after="0"/>
      </w:pPr>
    </w:p>
    <w:p>
      <w:pPr>
        <w:pStyle w:val="Heading2"/>
      </w:pPr>
      <w:r>
        <w:t>6.2 Baseline persistente antes/después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1900"/>
        <w:gridCol w:w="2400"/>
        <w:gridCol w:w="2560"/>
      </w:tblGrid>
      <w:tr>
        <w:trPr>
          <w:tblHeader w:val="true"/>
          <w:cantSplit/>
        </w:trPr>
        <w:tc>
          <w:tcPr>
            <w:tcW w:type="dxa" w:w="25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Medida</w:t>
            </w:r>
          </w:p>
        </w:tc>
        <w:tc>
          <w:tcPr>
            <w:tcW w:type="dxa" w:w="19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Antes</w:t>
            </w:r>
          </w:p>
        </w:tc>
        <w:tc>
          <w:tcPr>
            <w:tcW w:type="dxa" w:w="24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Después</w:t>
            </w:r>
          </w:p>
        </w:tc>
        <w:tc>
          <w:tcPr>
            <w:tcW w:type="dxa" w:w="25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Conclusión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Alembic head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0052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0053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Migración esperada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Enterprise Workspaces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14</w:t>
            </w:r>
          </w:p>
        </w:tc>
        <w:tc>
          <w:tcPr>
            <w:tcW w:type="dxa" w:w="24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14</w:t>
            </w:r>
          </w:p>
        </w:tc>
        <w:tc>
          <w:tcPr>
            <w:tcW w:type="dxa" w:w="2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Inalterado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Project Workspaces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1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1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Inalterado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AdminConfiguration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80</w:t>
            </w:r>
          </w:p>
        </w:tc>
        <w:tc>
          <w:tcPr>
            <w:tcW w:type="dxa" w:w="24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81</w:t>
            </w:r>
          </w:p>
        </w:tc>
        <w:tc>
          <w:tcPr>
            <w:tcW w:type="dxa" w:w="2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+1 starter DRAFT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Risk configurations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0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1 DRAFT / 0 published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No auto-publish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Project risks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Tabla ausente</w:t>
            </w:r>
          </w:p>
        </w:tc>
        <w:tc>
          <w:tcPr>
            <w:tcW w:type="dxa" w:w="24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0</w:t>
            </w:r>
          </w:p>
        </w:tc>
        <w:tc>
          <w:tcPr>
            <w:tcW w:type="dxa" w:w="2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Sin datos de prueba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Risk assessments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Tabla ausente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0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Sin datos de prueba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Gate07J Preparation / Evidence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0 / 0</w:t>
            </w:r>
          </w:p>
        </w:tc>
        <w:tc>
          <w:tcPr>
            <w:tcW w:type="dxa" w:w="24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0 / 0</w:t>
            </w:r>
          </w:p>
        </w:tc>
        <w:tc>
          <w:tcPr>
            <w:tcW w:type="dxa" w:w="2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Inalterado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FEL / Funds / Funding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0 / 0 / 0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0 / 0 / 0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Inalterado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Budget / Resource scenarios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0 / 0</w:t>
            </w:r>
          </w:p>
        </w:tc>
        <w:tc>
          <w:tcPr>
            <w:tcW w:type="dxa" w:w="24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0 / 0</w:t>
            </w:r>
          </w:p>
        </w:tc>
        <w:tc>
          <w:tcPr>
            <w:tcW w:type="dxa" w:w="2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Inalterado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Number sequences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12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12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Preview no consumió números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Project ID14 defaults MD5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eea3648c6908a267d1e0651828ff4459</w:t>
            </w:r>
          </w:p>
        </w:tc>
        <w:tc>
          <w:tcPr>
            <w:tcW w:type="dxa" w:w="24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igual</w:t>
            </w:r>
          </w:p>
        </w:tc>
        <w:tc>
          <w:tcPr>
            <w:tcW w:type="dxa" w:w="2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Inalterado</w:t>
            </w:r>
          </w:p>
        </w:tc>
      </w:tr>
    </w:tbl>
    <w:p>
      <w:pPr>
        <w:spacing w:after="0"/>
      </w:pPr>
    </w:p>
    <w:p>
      <w:pPr>
        <w:pStyle w:val="Heading1"/>
      </w:pPr>
      <w:r>
        <w:t>7. Riesgos técnicos, gap analysis y cierre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200"/>
        <w:gridCol w:w="6160"/>
      </w:tblGrid>
      <w:tr>
        <w:trPr>
          <w:tblHeader w:val="true"/>
          <w:cantSplit/>
        </w:trPr>
        <w:tc>
          <w:tcPr>
            <w:tcW w:type="dxa" w:w="32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Riesgo / deuda</w:t>
            </w:r>
          </w:p>
        </w:tc>
        <w:tc>
          <w:tcPr>
            <w:tcW w:type="dxa" w:w="61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Estado y tratamiento</w:t>
            </w:r>
          </w:p>
        </w:tc>
      </w:tr>
      <w:tr>
        <w:trPr>
          <w:cantSplit/>
        </w:trPr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Tratamientos múltiples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No implementados: el starter usa un tratamiento por Risk; ampliar sólo con caso aprobado</w:t>
            </w:r>
          </w:p>
        </w:tc>
      </w:tr>
      <w:tr>
        <w:trPr>
          <w:cantSplit/>
        </w:trPr>
        <w:tc>
          <w:tcPr>
            <w:tcW w:type="dxa" w:w="3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Escala 100k Risks</w:t>
            </w:r>
          </w:p>
        </w:tc>
        <w:tc>
          <w:tcPr>
            <w:tcW w:type="dxa" w:w="61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Diseño indexado y sin N+1; falta benchmark volumétrico dedicado</w:t>
            </w:r>
          </w:p>
        </w:tc>
      </w:tr>
      <w:tr>
        <w:trPr>
          <w:cantSplit/>
        </w:trPr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Browser de reloj controlado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Expiry/stale/SoD se validan en servicio; añadir fixture browser full-stack como hardening</w:t>
            </w:r>
          </w:p>
        </w:tc>
      </w:tr>
      <w:tr>
        <w:trPr>
          <w:cantSplit/>
        </w:trPr>
        <w:tc>
          <w:tcPr>
            <w:tcW w:type="dxa" w:w="3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Concurrencia multi-worker</w:t>
            </w:r>
          </w:p>
        </w:tc>
        <w:tc>
          <w:tcPr>
            <w:tcW w:type="dxa" w:w="61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ETag, versioning e índices protegen; ampliar carreras de alta carga en CI nocturno</w:t>
            </w:r>
          </w:p>
        </w:tc>
      </w:tr>
      <w:tr>
        <w:trPr>
          <w:cantSplit/>
        </w:trPr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Permit provider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Sigue fuera de alcance y sólo es siguiente gap donde policy lo eleva a Class A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DECE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SAFEGUARDS VERIFICADOS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No se implementaron ERM, Monte Carlo/QRA, P50/P80, contingencia probabilística, Permit provider, Investment Decision/FID, GO/HOLD/RECYCLE/KILL, Project Initialization, Activation ni Execution.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FF5E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DECISIÓN SIGUIENTE CONTEXTUAL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Si el contexto mantiene un provider Class A faltante: NEXT = BUILD_MISSING_GOVERNED_PROVIDER · provider = PERMIT_READINESS_PROVIDER. En los demás contextos: NEXT = READY_TO_DESIGN_GATE07K. STOP: ninguno se inicia en esta entrega.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EAF7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ESTADO EXCLUSIVO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GATE07J_RISK_RELEASE_VALIDATED · final_output = READY_FOR_GOVERNED_RISK_EVIDENCE · provider = RISK_READINESS_PROVIDER · status = AVAILABLE · can_enter_fid=false.</w:t>
            </w:r>
          </w:p>
        </w:tc>
      </w:tr>
    </w:tbl>
    <w:p>
      <w:pPr>
        <w:spacing w:after="0"/>
      </w:pPr>
    </w:p>
    <w:p>
      <w:pPr>
        <w:pStyle w:val="Heading1"/>
      </w:pPr>
      <w:r>
        <w:t>8. Trazabilidad de entregables 1-69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60"/>
        <w:gridCol w:w="5200"/>
        <w:gridCol w:w="1900"/>
        <w:gridCol w:w="1700"/>
      </w:tblGrid>
      <w:tr>
        <w:trPr>
          <w:tblHeader w:val="true"/>
          <w:cantSplit/>
        </w:trPr>
        <w:tc>
          <w:tcPr>
            <w:tcW w:type="dxa" w:w="5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#</w:t>
            </w:r>
          </w:p>
        </w:tc>
        <w:tc>
          <w:tcPr>
            <w:tcW w:type="dxa" w:w="52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Entregable</w:t>
            </w:r>
          </w:p>
        </w:tc>
        <w:tc>
          <w:tcPr>
            <w:tcW w:type="dxa" w:w="19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Evidencia</w:t>
            </w:r>
          </w:p>
        </w:tc>
        <w:tc>
          <w:tcPr>
            <w:tcW w:type="dxa" w:w="17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Estado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Executive summary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Portada / §1 / ADR 56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ADR Gate07J-RISK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Portada / §1 / ADR 56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Baseline assessment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Portada / §1 / ADR 56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4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Gate07J-EVID contract review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Portada / §1 / ADR 56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5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REUSE BEFORE CREATE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Portada / §1 / ADR 56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6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Risk model reuse/create decision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Portada / §1 / ADR 56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7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Risk Register model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§2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</w:tbl>
    <w:p>
      <w:pPr>
        <w:spacing w:after="0"/>
      </w:pPr>
    </w:p>
    <w:p>
      <w:r>
        <w:br w:type="page"/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60"/>
        <w:gridCol w:w="5200"/>
        <w:gridCol w:w="1900"/>
        <w:gridCol w:w="1700"/>
      </w:tblGrid>
      <w:tr>
        <w:trPr>
          <w:tblHeader w:val="true"/>
          <w:cantSplit/>
        </w:trPr>
        <w:tc>
          <w:tcPr>
            <w:tcW w:type="dxa" w:w="5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#</w:t>
            </w:r>
          </w:p>
        </w:tc>
        <w:tc>
          <w:tcPr>
            <w:tcW w:type="dxa" w:w="52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Entregable</w:t>
            </w:r>
          </w:p>
        </w:tc>
        <w:tc>
          <w:tcPr>
            <w:tcW w:type="dxa" w:w="19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Evidencia</w:t>
            </w:r>
          </w:p>
        </w:tc>
        <w:tc>
          <w:tcPr>
            <w:tcW w:type="dxa" w:w="17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Estado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8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Risk lifecycle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§2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9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Risk categories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§2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10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Risk Matrix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§2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11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Inherent/Residual separation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§2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12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Treatment architecture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§2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13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Risk Acceptance architecture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§2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14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Acceptance Authority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§2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15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RiskReadinessAssessment model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§2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16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Assessment lifecycle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§2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17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Readiness statuses/checks/policy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§3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18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High/Critical handling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§3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19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ProjectRiskReadiness model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§3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20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Project Set aggregation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§3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21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Coverage rules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§3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22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No synthetic portfolio score ADR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§3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23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Gate07I/Gate07F/Gate07E relationship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§3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24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FEL relationship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§3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25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Budget/Funding relationship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§3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26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Freshness/validity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§3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27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Source/readiness hashes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§3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28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Refresh/Reassessment/history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§3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29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Evidence origin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§4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30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Gate07J evidence contract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§4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31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PYP-FFA integration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§4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32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PYP-INV-SELECT compatibility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§4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33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Provider Registry update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§4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34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Missing Provider Analysis refresh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§4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35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Contextual can_design_investment_decision_gate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§4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36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ADMIN MODE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§5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37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USER MODE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§5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38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Workspace Navigator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§5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39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Risk Register/Detail UI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§5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40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Readiness Dashboard/Matrix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§5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41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Allowed actions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§5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</w:tbl>
    <w:p>
      <w:pPr>
        <w:spacing w:after="0"/>
      </w:pPr>
    </w:p>
    <w:p>
      <w:r>
        <w:br w:type="page"/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60"/>
        <w:gridCol w:w="5200"/>
        <w:gridCol w:w="1900"/>
        <w:gridCol w:w="1700"/>
      </w:tblGrid>
      <w:tr>
        <w:trPr>
          <w:tblHeader w:val="true"/>
          <w:cantSplit/>
        </w:trPr>
        <w:tc>
          <w:tcPr>
            <w:tcW w:type="dxa" w:w="5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#</w:t>
            </w:r>
          </w:p>
        </w:tc>
        <w:tc>
          <w:tcPr>
            <w:tcW w:type="dxa" w:w="52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Entregable</w:t>
            </w:r>
          </w:p>
        </w:tc>
        <w:tc>
          <w:tcPr>
            <w:tcW w:type="dxa" w:w="19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Evidencia</w:t>
            </w:r>
          </w:p>
        </w:tc>
        <w:tc>
          <w:tcPr>
            <w:tcW w:type="dxa" w:w="17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Estado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42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Roles/permissions/SoD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§5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43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ETag/idempotency/audit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§5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44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APIs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§5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45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Persistence/numbering/migration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§5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46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Constraints/concurrency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§5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47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PostgreSQL happy path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§6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48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Critical no-owner/no-treatment tests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§6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49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Residual acceptance tests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§6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50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Overdue treatment test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§6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51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Expiry/stale tests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§6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52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Project Set coverage/mixed readiness tests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§6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53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SoD test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§6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54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Gate07J integration tests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§6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55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Gate07J-EVID gap reanalysis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§6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56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Frontend tests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§6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57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Browser USER E2E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§6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58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Browser SoD/stale/expiry E2E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§6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59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Browser ADMIN E2E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§6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60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Browser Gate07J integration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§6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61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Performance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§6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62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No-QRA/No-FID/No-Permit safeguards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§6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63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Regression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§6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64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Baseline before/after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§6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65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Risks/technical debt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§7 / Documento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66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Updated Gate07J-EVID gap analysis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§7 / Documento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67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Recommendation for next step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§7 / Documento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68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Updated technical report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§7 / Documento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69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Final exclusive status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§7 / Documento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headerReference w:type="even" r:id="rId10"/>
      <w:footerReference w:type="default" r:id="rId11"/>
      <w:footerReference w:type="even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i w:val="0"/>
        <w:color w:val="5F6B76"/>
        <w:sz w:val="16"/>
      </w:rPr>
      <w:t xml:space="preserve">P&amp;Pmis Construction AI  |  </w:t>
    </w:r>
    <w:r>
      <w:fldChar w:fldCharType="begin"/>
    </w:r>
    <w:r>
      <w:instrText xml:space="preserve"> PAGE </w:instrText>
    </w:r>
    <w:r>
      <w:fldChar w:fldCharType="separate"/>
    </w:r>
    <w:r>
      <w:rPr>
        <w:rFonts w:ascii="Calibri" w:hAnsi="Calibri"/>
        <w:i w:val="0"/>
        <w:color w:val="5F6B76"/>
        <w:sz w:val="16"/>
      </w:rPr>
      <w:t>1</w:t>
    </w:r>
    <w: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i w:val="0"/>
        <w:color w:val="5F6B76"/>
        <w:sz w:val="16"/>
      </w:rPr>
      <w:t xml:space="preserve">P&amp;Pmis Construction AI  |  </w:t>
    </w:r>
    <w:r>
      <w:fldChar w:fldCharType="begin"/>
    </w:r>
    <w:r>
      <w:instrText xml:space="preserve"> PAGE </w:instrText>
    </w:r>
    <w:r>
      <w:fldChar w:fldCharType="separate"/>
    </w:r>
    <w:r>
      <w:rPr>
        <w:rFonts w:ascii="Calibri" w:hAnsi="Calibri"/>
        <w:i w:val="0"/>
        <w:color w:val="5F6B76"/>
        <w:sz w:val="16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6" w:space="1" w:color="D9E1E8"/>
      </w:pBdr>
    </w:pPr>
    <w:r>
      <w:rPr>
        <w:rFonts w:ascii="Calibri" w:hAnsi="Calibri"/>
        <w:b/>
        <w:i w:val="0"/>
        <w:color w:val="5F6B76"/>
        <w:sz w:val="17"/>
      </w:rPr>
      <w:t>TECHNICAL REPORT · GATE 07J-RISK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6" w:space="1" w:color="D9E1E8"/>
      </w:pBdr>
    </w:pPr>
    <w:r>
      <w:rPr>
        <w:rFonts w:ascii="Calibri" w:hAnsi="Calibri"/>
        <w:b/>
        <w:i w:val="0"/>
        <w:color w:val="5F6B76"/>
        <w:sz w:val="17"/>
      </w:rPr>
      <w:t>TECHNICAL REPORT · GATE 07J-RISK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Técnico Gate 07J-RISK — Risk Readiness Governed Provider</dc:title>
  <dc:subject>Project Risk, Risk Readiness y evidencia gobernada para Gate 07J</dc:subject>
  <dc:creator>P&amp;Pmis Construction AI</dc:creator>
  <cp:keywords>Gate 07J-RISK, Risk Readiness, Project Risk, Gate 07J-EVID, PYP-FFA</cp:keywords>
  <dc:description>Generated from verified repository and localhost evidence on 2026-08-31.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