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drawing>
          <wp:inline xmlns:a="http://schemas.openxmlformats.org/drawingml/2006/main" xmlns:pic="http://schemas.openxmlformats.org/drawingml/2006/picture">
            <wp:extent cx="749808" cy="675253"/>
            <wp:docPr id="1" name="Picture 1" descr="Logotipo de P&amp;Pmis Construction AI" title="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49808" cy="675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ptos" w:hAnsi="Aptos" w:eastAsia="Aptos"/>
          <w:b/>
          <w:i w:val="0"/>
          <w:color w:val="1F4E78"/>
          <w:sz w:val="20"/>
        </w:rPr>
        <w:t>INFORME TÉCNICO DE IMPLEMENTACIÓN Y VALIDACIÓN</w:t>
      </w:r>
    </w:p>
    <w:p>
      <w:pPr>
        <w:keepNext/>
        <w:spacing w:after="120"/>
      </w:pPr>
      <w:r>
        <w:rPr>
          <w:rFonts w:ascii="Aptos" w:hAnsi="Aptos" w:eastAsia="Aptos"/>
          <w:b/>
          <w:i w:val="0"/>
          <w:color w:val="111827"/>
          <w:sz w:val="50"/>
        </w:rPr>
        <w:t>Gate 07M-FID-E2E</w:t>
      </w:r>
    </w:p>
    <w:p>
      <w:pPr>
        <w:keepNext/>
        <w:spacing w:after="200"/>
      </w:pPr>
      <w:r>
        <w:rPr>
          <w:rFonts w:ascii="Aptos" w:hAnsi="Aptos" w:eastAsia="Aptos"/>
          <w:b/>
          <w:i w:val="0"/>
          <w:color w:val="111827"/>
          <w:sz w:val="28"/>
        </w:rPr>
        <w:t>Revalidación full-stack del nuevo camino PYP-FFA hacia FID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19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Dato</w:t>
            </w:r>
          </w:p>
        </w:tc>
        <w:tc>
          <w:tcPr>
            <w:tcW w:type="dxa" w:w="74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8"/>
              </w:rPr>
              <w:t>Valor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Aplicación</w:t>
            </w:r>
          </w:p>
        </w:tc>
        <w:tc>
          <w:tcPr>
            <w:tcW w:type="dxa" w:w="7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P&amp;Pmis Construction AI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Fecha de corte</w:t>
            </w:r>
          </w:p>
        </w:tc>
        <w:tc>
          <w:tcPr>
            <w:tcW w:type="dxa" w:w="74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4 de septiembre de 2026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Repositorio</w:t>
            </w:r>
          </w:p>
        </w:tc>
        <w:tc>
          <w:tcPr>
            <w:tcW w:type="dxa" w:w="7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pypmis-ia-sas · rama main · baseline 5b45e60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Alembic</w:t>
            </w:r>
          </w:p>
        </w:tc>
        <w:tc>
          <w:tcPr>
            <w:tcW w:type="dxa" w:w="74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20260902_0058 · sin cambios de esquema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Base de validación</w:t>
            </w:r>
          </w:p>
        </w:tc>
        <w:tc>
          <w:tcPr>
            <w:tcW w:type="dxa" w:w="7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PostgreSQL 16 desechable + SQLite + Chromium real-stack</w:t>
            </w:r>
          </w:p>
        </w:tc>
      </w:tr>
      <w:tr>
        <w:trPr>
          <w:cantSplit/>
          <w:trHeight w:hRule="atLeast"/>
        </w:trPr>
        <w:tc>
          <w:tcPr>
            <w:tcW w:type="dxa" w:w="19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Perfil</w:t>
            </w:r>
          </w:p>
        </w:tc>
        <w:tc>
          <w:tcPr>
            <w:tcW w:type="dxa" w:w="74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8"/>
              </w:rPr>
              <w:t>CAPITAL_OWNER · COMMERCIAL · PYP-FFA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1"/>
      </w:pPr>
      <w:r>
        <w:t>Conclusión</w:t>
      </w:r>
    </w:p>
    <w:p>
      <w:r>
        <w:t>La revalidación quedó aprobada. El camino estratégico reutiliza los servicios existentes desde Business Case y Economic &amp; Financial Model hasta Gate 07J, Gate 07K y Gate 07L; produce una decisión GO con FID y fondos totalmente autorizados, conserva can_activate_project=false y bloquea correctamente una nueva preparación cuando FIN deja de estar vigente.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Estado exclusivo: </w:t>
      </w:r>
      <w:r>
        <w:rPr>
          <w:rFonts w:ascii="Aptos" w:hAnsi="Aptos" w:eastAsia="Aptos"/>
          <w:b/>
          <w:i w:val="0"/>
          <w:color w:val="1B5E20"/>
          <w:sz w:val="21"/>
        </w:rPr>
        <w:t>GATE07M_FID_E2E_RELEASE_VALIDATED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Salida final: </w:t>
      </w:r>
      <w:r>
        <w:rPr>
          <w:rFonts w:ascii="Aptos" w:hAnsi="Aptos" w:eastAsia="Aptos"/>
          <w:b/>
          <w:i w:val="0"/>
          <w:color w:val="1B5E20"/>
          <w:sz w:val="21"/>
        </w:rPr>
        <w:t>NEW_PYP_FFA_FID_PATH_FULL_STACK_VALIDATED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Siguiente estado: </w:t>
      </w:r>
      <w:r>
        <w:rPr>
          <w:rFonts w:ascii="Aptos" w:hAnsi="Aptos" w:eastAsia="Aptos"/>
          <w:b/>
          <w:i w:val="0"/>
          <w:color w:val="1F4E78"/>
          <w:sz w:val="21"/>
        </w:rPr>
        <w:t>READY_TO_ENTER_OPERATIONAL_MACROPROCESSES_REVIEW</w:t>
      </w:r>
    </w:p>
    <w:p>
      <w:pPr>
        <w:spacing w:after="0"/>
      </w:pPr>
      <w:r>
        <w:br w:type="page"/>
      </w:r>
    </w:p>
    <w:p>
      <w:pPr>
        <w:pStyle w:val="Heading1"/>
      </w:pPr>
      <w:r>
        <w:t>1. Resumen ejecutivo y alcance</w:t>
      </w:r>
    </w:p>
    <w:p>
      <w:r>
        <w:t>El objetivo fue demostrar el camino PYP-FFA completo con datos sembrados, auditables y removibles, sin crear funcionalidad de negocio. La prueba se ejecutó sobre servicios reales y una base PostgreSQL aislada, y se replicó en SQLite para detectar diferencias de persistencia y hashing.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Dimensión</w:t>
            </w:r>
          </w:p>
        </w:tc>
        <w:tc>
          <w:tcPr>
            <w:tcW w:type="dxa" w:w="10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651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Evidencia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Camino feliz</w:t>
            </w:r>
          </w:p>
        </w:tc>
        <w:tc>
          <w:tcPr>
            <w:tcW w:type="dxa" w:w="10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BC/FIN READY → Gate07J FROZEN → Gate07K GO/FID → Gate07L elegible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Política efectiva</w:t>
            </w:r>
          </w:p>
        </w:tc>
        <w:tc>
          <w:tcPr>
            <w:tcW w:type="dxa" w:w="1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Policy 787 rev. 1; transición exacta antes/después del timestamp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Class A</w:t>
            </w:r>
          </w:p>
        </w:tc>
        <w:tc>
          <w:tcPr>
            <w:tcW w:type="dxa" w:w="10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11/11 elementos válidos; cobertura 100 %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Inmutabilidad</w:t>
            </w:r>
          </w:p>
        </w:tc>
        <w:tc>
          <w:tcPr>
            <w:tcW w:type="dxa" w:w="1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Preparación congelada y decisión histórica no cambian ante staleness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Camino negativo</w:t>
            </w:r>
          </w:p>
        </w:tc>
        <w:tc>
          <w:tcPr>
            <w:tcW w:type="dxa" w:w="10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Suspensión de Sponsor → FIN STALE → nueva preparación bloqueada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Recuperación</w:t>
            </w:r>
          </w:p>
        </w:tc>
        <w:tc>
          <w:tcPr>
            <w:tcW w:type="dxa" w:w="1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Nuevo snapshot Funding, FIN V2 y BC rev. 3 restauran READY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Navegador</w:t>
            </w:r>
          </w:p>
        </w:tc>
        <w:tc>
          <w:tcPr>
            <w:tcW w:type="dxa" w:w="10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Happy, negative, historical y drilldown sin mocks del core</w:t>
            </w:r>
          </w:p>
        </w:tc>
      </w:tr>
      <w:tr>
        <w:trPr>
          <w:cantSplit/>
          <w:trHeight w:hRule="atLeast"/>
        </w:trPr>
        <w:tc>
          <w:tcPr>
            <w:tcW w:type="dxa" w:w="1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 regresión</w:t>
            </w:r>
          </w:p>
        </w:tc>
        <w:tc>
          <w:tcPr>
            <w:tcW w:type="dxa" w:w="10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PASS</w:t>
            </w:r>
          </w:p>
        </w:tc>
        <w:tc>
          <w:tcPr>
            <w:tcW w:type="dxa" w:w="65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29 pruebas PostgreSQL; build y controles estáticos aprobados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1.1 Reuse only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Se reutilizaron BusinessCaseService, EconomicFinancialModelService, presupuesto, Funding, FEL, Risk, Permit, Gate07I, Gate07J-EVID, InvestmentGatePreparation, InvestmentDecision y Post-FID Governance.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Los inserts directos quedaron limitados a identidad, propuesta y configuraciones de fixture sin fábrica pública; el recorrido de negocio usa servicios reales.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No se añadieron modelos, tablas, migraciones, proveedores, fórmulas financieras ni semánticas nuevas de Gate 07J/07K/07L.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No se iniciaron Procurement, Contracting, Commitments, Payments, Accounting, Treasury, NTP, ejecución, P6, Asset ni Facilities Management.</w:t>
      </w:r>
    </w:p>
    <w:p>
      <w:pPr>
        <w:pStyle w:val="Heading2"/>
      </w:pPr>
      <w:r>
        <w:t>1.2 Arquitectura de validación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6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Capa</w:t>
            </w:r>
          </w:p>
        </w:tc>
        <w:tc>
          <w:tcPr>
            <w:tcW w:type="dxa" w:w="47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Implementación</w:t>
            </w:r>
          </w:p>
        </w:tc>
        <w:tc>
          <w:tcPr>
            <w:tcW w:type="dxa" w:w="30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Aislamiento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Servicios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Pytest integra el camino completo con servicios de dominio</w:t>
            </w:r>
          </w:p>
        </w:tc>
        <w:tc>
          <w:tcPr>
            <w:tcW w:type="dxa" w:w="3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Fixture por tenant y Project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Datos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PostgreSQL 16 con Alembic 0044→0058; réplica SQLite</w:t>
            </w:r>
          </w:p>
        </w:tc>
        <w:tc>
          <w:tcPr>
            <w:tcW w:type="dxa" w:w="3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tmpfs y esquema desechable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API/UI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Uvicorn + Vite + Chromium Playwright</w:t>
            </w:r>
          </w:p>
        </w:tc>
        <w:tc>
          <w:tcPr>
            <w:tcW w:type="dxa" w:w="3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Puertos 18000 y 15173</w:t>
            </w:r>
          </w:p>
        </w:tc>
      </w:tr>
      <w:tr>
        <w:trPr>
          <w:cantSplit/>
          <w:trHeight w:hRule="atLeast"/>
        </w:trPr>
        <w:tc>
          <w:tcPr>
            <w:tcW w:type="dxa" w:w="1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Evidencia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JSON con IDs, hashes, estados y tiempos</w:t>
            </w:r>
          </w:p>
        </w:tc>
        <w:tc>
          <w:tcPr>
            <w:tcW w:type="dxa" w:w="3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outputs/technical_reports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2. Correcciones de contrato implementadas</w:t>
      </w:r>
    </w:p>
    <w:p>
      <w:r>
        <w:t>La revalidación reveló defectos latentes de interoperabilidad. Se corrigió únicamente lo necesario para cumplir contratos ya definidos; ninguna corrección amplía el dominio.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8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Componente</w:t>
            </w:r>
          </w:p>
        </w:tc>
        <w:tc>
          <w:tcPr>
            <w:tcW w:type="dxa" w:w="47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Corrección</w:t>
            </w:r>
          </w:p>
        </w:tc>
        <w:tc>
          <w:tcPr>
            <w:tcW w:type="dxa" w:w="281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Control preservado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Business Case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Normalización de as_of_date entre JSON ISO y columna DateTime.</w:t>
            </w:r>
          </w:p>
        </w:tc>
        <w:tc>
          <w:tcPr>
            <w:tcW w:type="dxa" w:w="28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Lineage serializable sin romper persistencia relacional.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BC ↔ FIN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Una BC COMPLETED/READY posterior que referencia exactamente FIN id/version/hash cierra el puente de vigencia.</w:t>
            </w:r>
          </w:p>
        </w:tc>
        <w:tc>
          <w:tcPr>
            <w:tcW w:type="dxa" w:w="28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 muta revisiones completadas ni acepta referencias parciales.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FIN ↔ Funding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Currentness compara el snapshot referenciado con readiness derivada de fuentes gobernadas vivas.</w:t>
            </w:r>
          </w:p>
        </w:tc>
        <w:tc>
          <w:tcPr>
            <w:tcW w:type="dxa" w:w="28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Suspensión o cambio de una fuente convierte FIN en STALE.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FIN refresh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Refresh usa currentness vivo y el snapshot Funding vigente.</w:t>
            </w:r>
          </w:p>
        </w:tc>
        <w:tc>
          <w:tcPr>
            <w:tcW w:type="dxa" w:w="28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Crea una nueva versión; no reescribe FIN histórico.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Policy 787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Selección por effective_from y después revision para configuraciones de igual scope.</w:t>
            </w:r>
          </w:p>
        </w:tc>
        <w:tc>
          <w:tcPr>
            <w:tcW w:type="dxa" w:w="28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Cambio temporal exacto; no se backdatea la política publicada.</w:t>
            </w:r>
          </w:p>
        </w:tc>
      </w:tr>
      <w:tr>
        <w:trPr>
          <w:cantSplit/>
          <w:trHeight w:hRule="atLeast"/>
        </w:trPr>
        <w:tc>
          <w:tcPr>
            <w:tcW w:type="dxa" w:w="18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Hash de decisión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Monto autorizado canónico con dos decimales antes de calcular el hash.</w:t>
            </w:r>
          </w:p>
        </w:tc>
        <w:tc>
          <w:tcPr>
            <w:tcW w:type="dxa" w:w="28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Determinismo entre SQLite y PostgreSQL.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2.1 Archivos de producto ajustados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3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Archivo</w:t>
            </w:r>
          </w:p>
        </w:tc>
        <w:tc>
          <w:tcPr>
            <w:tcW w:type="dxa" w:w="40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Responsabilidad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backend/app/modules/business_case/service.py</w:t>
            </w:r>
          </w:p>
        </w:tc>
        <w:tc>
          <w:tcPr>
            <w:tcW w:type="dxa" w:w="4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Conversión DateTime y bundle de fuente.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backend/app/modules/economic_financial_model/service.py</w:t>
            </w:r>
          </w:p>
        </w:tc>
        <w:tc>
          <w:tcPr>
            <w:tcW w:type="dxa" w:w="4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Puente BC↔FIN, vigencia Funding y refresh.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backend/app/modules/investment_decision/service.py</w:t>
            </w:r>
          </w:p>
        </w:tc>
        <w:tc>
          <w:tcPr>
            <w:tcW w:type="dxa" w:w="4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Hash canónico del monto autorizado.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backend/app/modules/investment_evidence_policy/service.py</w:t>
            </w:r>
          </w:p>
        </w:tc>
        <w:tc>
          <w:tcPr>
            <w:tcW w:type="dxa" w:w="4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Resolución temporal de políticas publicadas.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2.2 Activos de validación añadidos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3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Activo</w:t>
            </w:r>
          </w:p>
        </w:tc>
        <w:tc>
          <w:tcPr>
            <w:tcW w:type="dxa" w:w="40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Propósito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backend/tests/test_gate07m_fid_e2e.py</w:t>
            </w:r>
          </w:p>
        </w:tc>
        <w:tc>
          <w:tcPr>
            <w:tcW w:type="dxa" w:w="4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Escenario integral y evidencia JSON.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docker-compose.gate07m-fid-e2e.yml</w:t>
            </w:r>
          </w:p>
        </w:tc>
        <w:tc>
          <w:tcPr>
            <w:tcW w:type="dxa" w:w="4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PostgreSQL/Redis/API/frontend aislados y fases de regresión.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frontend/e2e/gate07m-fid-real-stack.spec.ts</w:t>
            </w:r>
          </w:p>
        </w:tc>
        <w:tc>
          <w:tcPr>
            <w:tcW w:type="dxa" w:w="40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Browser E2E sin route mocks del core.</w:t>
            </w:r>
          </w:p>
        </w:tc>
      </w:tr>
      <w:tr>
        <w:trPr>
          <w:cantSplit/>
          <w:trHeight w:hRule="atLeast"/>
        </w:trPr>
        <w:tc>
          <w:tcPr>
            <w:tcW w:type="dxa" w:w="53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docs/63-validation-gate07m-fid-full-stack.md</w:t>
            </w:r>
          </w:p>
        </w:tc>
        <w:tc>
          <w:tcPr>
            <w:tcW w:type="dxa" w:w="40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ADR / Validation Note y límites de arquitectura.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3. Escenario sembrado y cadena estratégica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4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Elemento</w:t>
            </w:r>
          </w:p>
        </w:tc>
        <w:tc>
          <w:tcPr>
            <w:tcW w:type="dxa" w:w="69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7"/>
              </w:rPr>
              <w:t>Valor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Project</w:t>
            </w:r>
          </w:p>
        </w:tc>
        <w:tc>
          <w:tcPr>
            <w:tcW w:type="dxa" w:w="69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G07F-PRJ-7f5905a918 · ID 3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Perfil</w:t>
            </w:r>
          </w:p>
        </w:tc>
        <w:tc>
          <w:tcPr>
            <w:tcW w:type="dxa" w:w="6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CAPITAL_OWNER · COMMERCIAL · PYP-FFA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Portfolio</w:t>
            </w:r>
          </w:p>
        </w:tc>
        <w:tc>
          <w:tcPr>
            <w:tcW w:type="dxa" w:w="69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G07F-PF-61b9ea37f8 · ID 2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Budget</w:t>
            </w:r>
          </w:p>
        </w:tc>
        <w:tc>
          <w:tcPr>
            <w:tcW w:type="dxa" w:w="6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USD 100,000,000 · scenario 1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Funding</w:t>
            </w:r>
          </w:p>
        </w:tc>
        <w:tc>
          <w:tcPr>
            <w:tcW w:type="dxa" w:w="69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USD 100000000.00 · cobertura 100.0000 %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Permit</w:t>
            </w:r>
          </w:p>
        </w:tc>
        <w:tc>
          <w:tcPr>
            <w:tcW w:type="dxa" w:w="69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Clase B · INDEPENDENTLY_VALIDATED_REFERENCE</w:t>
            </w:r>
          </w:p>
        </w:tc>
      </w:tr>
      <w:tr>
        <w:trPr>
          <w:cantSplit/>
          <w:trHeight w:hRule="atLeast"/>
        </w:trPr>
        <w:tc>
          <w:tcPr>
            <w:tcW w:type="dxa" w:w="2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Estado Project tras FID</w:t>
            </w:r>
          </w:p>
        </w:tc>
        <w:tc>
          <w:tcPr>
            <w:tcW w:type="dxa" w:w="69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7"/>
              </w:rPr>
              <w:t>pending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3.1 Fuentes y estructura de capital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14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Clave</w:t>
            </w:r>
          </w:p>
        </w:tc>
        <w:tc>
          <w:tcPr>
            <w:tcW w:type="dxa" w:w="23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Fuente</w:t>
            </w:r>
          </w:p>
        </w:tc>
        <w:tc>
          <w:tcPr>
            <w:tcW w:type="dxa" w:w="33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Instrumento</w:t>
            </w:r>
          </w:p>
        </w:tc>
        <w:tc>
          <w:tcPr>
            <w:tcW w:type="dxa" w:w="2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Monto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SPONSOR</w:t>
            </w:r>
          </w:p>
        </w:tc>
        <w:tc>
          <w:tcPr>
            <w:tcW w:type="dxa" w:w="23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CORPORATE_CAPEX</w:t>
            </w:r>
          </w:p>
        </w:tc>
        <w:tc>
          <w:tcPr>
            <w:tcW w:type="dxa" w:w="3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SPONSOR_EQUITY</w:t>
            </w:r>
          </w:p>
        </w:tc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20,000,000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EXTERNAL</w:t>
            </w:r>
          </w:p>
        </w:tc>
        <w:tc>
          <w:tcPr>
            <w:tcW w:type="dxa" w:w="2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JV_CONTRIBUTION</w:t>
            </w:r>
          </w:p>
        </w:tc>
        <w:tc>
          <w:tcPr>
            <w:tcW w:type="dxa" w:w="3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EXTERNAL_INVESTOR_EQUITY</w:t>
            </w:r>
          </w:p>
        </w:tc>
        <w:tc>
          <w:tcPr>
            <w:tcW w:type="dxa" w:w="2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15,000,000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SENIOR</w:t>
            </w:r>
          </w:p>
        </w:tc>
        <w:tc>
          <w:tcPr>
            <w:tcW w:type="dxa" w:w="23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BANK_LOAN</w:t>
            </w:r>
          </w:p>
        </w:tc>
        <w:tc>
          <w:tcPr>
            <w:tcW w:type="dxa" w:w="3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BANK_LOAN</w:t>
            </w:r>
          </w:p>
        </w:tc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50,000,000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DEVELOPMENT</w:t>
            </w:r>
          </w:p>
        </w:tc>
        <w:tc>
          <w:tcPr>
            <w:tcW w:type="dxa" w:w="2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DEVELOPMENT_BANK</w:t>
            </w:r>
          </w:p>
        </w:tc>
        <w:tc>
          <w:tcPr>
            <w:tcW w:type="dxa" w:w="3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DEVELOPMENT_BANK_LOAN</w:t>
            </w:r>
          </w:p>
        </w:tc>
        <w:tc>
          <w:tcPr>
            <w:tcW w:type="dxa" w:w="2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10,000,000</w:t>
            </w:r>
          </w:p>
        </w:tc>
      </w:tr>
      <w:tr>
        <w:trPr>
          <w:cantSplit/>
          <w:trHeight w:hRule="atLeast"/>
        </w:trPr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GRANT</w:t>
            </w:r>
          </w:p>
        </w:tc>
        <w:tc>
          <w:tcPr>
            <w:tcW w:type="dxa" w:w="23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GRANT</w:t>
            </w:r>
          </w:p>
        </w:tc>
        <w:tc>
          <w:tcPr>
            <w:tcW w:type="dxa" w:w="3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GRANT</w:t>
            </w:r>
          </w:p>
        </w:tc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5,000,000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3.2 Recorrido validado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Planning, evaluation, budget, resource y convergence producen fuentes gobernadas del Portfolio.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FEL-1, FEL-2 y FEL-3, Risk y Permit completan evidencia estratégica aplicable.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Business Case queda COMPLETED/READY y referencia el FIN actual por id, versión y hash.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FIN queda COMPLETED/READY, reconcilia Budget y Funding y expone métricas económicas/de deuda.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Policy 787 rev. 1 resuelve 11/11 Class A; Gate 07J se congela READY.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Gate 07K decide GO, otorga FID y autorización total de fondos, sin activar el Project.</w:t>
      </w:r>
    </w:p>
    <w:p>
      <w:pPr>
        <w:pStyle w:val="ListNumber"/>
        <w:spacing w:after="60"/>
      </w:pPr>
      <w:r>
        <w:rPr>
          <w:rFonts w:ascii="Aptos" w:hAnsi="Aptos" w:eastAsia="Aptos"/>
          <w:b w:val="0"/>
          <w:i w:val="0"/>
          <w:color w:val="111827"/>
          <w:sz w:val="20"/>
        </w:rPr>
        <w:t>Gate 07L habilita inicialización del workspace y mantiene activación en false.</w:t>
      </w:r>
    </w:p>
    <w:p>
      <w:pPr>
        <w:spacing w:after="0"/>
      </w:pPr>
      <w:r>
        <w:br w:type="page"/>
      </w:r>
    </w:p>
    <w:p>
      <w:pPr>
        <w:pStyle w:val="Heading1"/>
      </w:pPr>
      <w:r>
        <w:t>4. Resultados económicos, financieros y de gobierno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Indicador</w:t>
            </w:r>
          </w:p>
        </w:tc>
        <w:tc>
          <w:tcPr>
            <w:tcW w:type="dxa" w:w="22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  <w:tc>
          <w:tcPr>
            <w:tcW w:type="dxa" w:w="491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Lectura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NPV</w:t>
            </w:r>
          </w:p>
        </w:tc>
        <w:tc>
          <w:tcPr>
            <w:tcW w:type="dxa" w:w="22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USD 11,119,459.053343</w:t>
            </w:r>
          </w:p>
        </w:tc>
        <w:tc>
          <w:tcPr>
            <w:tcW w:type="dxa" w:w="49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Valor presente neto calculado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IRR</w:t>
            </w:r>
          </w:p>
        </w:tc>
        <w:tc>
          <w:tcPr>
            <w:tcW w:type="dxa" w:w="22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15.975320 %</w:t>
            </w:r>
          </w:p>
        </w:tc>
        <w:tc>
          <w:tcPr>
            <w:tcW w:type="dxa" w:w="49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Tasa interna del caso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MOIC</w:t>
            </w:r>
          </w:p>
        </w:tc>
        <w:tc>
          <w:tcPr>
            <w:tcW w:type="dxa" w:w="22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2.00000000</w:t>
            </w:r>
          </w:p>
        </w:tc>
        <w:tc>
          <w:tcPr>
            <w:tcW w:type="dxa" w:w="49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Múltiplo de capital invertido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Minimum DSCR</w:t>
            </w:r>
          </w:p>
        </w:tc>
        <w:tc>
          <w:tcPr>
            <w:tcW w:type="dxa" w:w="22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1.73913043</w:t>
            </w:r>
          </w:p>
        </w:tc>
        <w:tc>
          <w:tcPr>
            <w:tcW w:type="dxa" w:w="49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Cobertura mínima de servicio de deuda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LLCR</w:t>
            </w:r>
          </w:p>
        </w:tc>
        <w:tc>
          <w:tcPr>
            <w:tcW w:type="dxa" w:w="22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1.93814991</w:t>
            </w:r>
          </w:p>
        </w:tc>
        <w:tc>
          <w:tcPr>
            <w:tcW w:type="dxa" w:w="49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Cobertura de vida del préstamo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Equity IRR</w:t>
            </w:r>
          </w:p>
        </w:tc>
        <w:tc>
          <w:tcPr>
            <w:tcW w:type="dxa" w:w="22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None</w:t>
            </w:r>
          </w:p>
        </w:tc>
        <w:tc>
          <w:tcPr>
            <w:tcW w:type="dxa" w:w="49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 computable con el patrón de flujo sembrado; no se fabrica valor</w:t>
            </w:r>
          </w:p>
        </w:tc>
      </w:tr>
      <w:tr>
        <w:trPr>
          <w:cantSplit/>
          <w:trHeight w:hRule="atLeast"/>
        </w:trPr>
        <w:tc>
          <w:tcPr>
            <w:tcW w:type="dxa" w:w="2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Funding</w:t>
            </w:r>
          </w:p>
        </w:tc>
        <w:tc>
          <w:tcPr>
            <w:tcW w:type="dxa" w:w="22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RECONCILED</w:t>
            </w:r>
          </w:p>
        </w:tc>
        <w:tc>
          <w:tcPr>
            <w:tcW w:type="dxa" w:w="49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Cinco instrumentos referenciados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4.1 Gate 07J · Investment Gate Preparation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6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Campo</w:t>
            </w:r>
          </w:p>
        </w:tc>
        <w:tc>
          <w:tcPr>
            <w:tcW w:type="dxa" w:w="67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Preparation</w:t>
            </w:r>
          </w:p>
        </w:tc>
        <w:tc>
          <w:tcPr>
            <w:tcW w:type="dxa" w:w="6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ID 1 · FROZEN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Readiness</w:t>
            </w:r>
          </w:p>
        </w:tc>
        <w:tc>
          <w:tcPr>
            <w:tcW w:type="dxa" w:w="6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READY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Class A</w:t>
            </w:r>
          </w:p>
        </w:tc>
        <w:tc>
          <w:tcPr>
            <w:tcW w:type="dxa" w:w="6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11/11 válidas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Coverage</w:t>
            </w:r>
          </w:p>
        </w:tc>
        <w:tc>
          <w:tcPr>
            <w:tcW w:type="dxa" w:w="6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100.0 %</w:t>
            </w:r>
          </w:p>
        </w:tc>
      </w:tr>
      <w:tr>
        <w:trPr>
          <w:cantSplit/>
          <w:trHeight w:hRule="atLeast"/>
        </w:trPr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Snapshot hash</w:t>
            </w:r>
          </w:p>
        </w:tc>
        <w:tc>
          <w:tcPr>
            <w:tcW w:type="dxa" w:w="6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2d599bce470138230e193016bf09eff1ebc39510383b645a0122c9af854f5c24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4.2 Gate 07K y Gate 07L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9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Gate</w:t>
            </w:r>
          </w:p>
        </w:tc>
        <w:tc>
          <w:tcPr>
            <w:tcW w:type="dxa" w:w="3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Estado</w:t>
            </w:r>
          </w:p>
        </w:tc>
        <w:tc>
          <w:tcPr>
            <w:tcW w:type="dxa" w:w="52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Salida gobernada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07K</w:t>
            </w:r>
          </w:p>
        </w:tc>
        <w:tc>
          <w:tcPr>
            <w:tcW w:type="dxa" w:w="3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DECIDED / GO</w:t>
            </w:r>
          </w:p>
        </w:tc>
        <w:tc>
          <w:tcPr>
            <w:tcW w:type="dxa" w:w="5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is_fid=true; full_funds=true; investment_authorized=true; can_activate=false</w:t>
            </w:r>
          </w:p>
        </w:tc>
      </w:tr>
      <w:tr>
        <w:trPr>
          <w:cantSplit/>
          <w:trHeight w:hRule="atLeast"/>
        </w:trPr>
        <w:tc>
          <w:tcPr>
            <w:tcW w:type="dxa" w:w="9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07L</w:t>
            </w:r>
          </w:p>
        </w:tc>
        <w:tc>
          <w:tcPr>
            <w:tcW w:type="dxa" w:w="3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READY_FOR_PROJECT_WORKSPACE_INITIALIZATION</w:t>
            </w:r>
          </w:p>
        </w:tc>
        <w:tc>
          <w:tcPr>
            <w:tcW w:type="dxa" w:w="5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can_initialize=true; can_activate=false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5. Política efectiva, timezone y cadena de hashes</w:t>
      </w:r>
    </w:p>
    <w:p>
      <w:r>
        <w:t>El timestamp publicado no fue editado ni retrodatado. El servicio interpreta el valor ISO sin zona como UTC y lo compara con un reloj UTC aware. La prueba focal usa un reloj de test aislado para comprobar el instante anterior y el instante exacto de activación.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8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65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Runtime de validación</w:t>
            </w:r>
          </w:p>
        </w:tc>
        <w:tc>
          <w:tcPr>
            <w:tcW w:type="dxa" w:w="65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UTC aware; ejecución host America/Bogota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effective_from persistido</w:t>
            </w:r>
          </w:p>
        </w:tc>
        <w:tc>
          <w:tcPr>
            <w:tcW w:type="dxa" w:w="65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2026-09-03T12:34:44.035309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Interpretación resuelta</w:t>
            </w:r>
          </w:p>
        </w:tc>
        <w:tc>
          <w:tcPr>
            <w:tcW w:type="dxa" w:w="65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2026-09-03T12:34:44.035309Z (UTC)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Antes del instante</w:t>
            </w:r>
          </w:p>
        </w:tc>
        <w:tc>
          <w:tcPr>
            <w:tcW w:type="dxa" w:w="65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Se selecciona política anterior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En/después del instante</w:t>
            </w:r>
          </w:p>
        </w:tc>
        <w:tc>
          <w:tcPr>
            <w:tcW w:type="dxa" w:w="65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Policy 787 rev. 1</w:t>
            </w:r>
          </w:p>
        </w:tc>
      </w:tr>
      <w:tr>
        <w:trPr>
          <w:cantSplit/>
          <w:trHeight w:hRule="atLeast"/>
        </w:trPr>
        <w:tc>
          <w:tcPr>
            <w:tcW w:type="dxa" w:w="28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Policy hash</w:t>
            </w:r>
          </w:p>
        </w:tc>
        <w:tc>
          <w:tcPr>
            <w:tcW w:type="dxa" w:w="65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a70075f0b392ab5d17a21353d7434ca73b51d11f57ccbd14774aa1013e795392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5.1 Hash chain principal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1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Objeto</w:t>
            </w:r>
          </w:p>
        </w:tc>
        <w:tc>
          <w:tcPr>
            <w:tcW w:type="dxa" w:w="14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ID / versión</w:t>
            </w:r>
          </w:p>
        </w:tc>
        <w:tc>
          <w:tcPr>
            <w:tcW w:type="dxa" w:w="57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Hash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Budget</w:t>
            </w:r>
          </w:p>
        </w:tc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0996cf89cabeae3c995036202016399274d242255f15e4f371b4cf8d2337d30a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Resource</w:t>
            </w:r>
          </w:p>
        </w:tc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390894f797f33e902f17bd2f028b1564028c92dee8bf9908e376cc2012681e72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Convergence</w:t>
            </w:r>
          </w:p>
        </w:tc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79c0cd2a6f9198bdca04e6da0bf581f2c0ef35ec3713cd42004dbfa1c80cb21c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Funding Readiness</w:t>
            </w:r>
          </w:p>
        </w:tc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682f4903f90a4de89060ddc19b8bafc0d986791b11edd4c543dd094ce402557e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Business Case</w:t>
            </w:r>
          </w:p>
        </w:tc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rev 2</w:t>
            </w:r>
          </w:p>
        </w:tc>
        <w:tc>
          <w:tcPr>
            <w:tcW w:type="dxa" w:w="5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fcf8a025937c69068da3ad92e901ea328ae589730394d6ff95ec279318b1e87d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FIN</w:t>
            </w:r>
          </w:p>
        </w:tc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v1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eaa38a9fd0aa167fe3c1025de0d4ee72fe8b80e29d766e00c9b5c792e207c874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07J</w:t>
            </w:r>
          </w:p>
        </w:tc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2d599bce470138230e193016bf09eff1ebc39510383b645a0122c9af854f5c24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07K Decision</w:t>
            </w:r>
          </w:p>
        </w:tc>
        <w:tc>
          <w:tcPr>
            <w:tcW w:type="dxa" w:w="14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  <w:tc>
          <w:tcPr>
            <w:tcW w:type="dxa" w:w="57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ed8e5d6603ca50a005061391e877d116590c0094f924514e22594a325c52d012</w:t>
            </w:r>
          </w:p>
        </w:tc>
      </w:tr>
      <w:tr>
        <w:trPr>
          <w:cantSplit/>
          <w:trHeight w:hRule="atLeast"/>
        </w:trPr>
        <w:tc>
          <w:tcPr>
            <w:tcW w:type="dxa" w:w="21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07L Eligibility</w:t>
            </w:r>
          </w:p>
        </w:tc>
        <w:tc>
          <w:tcPr>
            <w:tcW w:type="dxa" w:w="14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current</w:t>
            </w:r>
          </w:p>
        </w:tc>
        <w:tc>
          <w:tcPr>
            <w:tcW w:type="dxa" w:w="57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fa58d1c5625556bf87fe85680115f76dde693770fb550859dcbbd68b43fdd35f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6. Camino negativo, histórico y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5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Fase</w:t>
            </w:r>
          </w:p>
        </w:tc>
        <w:tc>
          <w:tcPr>
            <w:tcW w:type="dxa" w:w="47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Acción / condición</w:t>
            </w:r>
          </w:p>
        </w:tc>
        <w:tc>
          <w:tcPr>
            <w:tcW w:type="dxa" w:w="3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Estado válido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BC y FIN actuales; Gate 07J congelado; FID decidido</w:t>
            </w:r>
          </w:p>
        </w:tc>
        <w:tc>
          <w:tcPr>
            <w:tcW w:type="dxa" w:w="3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READY / FROZEN / DECIDED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Disparador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SPONSOR_FUNDING_SOURCE_SUSPENDED</w:t>
            </w:r>
          </w:p>
        </w:tc>
        <w:tc>
          <w:tcPr>
            <w:tcW w:type="dxa" w:w="3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Funding source ID 1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Reevaluación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Proveedor FIN consulta fuente Funding gobernada</w:t>
            </w:r>
          </w:p>
        </w:tc>
        <w:tc>
          <w:tcPr>
            <w:tcW w:type="dxa" w:w="3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current=false; readiness=STALE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Bloqueo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Se evalúa una preparación nueva</w:t>
            </w:r>
          </w:p>
        </w:tc>
        <w:tc>
          <w:tcPr>
            <w:tcW w:type="dxa" w:w="3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would_be_ready=false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Histórico</w:t>
            </w:r>
          </w:p>
        </w:tc>
        <w:tc>
          <w:tcPr>
            <w:tcW w:type="dxa" w:w="4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Preparación y Decision ya congeladas</w:t>
            </w:r>
          </w:p>
        </w:tc>
        <w:tc>
          <w:tcPr>
            <w:tcW w:type="dxa" w:w="3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Hashes sin cambios</w:t>
            </w:r>
          </w:p>
        </w:tc>
      </w:tr>
      <w:tr>
        <w:trPr>
          <w:cantSplit/>
          <w:trHeight w:hRule="atLeast"/>
        </w:trPr>
        <w:tc>
          <w:tcPr>
            <w:tcW w:type="dxa" w:w="1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Recuperación</w:t>
            </w:r>
          </w:p>
        </w:tc>
        <w:tc>
          <w:tcPr>
            <w:tcW w:type="dxa" w:w="4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Fuente reactivada; snapshot Funding nuevo; FIN V2; BC rev. 3</w:t>
            </w:r>
          </w:p>
        </w:tc>
        <w:tc>
          <w:tcPr>
            <w:tcW w:type="dxa" w:w="3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READY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6.1 Evidencia de inmutabilidad y recuperación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Control</w:t>
            </w:r>
          </w:p>
        </w:tc>
        <w:tc>
          <w:tcPr>
            <w:tcW w:type="dxa" w:w="63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Preparation hash histórico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UNCHANGED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Decision hash histórico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UNCHANGED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Funding snapshot recuperado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ID 2 · 3209f10575335d0446f0a87b4dca970fb2c40fe671b2afb7ffb4a27c2d873c02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FIN recuperado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V2 · d30f9a31f444afa915f86aefbab5148c629b88a8013cec7b057ac1ac2e56009b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Business Case recuperado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rev 3 · FIN hash coincidente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Provider final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current=true · READY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6.2 Negativos cubiertos por regresión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Fuente Funding modificada o suspendida: FIN se vuelve STALE y no puede habilitar una preparación nueva.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Referencias BC↔FIN incompletas o antiguas: bloqueadas por exactitud de id, versión y hash.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Cobertura Class A menor a 100 %, provider unavailable y evidencia inválida: Gate 07J no queda READY.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No existe fallback automático A→B; el grado requerido por policy se conserva.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Decide repetido queda protegido por idempotencia y no altera snapshot ni decisión histórica.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17"/>
        </w:rPr>
        <w:t>Overrun o conciliación Funding no válida bloquea readiness financiera según contratos existentes.</w:t>
      </w:r>
    </w:p>
    <w:p>
      <w:pPr>
        <w:spacing w:after="0"/>
      </w:pPr>
      <w:r>
        <w:br w:type="page"/>
      </w:r>
    </w:p>
    <w:p>
      <w:pPr>
        <w:pStyle w:val="Heading1"/>
      </w:pPr>
      <w:r>
        <w:t>7. Validación técnica y browser real-stack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7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Control</w:t>
            </w:r>
          </w:p>
        </w:tc>
        <w:tc>
          <w:tcPr>
            <w:tcW w:type="dxa" w:w="1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Resultado</w:t>
            </w:r>
          </w:p>
        </w:tc>
        <w:tc>
          <w:tcPr>
            <w:tcW w:type="dxa" w:w="56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Detalle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Ruff check + format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6 archivos backend modificados/nuevos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Pruebas focales host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12 passed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Integración SQLite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 passed; evidencia generada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Migración PostgreSQL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0044 → head 20260902_0058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Schema validator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Gate07M-FIN sobre PostgreSQL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Camino full-stack PostgreSQL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 passed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Regresión Gate 07L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5 passed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Regresión EVID/FIN/Decision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23 passed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Total PostgreSQL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29 passed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Frontend ESLint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0 errores; 13 warnings preexistentes no bloqueantes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Frontend build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Vite/TypeScript; 2.436 módulos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Playwright Chromium</w:t>
            </w:r>
          </w:p>
        </w:tc>
        <w:tc>
          <w:tcPr>
            <w:tcW w:type="dxa" w:w="1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 escenario real-stack; 1,5 min</w:t>
            </w:r>
          </w:p>
        </w:tc>
      </w:tr>
      <w:tr>
        <w:trPr>
          <w:cantSplit/>
          <w:trHeight w:hRule="atLeast"/>
        </w:trPr>
        <w:tc>
          <w:tcPr>
            <w:tcW w:type="dxa" w:w="27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git diff --check</w:t>
            </w:r>
          </w:p>
        </w:tc>
        <w:tc>
          <w:tcPr>
            <w:tcW w:type="dxa" w:w="1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PASS</w:t>
            </w:r>
          </w:p>
        </w:tc>
        <w:tc>
          <w:tcPr>
            <w:tcW w:type="dxa" w:w="56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Sin whitespace errors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7.1 Evidencia de navegador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5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Aserción</w:t>
            </w:r>
          </w:p>
        </w:tc>
        <w:tc>
          <w:tcPr>
            <w:tcW w:type="dxa" w:w="58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Resultado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Camino feliz</w:t>
            </w:r>
          </w:p>
        </w:tc>
        <w:tc>
          <w:tcPr>
            <w:tcW w:type="dxa" w:w="58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True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FIN stale negativo</w:t>
            </w:r>
          </w:p>
        </w:tc>
        <w:tc>
          <w:tcPr>
            <w:tcW w:type="dxa" w:w="58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True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FID histórico</w:t>
            </w:r>
          </w:p>
        </w:tc>
        <w:tc>
          <w:tcPr>
            <w:tcW w:type="dxa" w:w="58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True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Source drilldown</w:t>
            </w:r>
          </w:p>
        </w:tc>
        <w:tc>
          <w:tcPr>
            <w:tcW w:type="dxa" w:w="58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True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Page errors</w:t>
            </w:r>
          </w:p>
        </w:tc>
        <w:tc>
          <w:tcPr>
            <w:tcW w:type="dxa" w:w="58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[]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Console problems</w:t>
            </w:r>
          </w:p>
        </w:tc>
        <w:tc>
          <w:tcPr>
            <w:tcW w:type="dxa" w:w="58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[]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Unexpected &gt;=400</w:t>
            </w:r>
          </w:p>
        </w:tc>
        <w:tc>
          <w:tcPr>
            <w:tcW w:type="dxa" w:w="58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[]</w:t>
            </w:r>
          </w:p>
        </w:tc>
      </w:tr>
      <w:tr>
        <w:trPr>
          <w:cantSplit/>
          <w:trHeight w:hRule="atLeast"/>
        </w:trPr>
        <w:tc>
          <w:tcPr>
            <w:tcW w:type="dxa" w:w="3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Core route mocks</w:t>
            </w:r>
          </w:p>
        </w:tc>
        <w:tc>
          <w:tcPr>
            <w:tcW w:type="dxa" w:w="58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rPr>
          <w:rFonts w:ascii="Aptos" w:hAnsi="Aptos" w:eastAsia="Aptos"/>
          <w:b w:val="0"/>
          <w:i w:val="0"/>
          <w:color w:val="111827"/>
          <w:sz w:val="19"/>
        </w:rPr>
        <w:t>La equivalencia de contrato se confirmó en dos motores: PostgreSQL produjo GATE07M_FID_E2E_RELEASE_VALIDATED y SQLite produjo GATE07M_FID_E2E_RELEASE_VALIDATED. Los hashes son específicos de cada fixture; los estados, métricas, guardrails y transiciones son equivalentes.</w:t>
      </w:r>
    </w:p>
    <w:p>
      <w:pPr>
        <w:spacing w:after="0"/>
      </w:pPr>
      <w:r>
        <w:br w:type="page"/>
      </w:r>
    </w:p>
    <w:p>
      <w:pPr>
        <w:pStyle w:val="Heading1"/>
      </w:pPr>
      <w:r>
        <w:t>8. Rendimiento, aislamiento y baseline persistente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Operación</w:t>
            </w:r>
          </w:p>
        </w:tc>
        <w:tc>
          <w:tcPr>
            <w:tcW w:type="dxa" w:w="43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Tiempo observado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Provider resolution</w:t>
            </w:r>
          </w:p>
        </w:tc>
        <w:tc>
          <w:tcPr>
            <w:tcW w:type="dxa" w:w="4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3964.188 ms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07J readiness</w:t>
            </w:r>
          </w:p>
        </w:tc>
        <w:tc>
          <w:tcPr>
            <w:tcW w:type="dxa" w:w="4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408.086 ms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07J freeze</w:t>
            </w:r>
          </w:p>
        </w:tc>
        <w:tc>
          <w:tcPr>
            <w:tcW w:type="dxa" w:w="4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607.914 ms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07K package load</w:t>
            </w:r>
          </w:p>
        </w:tc>
        <w:tc>
          <w:tcPr>
            <w:tcW w:type="dxa" w:w="4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918.409 ms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07K decide</w:t>
            </w:r>
          </w:p>
        </w:tc>
        <w:tc>
          <w:tcPr>
            <w:tcW w:type="dxa" w:w="4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454.710 ms</w:t>
            </w:r>
          </w:p>
        </w:tc>
      </w:tr>
      <w:tr>
        <w:trPr>
          <w:cantSplit/>
          <w:trHeight w:hRule="atLeast"/>
        </w:trPr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Gate 07L evaluate</w:t>
            </w:r>
          </w:p>
        </w:tc>
        <w:tc>
          <w:tcPr>
            <w:tcW w:type="dxa" w:w="4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1094.370 ms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40"/>
      </w:pPr>
      <w:r>
        <w:rPr>
          <w:rFonts w:ascii="Aptos" w:hAnsi="Aptos" w:eastAsia="Aptos"/>
          <w:b w:val="0"/>
          <w:i w:val="0"/>
          <w:color w:val="111827"/>
          <w:sz w:val="19"/>
        </w:rPr>
        <w:t>Estos valores son observaciones de un entorno local contenedorizado, no un SLA ni un benchmark de carga. La resolución del proveedor es la operación más costosa del escenario y merece telemetría p95 en una fase posterior, sin bloquear este cierre funcional.</w:t>
      </w:r>
    </w:p>
    <w:p>
      <w:pPr>
        <w:pStyle w:val="Heading2"/>
      </w:pPr>
      <w:r>
        <w:t>8.1 Aislamiento y limpieza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3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Control</w:t>
            </w:r>
          </w:p>
        </w:tc>
        <w:tc>
          <w:tcPr>
            <w:tcW w:type="dxa" w:w="63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Evidencia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Base de prueba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PostgreSQL gate07e en tmpfs; Redis sin persistencia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Separación de puertos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API 18000; frontend 15173; no reemplazan 8000/5173 principales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Limpieza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docker compose down -v completado; contenedores y red gate07m-fid-browser removidos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Aplicación principal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Servicios persistentes permanecieron activos; localhost:5173/app respondió HTTP 200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Project ID 14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No existe dentro del fixture desechable; por diseño los campos before/after son null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Baseline persistente</w:t>
            </w:r>
          </w:p>
        </w:tc>
        <w:tc>
          <w:tcPr>
            <w:tcW w:type="dxa" w:w="63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Sólo lectura: head 0058; 14 enterprise workspaces; 1 project workspace; 84 configuraciones admin</w:t>
            </w:r>
          </w:p>
        </w:tc>
      </w:tr>
      <w:tr>
        <w:trPr>
          <w:cantSplit/>
          <w:trHeight w:hRule="atLeast"/>
        </w:trPr>
        <w:tc>
          <w:tcPr>
            <w:tcW w:type="dxa" w:w="3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Project 14 persistente</w:t>
            </w:r>
          </w:p>
        </w:tc>
        <w:tc>
          <w:tcPr>
            <w:tcW w:type="dxa" w:w="63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Hash baseline observado: eea3648c6908a267d1e0651828ff4459; no usado por el test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8.2 Datos persistentes preservados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42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Objeto</w:t>
            </w:r>
          </w:p>
        </w:tc>
        <w:tc>
          <w:tcPr>
            <w:tcW w:type="dxa" w:w="51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Conteo / estado baseline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Enterprise workspaces</w:t>
            </w:r>
          </w:p>
        </w:tc>
        <w:tc>
          <w:tcPr>
            <w:tcW w:type="dxa" w:w="5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14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Project workspaces</w:t>
            </w:r>
          </w:p>
        </w:tc>
        <w:tc>
          <w:tcPr>
            <w:tcW w:type="dxa" w:w="5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1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Admin configurations</w:t>
            </w:r>
          </w:p>
        </w:tc>
        <w:tc>
          <w:tcPr>
            <w:tcW w:type="dxa" w:w="5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84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User accounts / access assignments</w:t>
            </w:r>
          </w:p>
        </w:tc>
        <w:tc>
          <w:tcPr>
            <w:tcW w:type="dxa" w:w="5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9 / 2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Policy 787</w:t>
            </w:r>
          </w:p>
        </w:tc>
        <w:tc>
          <w:tcPr>
            <w:tcW w:type="dxa" w:w="51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published · rev. 1 · hash preservado</w:t>
            </w:r>
          </w:p>
        </w:tc>
      </w:tr>
      <w:tr>
        <w:trPr>
          <w:cantSplit/>
          <w:trHeight w:hRule="atLeast"/>
        </w:trPr>
        <w:tc>
          <w:tcPr>
            <w:tcW w:type="dxa" w:w="42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BC / FIN / Decision / Post-FID persistentes</w:t>
            </w:r>
          </w:p>
        </w:tc>
        <w:tc>
          <w:tcPr>
            <w:tcW w:type="dxa" w:w="51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0 antes de la prueba; escenario ejecutado sólo en DB desechable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9. Riesgos, deuda técnica y cierre estratégico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25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4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Impacto</w:t>
            </w:r>
          </w:p>
        </w:tc>
        <w:tc>
          <w:tcPr>
            <w:tcW w:type="dxa" w:w="34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Tratamiento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13 warnings de ESLint preexistentes</w:t>
            </w:r>
          </w:p>
        </w:tc>
        <w:tc>
          <w:tcPr>
            <w:tcW w:type="dxa" w:w="3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 bloquearon build ni E2E; concentrados en hooks/BIM viewer.</w:t>
            </w:r>
          </w:p>
        </w:tc>
        <w:tc>
          <w:tcPr>
            <w:tcW w:type="dxa" w:w="3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Reducir progresivamente en una tarea de calidad separada.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Warnings de pytest cache por permisos</w:t>
            </w:r>
          </w:p>
        </w:tc>
        <w:tc>
          <w:tcPr>
            <w:tcW w:type="dxa" w:w="3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No afectan resultados ni estado de pruebas.</w:t>
            </w:r>
          </w:p>
        </w:tc>
        <w:tc>
          <w:tcPr>
            <w:tcW w:type="dxa" w:w="34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Ajustar directorio de cache del runner local/CI.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Provider resolution ~4 s local</w:t>
            </w:r>
          </w:p>
        </w:tc>
        <w:tc>
          <w:tcPr>
            <w:tcW w:type="dxa" w:w="3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Posible latencia visible con mayor volumen.</w:t>
            </w:r>
          </w:p>
        </w:tc>
        <w:tc>
          <w:tcPr>
            <w:tcW w:type="dxa" w:w="3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Instrumentar p95, queries y cache antes de escala productiva.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Equity IRR no computable en fixture</w:t>
            </w:r>
          </w:p>
        </w:tc>
        <w:tc>
          <w:tcPr>
            <w:tcW w:type="dxa" w:w="34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Resultado explícito, no falsificado; MOIC/deuda sí calculados.</w:t>
            </w:r>
          </w:p>
        </w:tc>
        <w:tc>
          <w:tcPr>
            <w:tcW w:type="dxa" w:w="34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Añadir fixture económico con flujo equity de signos opuestos si se requiere probar Equity IRR numérica.</w:t>
            </w:r>
          </w:p>
        </w:tc>
      </w:tr>
      <w:tr>
        <w:trPr>
          <w:cantSplit/>
          <w:trHeight w:hRule="atLeast"/>
        </w:trPr>
        <w:tc>
          <w:tcPr>
            <w:tcW w:type="dxa" w:w="2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Validación de un perfil</w:t>
            </w:r>
          </w:p>
        </w:tc>
        <w:tc>
          <w:tcPr>
            <w:tcW w:type="dxa" w:w="34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Cierre aplica al camino CAPITAL_OWNER / PYP-FFA probado.</w:t>
            </w:r>
          </w:p>
        </w:tc>
        <w:tc>
          <w:tcPr>
            <w:tcW w:type="dxa" w:w="34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Revalidar otros governance models antes de declararlos equivalentes.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9.1 Decisión de cierre</w:t>
      </w:r>
    </w:p>
    <w:p>
      <w:r>
        <w:t>No se identificó un gap estratégico bloqueante para el camino validado. El macroproceso estratégico queda funcionalmente cerrado para CAPITAL_OWNER / PYP-FFA, sujeto a los límites indicados. Esta conclusión no autoriza ejecución operacional ni activa automáticamente ningún Project.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Release: </w:t>
      </w:r>
      <w:r>
        <w:rPr>
          <w:rFonts w:ascii="Aptos" w:hAnsi="Aptos" w:eastAsia="Aptos"/>
          <w:b/>
          <w:i w:val="0"/>
          <w:color w:val="1B5E20"/>
          <w:sz w:val="21"/>
        </w:rPr>
        <w:t>GATE07M_FID_E2E_RELEASE_VALIDATED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Final output: </w:t>
      </w:r>
      <w:r>
        <w:rPr>
          <w:rFonts w:ascii="Aptos" w:hAnsi="Aptos" w:eastAsia="Aptos"/>
          <w:b/>
          <w:i w:val="0"/>
          <w:color w:val="1B5E20"/>
          <w:sz w:val="21"/>
        </w:rPr>
        <w:t>NEW_PYP_FFA_FID_PATH_FULL_STACK_VALIDATED</w:t>
      </w:r>
    </w:p>
    <w:p>
      <w:pPr>
        <w:spacing w:after="60"/>
      </w:pPr>
      <w:r>
        <w:rPr>
          <w:rFonts w:ascii="Aptos" w:hAnsi="Aptos" w:eastAsia="Aptos"/>
          <w:b/>
          <w:i w:val="0"/>
          <w:color w:val="111827"/>
          <w:sz w:val="21"/>
        </w:rPr>
        <w:t xml:space="preserve">NEXT: </w:t>
      </w:r>
      <w:r>
        <w:rPr>
          <w:rFonts w:ascii="Aptos" w:hAnsi="Aptos" w:eastAsia="Aptos"/>
          <w:b/>
          <w:i w:val="0"/>
          <w:color w:val="1F4E78"/>
          <w:sz w:val="21"/>
        </w:rPr>
        <w:t>READY_TO_ENTER_OPERATIONAL_MACROPROCESSES_REVIEW</w:t>
      </w:r>
    </w:p>
    <w:p>
      <w:pPr>
        <w:pStyle w:val="Heading2"/>
      </w:pPr>
      <w:r>
        <w:t>9.2 Comandos reproducibles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235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Objetivo</w:t>
            </w:r>
          </w:p>
        </w:tc>
        <w:tc>
          <w:tcPr>
            <w:tcW w:type="dxa" w:w="701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5"/>
              </w:rPr>
              <w:t>Comando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PostgreSQL + regresión</w:t>
            </w:r>
          </w:p>
        </w:tc>
        <w:tc>
          <w:tcPr>
            <w:tcW w:type="dxa" w:w="70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docker compose -f docker-compose.gate07m-fid-e2e.yml --profile validation up --build --abort-on-container-exit --exit-code-from gate07m-fid-test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Servicios browser</w:t>
            </w:r>
          </w:p>
        </w:tc>
        <w:tc>
          <w:tcPr>
            <w:tcW w:type="dxa" w:w="70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docker compose -p gate07m-fid-browser -f docker-compose.gate07m-fid-e2e.yml --profile browser up -d --build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E2E Chromium</w:t>
            </w:r>
          </w:p>
        </w:tc>
        <w:tc>
          <w:tcPr>
            <w:tcW w:type="dxa" w:w="701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cd frontend &amp;&amp; npx playwright test e2e/gate07m-fid-real-stack.spec.ts</w:t>
            </w:r>
          </w:p>
        </w:tc>
      </w:tr>
      <w:tr>
        <w:trPr>
          <w:cantSplit/>
          <w:trHeight w:hRule="atLeast"/>
        </w:trPr>
        <w:tc>
          <w:tcPr>
            <w:tcW w:type="dxa" w:w="235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Limpieza</w:t>
            </w:r>
          </w:p>
        </w:tc>
        <w:tc>
          <w:tcPr>
            <w:tcW w:type="dxa" w:w="701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5"/>
              </w:rPr>
              <w:t>docker compose -p gate07m-fid-browser -f docker-compose.gate07m-fid-e2e.yml --profile browser down -v --remove-orphans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10. Matriz de trazabilidad de entregables</w:t>
      </w:r>
    </w:p>
    <w:p>
      <w:r>
        <w:t>La matriz vincula los 66 entregables solicitados con la sección principal de este informe o con el activo de evidencia verificable. PASS indica cobertura demostrada por el escenario nuevo o por la regresión existente; N/A controlado indica una condición deliberada del fixture, no una omisión funcional.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5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5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Entregable</w:t>
            </w:r>
          </w:p>
        </w:tc>
        <w:tc>
          <w:tcPr>
            <w:tcW w:type="dxa" w:w="26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Evidencia</w:t>
            </w:r>
          </w:p>
        </w:tc>
        <w:tc>
          <w:tcPr>
            <w:tcW w:type="dxa" w:w="12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Estado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Executive summary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ADR / Validation Note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Baseline confirmation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Effective-date/timezone verification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REUSE-only confirmation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Seed architecture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§1 / Validation Note 63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Test Project identity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Budget fixture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Funding fixture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External Investor fixture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Bank Debt fixture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FEL evidence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Risk evidence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Permit applicability/evidence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§3 / JSON PostgreSQL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Business Case lifecycle execution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 lifecycle execution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 outputs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Budget reconciliation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19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Funding reconciliation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Investor metrics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Debt metrics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BC↔FIN hash consistency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Effective policy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BC Class A proof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 Class A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Full effective Class A matrix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Coverage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JSON + services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Gate07J readiness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29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Gate07J freeze/snapshot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Gate07K Decision creation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Authority/SoD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GO/FID proof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Authorization output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Gate07K package hash chain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2"/>
      </w:pPr>
      <w:r>
        <w:t>10.1 Matriz de trazabilidad (continuación)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  <w:cantSplit/>
        </w:trPr>
        <w:tc>
          <w:tcPr>
            <w:tcW w:type="dxa" w:w="5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#</w:t>
            </w:r>
          </w:p>
        </w:tc>
        <w:tc>
          <w:tcPr>
            <w:tcW w:type="dxa" w:w="50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Entregable</w:t>
            </w:r>
          </w:p>
        </w:tc>
        <w:tc>
          <w:tcPr>
            <w:tcW w:type="dxa" w:w="26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Evidencia</w:t>
            </w:r>
          </w:p>
        </w:tc>
        <w:tc>
          <w:tcPr>
            <w:tcW w:type="dxa" w:w="12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4"/>
              </w:rPr>
              <w:t>Estado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Gate07L handoff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No-auto-activation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§4–5 / Gate 07J–07L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 stale negative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BC↔FIN stale-link negative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39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Recovery via new BC revision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Funding-overrun negative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Provider-unavailable negative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Coverage-negative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Historical Preparation compatibility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Historical FID compatibility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Effective-date before/after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Duplicate Decide/idempotency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Snapshot immutability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§6 / regression + hashes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PostgreSQL full-stack proof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49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Browser happy path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Browser negative path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Browser historical path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Source drilldown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Browser console/network report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Performance observations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§7–8 / Playwright + timings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Cleanup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Persistent baseline before/after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57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Project ID14 hash before/after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§8 · Project 14 ausente en DB desechable; baseline persistente no mutado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N/A aislado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58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Policy/provider preservation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59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No-schema-change proof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60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No-domain-change proof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61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Regression summary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§2, §7–8 / diff + cleanup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62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Risks / technical debt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§9 / closeout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63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Final Strategic Gap Analysis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§9 / closeout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64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Recommendation for next step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§9 / closeout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65</w:t>
            </w:r>
          </w:p>
        </w:tc>
        <w:tc>
          <w:tcPr>
            <w:tcW w:type="dxa" w:w="50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Updated technical report</w:t>
            </w:r>
          </w:p>
        </w:tc>
        <w:tc>
          <w:tcPr>
            <w:tcW w:type="dxa" w:w="26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§9 / closeout</w:t>
            </w:r>
          </w:p>
        </w:tc>
        <w:tc>
          <w:tcPr>
            <w:tcW w:type="dxa" w:w="1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  <w:tr>
        <w:trPr>
          <w:cantSplit/>
          <w:trHeight w:hRule="atLeast"/>
        </w:trPr>
        <w:tc>
          <w:tcPr>
            <w:tcW w:type="dxa" w:w="5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66</w:t>
            </w:r>
          </w:p>
        </w:tc>
        <w:tc>
          <w:tcPr>
            <w:tcW w:type="dxa" w:w="50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Final exclusive state</w:t>
            </w:r>
          </w:p>
        </w:tc>
        <w:tc>
          <w:tcPr>
            <w:tcW w:type="dxa" w:w="26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§9 / closeout</w:t>
            </w:r>
          </w:p>
        </w:tc>
        <w:tc>
          <w:tcPr>
            <w:tcW w:type="dxa" w:w="1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4"/>
              </w:rPr>
              <w:t>PASS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spacing w:after="0"/>
      </w:pPr>
      <w:r>
        <w:br w:type="page"/>
      </w:r>
    </w:p>
    <w:p>
      <w:pPr>
        <w:pStyle w:val="Heading1"/>
      </w:pPr>
      <w:r>
        <w:t>11. Inventario de evidencia y notas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10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Artefacto</w:t>
            </w:r>
          </w:p>
        </w:tc>
        <w:tc>
          <w:tcPr>
            <w:tcW w:type="dxa" w:w="4260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Contenido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outputs/technical_reports/gate07m_fid_e2e_postgresql.json</w:t>
            </w:r>
          </w:p>
        </w:tc>
        <w:tc>
          <w:tcPr>
            <w:tcW w:type="dxa" w:w="4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Estados, IDs, hashes, métricas, negativo y recuperación PostgreSQL.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outputs/technical_reports/gate07m_fid_e2e_sqlite.json</w:t>
            </w:r>
          </w:p>
        </w:tc>
        <w:tc>
          <w:tcPr>
            <w:tcW w:type="dxa" w:w="4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Ejecución equivalente en SQLite.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outputs/technical_reports/gate07m_fid_browser_result.json</w:t>
            </w:r>
          </w:p>
        </w:tc>
        <w:tc>
          <w:tcPr>
            <w:tcW w:type="dxa" w:w="4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Resultado Playwright, errores de página/consola/red.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docs/63-validation-gate07m-fid-full-stack.md</w:t>
            </w:r>
          </w:p>
        </w:tc>
        <w:tc>
          <w:tcPr>
            <w:tcW w:type="dxa" w:w="4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Decisiones, guardrails, defectos corregidos y estado final.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backend/tests/test_gate07m_fid_e2e.py</w:t>
            </w:r>
          </w:p>
        </w:tc>
        <w:tc>
          <w:tcPr>
            <w:tcW w:type="dxa" w:w="4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Fixture y assertions de servicio end-to-end.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frontend/e2e/gate07m-fid-real-stack.spec.ts</w:t>
            </w:r>
          </w:p>
        </w:tc>
        <w:tc>
          <w:tcPr>
            <w:tcW w:type="dxa" w:w="426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Flujo UI real con navegación histórica y source drilldown.</w:t>
            </w:r>
          </w:p>
        </w:tc>
      </w:tr>
      <w:tr>
        <w:trPr>
          <w:cantSplit/>
          <w:trHeight w:hRule="atLeast"/>
        </w:trPr>
        <w:tc>
          <w:tcPr>
            <w:tcW w:type="dxa" w:w="510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docker-compose.gate07m-fid-e2e.yml</w:t>
            </w:r>
          </w:p>
        </w:tc>
        <w:tc>
          <w:tcPr>
            <w:tcW w:type="dxa" w:w="4260"/>
            <w:shd w:fill="EAF2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Aptos" w:hAnsi="Aptos" w:eastAsia="Aptos"/>
                <w:b w:val="0"/>
                <w:i w:val="0"/>
                <w:color w:val="111827"/>
                <w:sz w:val="16"/>
              </w:rPr>
              <w:t>Orquestación reproducible, migración, regresión y browser.</w:t>
            </w:r>
          </w:p>
        </w:tc>
      </w:tr>
    </w:tbl>
    <w:p>
      <w:pPr>
        <w:spacing w:before="0" w:after="0" w:line="24" w:lineRule="auto"/>
      </w:pPr>
      <w:r>
        <w:rPr>
          <w:rFonts w:ascii="Aptos" w:hAnsi="Aptos" w:eastAsia="Aptos"/>
          <w:b w:val="0"/>
          <w:i w:val="0"/>
          <w:color w:val="FFFFFF"/>
          <w:sz w:val="2"/>
        </w:rPr>
        <w:t>​</w:t>
      </w:r>
    </w:p>
    <w:p>
      <w:pPr>
        <w:pStyle w:val="Heading2"/>
      </w:pPr>
      <w:r>
        <w:t>11.1 Notas de interpretación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Los hashes de PostgreSQL y SQLite difieren porque sus fixtures desechables tienen identificadores y timestamps propios; la equivalencia se verifica en contratos, transiciones y guardrails.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La salida Gate 07L observada es READY_FOR_PROJECT_WORKSPACE_INITIALIZATION; el siguiente paso estratégico global permanece READY_TO_ENTER_OPERATIONAL_MACROPROCESSES_REVIEW.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La prueba demuestra que FID no equivale a activación: can_activate_project y can_activate permanecen false.</w:t>
      </w:r>
    </w:p>
    <w:p>
      <w:pPr>
        <w:pStyle w:val="ListBullet"/>
        <w:spacing w:after="20"/>
      </w:pPr>
      <w:r>
        <w:rPr>
          <w:rFonts w:ascii="Aptos" w:hAnsi="Aptos" w:eastAsia="Aptos"/>
          <w:b w:val="0"/>
          <w:i w:val="0"/>
          <w:color w:val="111827"/>
          <w:sz w:val="20"/>
        </w:rPr>
        <w:t>La limpieza elimina únicamente el proyecto Docker de validación; no toca los servicios principales ni datos persistentes del repositorio.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037" w:bottom="1037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5F6B76"/>
        <w:sz w:val="16"/>
      </w:rPr>
      <w:t xml:space="preserve">P&amp;Pmis Construction AI  |  </w:t>
    </w:r>
    <w:r>
      <w:rPr>
        <w:rFonts w:ascii="Aptos" w:hAnsi="Aptos" w:eastAsia="Aptos"/>
        <w:b w:val="0"/>
        <w:i w:val="0"/>
        <w:color w:val="5F6B76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 w:eastAsia="Aptos"/>
        <w:b/>
        <w:i w:val="0"/>
        <w:color w:val="5F6B76"/>
        <w:sz w:val="16"/>
      </w:rPr>
      <w:t>INFORME TÉCNICO · GATE 07M-FID-E2E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1182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11827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1182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i w:val="0"/>
      <w:color w:val="11182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 Display" w:hAnsi="Aptos Display" w:eastAsia="Aptos Display"/>
      <w:b/>
      <w:i w:val="0"/>
      <w:iCs/>
      <w:color w:val="11182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07M-FID-E2E — Full-Stack Revalidation</dc:title>
  <dc:subject>Nuevo camino PYP-FFA hasta FID y Gate 07L</dc:subject>
  <dc:creator>P&amp;Pmis Construction AI</dc:creator>
  <cp:keywords>Gate 07M, FID, PYP-FFA, Business Case, FIN, Gate 07J, Gate 07K, Gate 07L</cp:keywords>
  <dc:description>Generado desde evidencia PostgreSQL, SQLite y Playwright verificada el 4 de septiembre de 2026.</dc:description>
  <cp:lastModifiedBy/>
  <cp:revision>1</cp:revision>
  <dcterms:created xsi:type="dcterms:W3CDTF">2026-09-04T12:00:00Z</dcterms:created>
  <dcterms:modified xsi:type="dcterms:W3CDTF">2013-12-23T23:15:00Z</dcterms:modified>
  <cp:category/>
</cp:coreProperties>
</file>