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58368" cy="592905"/>
            <wp:docPr id="1" name="Picture 1" descr="Logotipo de P&amp;Pmis Construction AI" title="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9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/>
          <w:b/>
          <w:i w:val="0"/>
          <w:color w:val="0D8F8B"/>
          <w:sz w:val="20"/>
        </w:rPr>
        <w:t>INFORME TÉCNICO DE IMPLEMENTACIÓN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50"/>
        </w:rPr>
        <w:t>Gate 07M-FIN</w:t>
      </w:r>
    </w:p>
    <w:p>
      <w:pPr>
        <w:spacing w:after="320"/>
      </w:pPr>
      <w:r>
        <w:rPr>
          <w:rFonts w:ascii="Calibri" w:hAnsi="Calibri"/>
          <w:b/>
          <w:i w:val="0"/>
          <w:color w:val="1F4D78"/>
          <w:sz w:val="28"/>
        </w:rPr>
        <w:t>Project Economic &amp; Financial Model &amp; Economic-Financial Readiness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Aplicación: </w:t>
      </w:r>
      <w:r>
        <w:rPr>
          <w:rFonts w:ascii="Calibri" w:hAnsi="Calibri"/>
          <w:i w:val="0"/>
          <w:color w:val="000000"/>
          <w:sz w:val="20"/>
        </w:rPr>
        <w:t>P&amp;Pmis Construction AI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Fecha de corte: </w:t>
      </w:r>
      <w:r>
        <w:rPr>
          <w:rFonts w:ascii="Calibri" w:hAnsi="Calibri"/>
          <w:i w:val="0"/>
          <w:color w:val="000000"/>
          <w:sz w:val="20"/>
        </w:rPr>
        <w:t>2 de septiembre de 2026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Repositorio: </w:t>
      </w:r>
      <w:r>
        <w:rPr>
          <w:rFonts w:ascii="Calibri" w:hAnsi="Calibri"/>
          <w:i w:val="0"/>
          <w:color w:val="000000"/>
          <w:sz w:val="20"/>
        </w:rPr>
        <w:t>pypmis-ia-sas · rama main · baseline b57f951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Migración: </w:t>
      </w:r>
      <w:r>
        <w:rPr>
          <w:rFonts w:ascii="Calibri" w:hAnsi="Calibri"/>
          <w:i w:val="0"/>
          <w:color w:val="000000"/>
          <w:sz w:val="20"/>
        </w:rPr>
        <w:t>20260902_0058 · sucesora reversible de 20260902_0057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Motor: </w:t>
      </w:r>
      <w:r>
        <w:rPr>
          <w:rFonts w:ascii="Calibri" w:hAnsi="Calibri"/>
          <w:i w:val="0"/>
          <w:color w:val="000000"/>
          <w:sz w:val="20"/>
        </w:rPr>
        <w:t>PPMIS-FIN-1.0 · Decimal determinista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Salida: </w:t>
      </w:r>
      <w:r>
        <w:rPr>
          <w:rFonts w:ascii="Calibri" w:hAnsi="Calibri"/>
          <w:i w:val="0"/>
          <w:color w:val="000000"/>
          <w:sz w:val="20"/>
        </w:rPr>
        <w:t>READY_FOR_GOVERNED_ECONOMIC_FINANCIAL_EVIDENCE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Estado exclusivo: </w:t>
      </w:r>
      <w:r>
        <w:rPr>
          <w:rFonts w:ascii="Calibri" w:hAnsi="Calibri"/>
          <w:i w:val="0"/>
          <w:color w:val="000000"/>
          <w:sz w:val="20"/>
        </w:rPr>
        <w:t>GATE07M_FIN_RELEASE_VALIDATED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NEXT: </w:t>
      </w:r>
      <w:r>
        <w:rPr>
          <w:rFonts w:ascii="Calibri" w:hAnsi="Calibri"/>
          <w:i w:val="0"/>
          <w:color w:val="000000"/>
          <w:sz w:val="20"/>
        </w:rPr>
        <w:t>UPDATE_GATE07J_EVID_FOR_BUSINESS_CASE_AND_ECONOMIC_FINANCIAL_READINESS</w:t>
      </w:r>
    </w:p>
    <w:p>
      <w:pPr>
        <w:spacing w:before="200"/>
        <w:pBdr>
          <w:bottom w:val="single" w:sz="14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RESULTADO EJECUTIVO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Se implementó un modelo económico-financiero gobernado por Project, con versiones inmutables, Economic Case y Financial Case separados, conciliación explícita con Budget y Funding, estructura de capital, inversores, deuda, cash flow, indicadores, escenarios, sensibilidad, readiness y un proveedor de evidencia disponible. El release no ejecuta tesorería, contabilidad, pagos ni FID.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300"/>
        <w:gridCol w:w="58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  <w:tc>
          <w:tcPr>
            <w:tcW w:type="dxa" w:w="5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Dominio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12 tablas tenant-scoped; 1 modelo/Project; N versiones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Cálculo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NPV, IRR, payback, BCR, WACC, DSCR, LLCR y MOIC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Gobierno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ETag, idempotencia, SoD, hashes, staleness y SecurityEvent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Interfaz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23 vistas USER; 45 secciones ADMIN; CompactModuleHeader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Validación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PostgreSQL up/down/up, 6 pruebas focales y Playwright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Contenido y criterio de cierre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5600"/>
        <w:gridCol w:w="2660"/>
      </w:tblGrid>
      <w:tr>
        <w:trPr>
          <w:tblHeader w:val="true"/>
          <w:cantSplit/>
        </w:trPr>
        <w:tc>
          <w:tcPr>
            <w:tcW w:type="dxa" w:w="1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Capítulo</w:t>
            </w:r>
          </w:p>
        </w:tc>
        <w:tc>
          <w:tcPr>
            <w:tcW w:type="dxa" w:w="5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Contenido</w:t>
            </w:r>
          </w:p>
        </w:tc>
        <w:tc>
          <w:tcPr>
            <w:tcW w:type="dxa" w:w="2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Entregables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Baseline, alcance y ownership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1–9, 73–75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Agregado, lifecycle y lineage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6–13, 46–49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Motor económico-financiero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14–43, 47–48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Readiness, provider y Business Case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44–51, 70–71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Seguridad, API, persistencia y UI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52–58, 72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Validación técnica y regresión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59–76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Riesgos, Gap Analysis y siguiente paso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77–81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Matriz integral de trazabilidad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1–81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CRITERIO DE EVIDENCIA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 cierre combina inspección del código, pruebas de fórmulas, lifecycle real en PostgreSQL, validación reversible del DDL y E2E de navegador. Preview ADMIN conserva persisted=false; el registro del proveedor no altera automáticamente una policy publicada.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1. Baseline, alcance y arquitectura</w:t>
      </w:r>
    </w:p>
    <w:p>
      <w:r>
        <w:t>Gate 07M-FIN sucede a Gate 07M-BC y consume evidencia gobernada por referencia. La decisión arquitectónica evita duplicar Project, Budget, Funding, Risk, Permit o Investment Decision: el nuevo agregado es únicamente autoridad de supuestos, cálculo económico-financiero y readiness del modelo.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Autoridad</w:t>
            </w:r>
          </w:p>
        </w:tc>
        <w:tc>
          <w:tcPr>
            <w:tcW w:type="dxa" w:w="3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Consumida por FIN</w:t>
            </w:r>
          </w:p>
        </w:tc>
        <w:tc>
          <w:tcPr>
            <w:tcW w:type="dxa" w:w="3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FIN no puede hacer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 07M-BC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Revision COMPLETED+READY, id y hash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Reescribir narrativa o histórico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 07G Budget</w:t>
            </w:r>
          </w:p>
        </w:tc>
        <w:tc>
          <w:tcPr>
            <w:tcW w:type="dxa" w:w="3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Escenario FROZEN y CAPEX de Project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Aprobar capacidad o rebalancear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 07J-FUND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Snapshot READY y FundingAssignment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Crear, confirmar o mover fondos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 07J-EVID</w:t>
            </w:r>
          </w:p>
        </w:tc>
        <w:tc>
          <w:tcPr>
            <w:tcW w:type="dxa" w:w="3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Registry y contrato genérico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Mutar policy publicada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 07K/FID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Futuro consumidor de evidencia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Decidir GO/NO-GO o emitir FID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Treasury/Accounting</w:t>
            </w:r>
          </w:p>
        </w:tc>
        <w:tc>
          <w:tcPr>
            <w:tcW w:type="dxa" w:w="3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Fuera de alcance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Pagos, bancos, asientos o cierre</w:t>
            </w:r>
          </w:p>
        </w:tc>
      </w:tr>
    </w:tbl>
    <w:p>
      <w:pPr>
        <w:spacing w:after="0"/>
      </w:pPr>
    </w:p>
    <w:p>
      <w:pPr>
        <w:pStyle w:val="Heading2"/>
      </w:pPr>
      <w:r>
        <w:t>1.1 REUSE BEFORE CREATE</w:t>
      </w:r>
    </w:p>
    <w:p>
      <w:r>
        <w:t>Se reutilizan EnterpriseWorkspace, AdminConfiguration, AdminNumberSequence, SecurityEvent, BusinessCase, PortfolioBudgetScenario/Project, Fund, FundingAssignment, FundingReadinessSnapshot, el contexto RBAC y la navegación USER/ADMIN. La creación se limita al agregado FIN y sus inputs/outputs persistidos.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FRONTERA EXPLÍCITA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se implementan live market data, Monte Carlo, optimización automática, tesorería, contabilidad, procurement, contratos, commitments, pagos, auto-funding, auto-FID ni auto-NTP.</w:t>
            </w:r>
          </w:p>
        </w:tc>
      </w:tr>
    </w:tbl>
    <w:p>
      <w:pPr>
        <w:spacing w:after="0"/>
      </w:pPr>
    </w:p>
    <w:p>
      <w:pPr>
        <w:pStyle w:val="Heading1"/>
      </w:pPr>
      <w:r>
        <w:t>2. Agregado, lifecycle y trazabilidad de fuentes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900"/>
        <w:gridCol w:w="29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Entidad</w:t>
            </w:r>
          </w:p>
        </w:tc>
        <w:tc>
          <w:tcPr>
            <w:tcW w:type="dxa" w:w="3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Cardinalidad / lifecycle</w:t>
            </w:r>
          </w:p>
        </w:tc>
        <w:tc>
          <w:tcPr>
            <w:tcW w:type="dxa" w:w="2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EconomicFinancialModel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 por Project; DRAFT/ACTIVE/ON_HOLD/CLOSED/ARCHIVED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EFM-000001 y unique tenant/project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ModelVersion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N; DRAFT→IN_REVIEW→COMPLETED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COMPLETED/SUPERSEDED/VOIDED inmutables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Assumption / Period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 por versión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Clave/período único y fechas válidas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Instrument / Investor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 por versión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Commitment, assignment, ownership y SoD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Scenario / Override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N; un BASE oficial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Índice parcial único e idempotencia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CashFlow / Debt / Metric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Outputs por escenario/período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Trace hash + engine version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Sensitivity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Resultados append-only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Input hash y resultado explícito</w:t>
            </w:r>
          </w:p>
        </w:tc>
      </w:tr>
    </w:tbl>
    <w:p>
      <w:pPr>
        <w:spacing w:after="0"/>
      </w:pPr>
    </w:p>
    <w:p>
      <w:pPr>
        <w:pStyle w:val="Heading2"/>
      </w:pPr>
      <w:r>
        <w:t>2.1 Tipos, propósito y fuente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Eje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Valores / comportamiento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Model Type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COMMERCIAL_PROJECT, NON_REVENUE_PROJECT, PUBLIC_ECONOMIC_APPRAISAL, MIXED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Version Purpose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Initial feasibility, FEL updates, investment selection, FFA, financing, material change, revalidation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Horizonte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MONTHLY, QUARTERLY o ANNUAL; fechas coherentes dentro del modelo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Lineage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BC hash obligatorio; Budget/Funding opcionales explícitos; source_snapshot_hash SHA-256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Refresh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Preview no persiste; Apply crea sucesor DRAFT; histórico completado no cambia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Staleness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Comparación id/hash/current flag; MODEL_SOURCE_STALE bloquea completion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3. Motor económico-financiero PPMIS-FIN-1.0</w:t>
      </w:r>
    </w:p>
    <w:p>
      <w:r>
        <w:t>El motor utiliza Decimal con precisión 34 y entradas persistidas. Cada resultado conserva formula_version, input references y trace hash. Las patologías no se resuelven con valores fabricados: IRR no computable o no única se reporta como warning/status NOT_COMPUTABLE.</w:t>
      </w:r>
    </w:p>
    <w:p>
      <w:pPr>
        <w:pStyle w:val="Heading2"/>
      </w:pPr>
      <w:r>
        <w:t>3.1 Economic Case y Financial Case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200"/>
        <w:gridCol w:w="29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4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Flujo / indicador</w:t>
            </w:r>
          </w:p>
        </w:tc>
        <w:tc>
          <w:tcPr>
            <w:tcW w:type="dxa" w:w="2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Aplicabilidad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cash flow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Revenue − OPEX − taxes − working capital − CAPEX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Commercial / Mixed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Economic cash flow</w:t>
            </w:r>
          </w:p>
        </w:tc>
        <w:tc>
          <w:tcPr>
            <w:tcW w:type="dxa" w:w="4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Economic benefits + revenue − economic costs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Public / Non-revenue / Mixed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CFADS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Revenue − OPEX − taxes − working capital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Debt service capacity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Cash flow to equity</w:t>
            </w:r>
          </w:p>
        </w:tc>
        <w:tc>
          <w:tcPr>
            <w:tcW w:type="dxa" w:w="4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Distribution − contribution + drawdown − interest − principal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Equity return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Discounting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Project/economic discount rate; WACC reference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NPV, BCR, LLCR</w:t>
            </w:r>
          </w:p>
        </w:tc>
      </w:tr>
    </w:tbl>
    <w:p>
      <w:pPr>
        <w:spacing w:after="0"/>
      </w:pPr>
    </w:p>
    <w:p>
      <w:pPr>
        <w:pStyle w:val="Heading2"/>
      </w:pPr>
      <w:r>
        <w:t>3.2 Moneda, base temporal y supuestos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Regla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FX explícito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Período no-base exige fx_&lt;source&gt;_&lt;base&gt;; no existe conversión silenciosa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Nominal / Real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Basis persistida; inflación nominal ausente advierte y mezcla real/inflación advierte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Horizon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Period start/end dentro de model_start/model_end; range inválido devuelve 422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Precision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Numeric PostgreSQL + Decimal; no float en fórmula de dominio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Reproducibilidad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Engine version, source snapshot, scenario hash, calculation trace y model hash</w:t>
            </w:r>
          </w:p>
        </w:tc>
      </w:tr>
    </w:tbl>
    <w:p>
      <w:pPr>
        <w:spacing w:after="0"/>
      </w:pPr>
    </w:p>
    <w:p>
      <w:pPr>
        <w:pStyle w:val="Heading2"/>
      </w:pPr>
      <w:r>
        <w:t>3.3 CAPEX, OPEX, ingresos y beneficios</w:t>
      </w:r>
    </w:p>
    <w:p>
      <w:r>
        <w:t>Los períodos separan CAPEX, OPEX, revenue, economic benefits, taxes, working-capital change y terminal distributions. El modelo compara la suma CAPEX contra el Project de un Budget Scenario FROZEN y aplica tolerancia configurable; no corrige ni publica Budget.</w:t>
      </w:r>
    </w:p>
    <w:p>
      <w:pPr>
        <w:pStyle w:val="Heading2"/>
      </w:pPr>
      <w:r>
        <w:t>3.4 Capital structure, equity e inversores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Componente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 gobernado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Instrument types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Sponsor/external/JV equity; senior/mezzanine/bank/development/bond/shareholder debt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Funding linkage</w:t>
            </w:r>
          </w:p>
        </w:tc>
        <w:tc>
          <w:tcPr>
            <w:tcW w:type="dxa" w:w="6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FundingAssignment RESERVED/CONFIRMED; Project, moneda, período y compromiso reconciliados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Investor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Commitment ≤ equity instrument; ownership 0–100; capital calls y distributions estructurados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Equity return</w:t>
            </w:r>
          </w:p>
        </w:tc>
        <w:tc>
          <w:tcPr>
            <w:tcW w:type="dxa" w:w="6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Equity IRR y MOIC con estado NOT_COMPUTABLE si el patrón de signos no es válido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Leverage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Debt/Equity y WACC con Ke, Kd y tax rate explícitos</w:t>
            </w:r>
          </w:p>
        </w:tc>
      </w:tr>
    </w:tbl>
    <w:p>
      <w:pPr>
        <w:spacing w:after="0"/>
      </w:pPr>
    </w:p>
    <w:p>
      <w:pPr>
        <w:pStyle w:val="Heading2"/>
      </w:pPr>
      <w:r>
        <w:t>3.5 Deuda, servicio y covenants</w:t>
      </w:r>
    </w:p>
    <w:p>
      <w:r>
        <w:t>Cada instrumento conserva rate basis, spread, fees, grace, tenor, maturity, drawdown/amortization e IDC. El cálculo genera debt schedule por período e instrumento, opening/draw/interest/principal/closing, debt service, DSCR y covenant status. Minimum DSCR incumplido produce COVENANT_BREACH bloqueante.</w:t>
      </w:r>
    </w:p>
    <w:p>
      <w:pPr>
        <w:pStyle w:val="Heading2"/>
      </w:pPr>
      <w:r>
        <w:t>3.6 Métricas, escenarios y sensibilidad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Familia</w:t>
            </w:r>
          </w:p>
        </w:tc>
        <w:tc>
          <w:tcPr>
            <w:tcW w:type="dxa" w:w="7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Economic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Economic NPV, Economic IRR y Benefit-Cost Ratio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Financial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NPV/IRR, simple/discounted payback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Capital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WACC, debt/equity, equity IRR y MOIC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Debt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Minimum/Average DSCR y LLCR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Scenarios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Official BASE más UPSIDE/DOWNSIDE/CUSTOM con overrides y hashes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Sensitivity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Variable shock, target metric, result status e input hash; ejecución reproducible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Break-even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Campo persistente reservado y resultado explícito; sin optimizador o Monte Carlo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4. Readiness, Business Case y provider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Dimensión</w:t>
            </w:r>
          </w:p>
        </w:tc>
        <w:tc>
          <w:tcPr>
            <w:tcW w:type="dxa" w:w="6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Semántica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ECONOMIC_READINESS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Aplicable a public/non-revenue/mixed; required assumptions/metrics y thresholds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FINANCIAL_MODEL_READINESS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Aplicable a commercial/mixed; Project NPV/IRR según policy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FUNDING_RECONCILIATION_READINESS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CAPEX, financing, governed assignment, moneda y período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DEBT / EQUITY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READY, BLOCKED o NOT_APPLICABLE según instrumentos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COVENANT_READINESS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Covenants y ratios de deuda; breach bloquea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SCENARIO_READINESS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Official BASE y escenarios requeridos por policy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OVERALL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READY, BLOCKED o STALE; sólo COMPLETED+READY+current entrega evidencia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CONTRATO DE SALIDA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final_output = READY_FOR_GOVERNED_ECONOMIC_FINANCIAL_EVIDENCE sólo para una versión COMPLETED, READY y current. Warnings no se ocultan; blockers impiden review/completion.</w:t>
            </w:r>
          </w:p>
        </w:tc>
      </w:tr>
    </w:tbl>
    <w:p>
      <w:pPr>
        <w:spacing w:after="0"/>
      </w:pPr>
    </w:p>
    <w:p>
      <w:pPr>
        <w:pStyle w:val="Heading2"/>
      </w:pPr>
      <w:r>
        <w:t>4.1 Integración Business Case</w:t>
      </w:r>
    </w:p>
    <w:p>
      <w:r>
        <w:t>FIN exige una BusinessCaseRevision vigente, COMPLETED y READY. Al completar FIN, sólo una revisión Business Case DRAFT puede recibir id, versión, hash, estado y métricas; una revisión COMPLETED no se modifica. Cuando se crea una revisión nueva, su source bundle resuelve el último FIN COMPLETED+READY+current.</w:t>
      </w:r>
    </w:p>
    <w:p>
      <w:pPr>
        <w:pStyle w:val="Heading2"/>
      </w:pPr>
      <w:r>
        <w:t>4.2 Provider y política futura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provider_key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ECONOMIC_FINANCIAL_READINESS_PROVIDER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source_module</w:t>
            </w:r>
          </w:p>
        </w:tc>
        <w:tc>
          <w:tcPr>
            <w:tcW w:type="dxa" w:w="6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ECONOMIC_FINANCIAL_MODEL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evidence_type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ECONOMIC_FINANCIAL_READINESS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status/scope</w:t>
            </w:r>
          </w:p>
        </w:tc>
        <w:tc>
          <w:tcPr>
            <w:tcW w:type="dxa" w:w="6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AVAILABLE · EACH_PROJECT / SELECTED_PROJECTS_ONLY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contract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readiness, source_current, model_hash, as_of, warnings, blockers, refs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policy</w:t>
            </w:r>
          </w:p>
        </w:tc>
        <w:tc>
          <w:tcPr>
            <w:tcW w:type="dxa" w:w="6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Gate07J-EVID publicada queda sin mutación automática</w:t>
            </w:r>
          </w:p>
        </w:tc>
      </w:tr>
    </w:tbl>
    <w:p>
      <w:pPr>
        <w:spacing w:after="0"/>
      </w:pPr>
    </w:p>
    <w:p>
      <w:pPr>
        <w:pStyle w:val="Heading1"/>
      </w:pPr>
      <w:r>
        <w:t>5. Seguridad, API, persistencia y superficies</w:t>
      </w:r>
    </w:p>
    <w:p>
      <w:pPr>
        <w:pStyle w:val="Heading2"/>
      </w:pPr>
      <w:r>
        <w:t>5.1 Roles, SoD e idempotencia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Roles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owner, preparer, reviewer, finance reviewer, viewer, configuration admin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Permisos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13 economic_financial_model.* para read/create/edit/calculate/review/version/refresh/scenario/sensitivity/admin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SoD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preparer != final reviewer por policy; reviewer explícito en completion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ETag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revision_version + If-Match; stale devuelve 412 ETAG_MISMATCH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Idempotencia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Create model/version/instrument/investor/scenario, calculate, complete y refresh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Auditoría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SecurityEvent en lifecycle, calculation, funding link, sensitivity, staleness y publish</w:t>
            </w:r>
          </w:p>
        </w:tc>
      </w:tr>
    </w:tbl>
    <w:p>
      <w:pPr>
        <w:spacing w:after="0"/>
      </w:pPr>
    </w:p>
    <w:p>
      <w:pPr>
        <w:pStyle w:val="Heading2"/>
      </w:pPr>
      <w:r>
        <w:t>5.2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Grupo</w:t>
            </w:r>
          </w:p>
        </w:tc>
        <w:tc>
          <w:tcPr>
            <w:tcW w:type="dxa" w:w="7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Operaciones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Model / versions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list, create, get, by-project, list/create version, update, calculate, submit, complete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Inputs</w:t>
            </w:r>
          </w:p>
        </w:tc>
        <w:tc>
          <w:tcPr>
            <w:tcW w:type="dxa" w:w="7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assumptions, periods, financing-instruments, investors, scenarios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Analysis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cash-flows, metrics, sensitivities/run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Readiness</w:t>
            </w:r>
          </w:p>
        </w:tc>
        <w:tc>
          <w:tcPr>
            <w:tcW w:type="dxa" w:w="7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readiness, refresh preview/apply, investment-gate-evidence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configurations, preview, clone, update y publish</w:t>
            </w:r>
          </w:p>
        </w:tc>
      </w:tr>
    </w:tbl>
    <w:p>
      <w:pPr>
        <w:spacing w:after="0"/>
      </w:pPr>
    </w:p>
    <w:p>
      <w:pPr>
        <w:pStyle w:val="Heading2"/>
      </w:pPr>
      <w:r>
        <w:t>5.3 Persistencia y migración</w:t>
      </w:r>
    </w:p>
    <w:p>
      <w:r>
        <w:t>La revisión 0058 crea 12 tablas, constraints, índices tenant/status/hash/history, uniques de cardinalidad e idempotencia y FK diferida para current_version_id. El downgrade elimina sólo el dominio FIN y restaura 0057. La prueba real confirmó 0057→0058→0057→0058.</w:t>
      </w:r>
    </w:p>
    <w:p>
      <w:pPr>
        <w:pStyle w:val="Heading2"/>
      </w:pPr>
      <w:r>
        <w:t>5.4 USER MODE y ADMIN MODE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Superficie</w:t>
            </w:r>
          </w:p>
        </w:tc>
        <w:tc>
          <w:tcPr>
            <w:tcW w:type="dxa" w:w="6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USER · 23 vistas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My Models, Overview, version, assumptions, cases, CAPEX/OPEX, revenue/benefits, capital, funding, investors, debt, cash flow, indicators, covenants, scenarios, sensitivities, readiness, lineage, compare e history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Tablas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Capital Structure, Investors, Debt, Cash Flow y métricas con overflow controlado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Acciones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Create, Calculate, Submit y Complete condicionadas por lifecycle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ADMIN · 45 secciones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Aplicabilidad, fórmulas, supuestos, financing, métricas, readiness, thresholds, freshness, SoD, inheritance, permissions, preview e history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Preview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Project + Business Case + config; effective requirements; persisted=false</w:t>
            </w:r>
          </w:p>
        </w:tc>
      </w:tr>
    </w:tbl>
    <w:p>
      <w:pPr>
        <w:spacing w:after="0"/>
      </w:pPr>
    </w:p>
    <w:p>
      <w:pPr>
        <w:pStyle w:val="Heading1"/>
      </w:pPr>
      <w:r>
        <w:t>6. Verificación técnica, release y regresión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400"/>
        <w:gridCol w:w="5560"/>
      </w:tblGrid>
      <w:tr>
        <w:trPr>
          <w:tblHeader w:val="true"/>
          <w:cantSplit/>
        </w:trPr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1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5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Ruff / Python compile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Módulo, router, migración, provider, RBAC y pruebas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Fórmulas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NPV/IRR/WACC/payback/BCR/DSCR/LLCR/MOIC + patologías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Lifecycle comercial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BC READY → model → inputs → calculate → review → complete → provider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PostgreSQL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12 tablas; constraints/indexes; current-version 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Alembic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0058 único head; upgrade/downgrade/upgrade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Frontend estático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Prettier, TypeScript y ESLint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Playwright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USER/ADMIN 07M-FIN y handoff 07M-BC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Runtime local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API/frontend reconstruidos; PostgreSQL en 20260902_0058</w:t>
            </w:r>
          </w:p>
        </w:tc>
      </w:tr>
    </w:tbl>
    <w:p>
      <w:pPr>
        <w:spacing w:after="0"/>
      </w:pPr>
    </w:p>
    <w:p>
      <w:pPr>
        <w:spacing w:before="80" w:after="100"/>
      </w:pPr>
      <w:r>
        <w:rPr>
          <w:rFonts w:ascii="Calibri" w:hAnsi="Calibri"/>
          <w:i/>
          <w:color w:val="5F6B76"/>
          <w:sz w:val="16"/>
        </w:rPr>
        <w:t>Evidencia observada: 6 pruebas focales PASS; PostgreSQL up/down/up PASS; 2 browser flows PASS; TypeScript, ESLint, Prettier y Ruff PASS.</w:t>
      </w:r>
    </w:p>
    <w:p>
      <w:pPr>
        <w:pStyle w:val="Heading2"/>
      </w:pPr>
      <w:r>
        <w:t>6.1 Casos negativos y controles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Caso</w:t>
            </w:r>
          </w:p>
        </w:tc>
        <w:tc>
          <w:tcPr>
            <w:tcW w:type="dxa" w:w="6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Respuesta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IRR sin cambio de signo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IRR_NOT_COMPUTABLE; no valor falso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IRR con múltiples raíces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IRR_NOT_UNIQUE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FX faltante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FX_RATE_REQUIRED:&lt;pair&gt; bloqueante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Financing &gt; assignment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FINANCING_MODEL_EXCEEDS_GOVERNED_FUNDING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Moneda/período Funding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FUNDING_CURRENCY_MISMATCH / FUNDING_PERIOD_MISMATCH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CAPEX fuera de tolerancia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CAPEX_BUDGET_RECONCILIATION_OUT_OF_TOLERANCE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Covenant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COVENANT_BREACH y SecurityEvent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Fuente modificada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MODEL_SOURCE_STALE; refresh crea sucesor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ETag stale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HTTP 412 ETAG_MISMATCH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7. Gap Analysis, riesgos y siguiente paso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000"/>
        <w:gridCol w:w="336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Riesgo / deuda residual</w:t>
            </w:r>
          </w:p>
        </w:tc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Impacto</w:t>
            </w:r>
          </w:p>
        </w:tc>
        <w:tc>
          <w:tcPr>
            <w:tcW w:type="dxa" w:w="3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Tratamiento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Break-even básico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Campo/contrato disponible; sin solver avanzado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Agregar método determinista versionado en release futuro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Curvas debt avanzadas</w:t>
            </w:r>
          </w:p>
        </w:tc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Schedule usa inputs periódicos; no day-count complejo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Convenciones financieras por tipo de instrumento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Benchmark 10k Projects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Índices definidos; p95 no contractual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Dataset y umbral de performance dedicado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Browser data journey</w:t>
            </w:r>
          </w:p>
        </w:tc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E2E de UI usa API mocks controlados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Fixture full-stack efímero por Project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Policy Gate07J-EVID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Provider disponible pero aún no requerido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Ejecutar análisis y publish controlado futuro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Mercado/FX</w:t>
            </w:r>
          </w:p>
        </w:tc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hay feed live por diseño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Integración gobernada posterior con snapshot/hashes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STOP BOUNDARY RESPETADA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 cierre no inicia Treasury, Accounting, Procurement, Contracting, Commitments, Payments, Execution, Monte Carlo, automatic optimization, auto-funding, auto-FID ni cambios de policy publicada.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CIERRE EXCLUSIVO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GATE07M_FIN_RELEASE_VALIDATED. final_output = READY_FOR_GOVERNED_ECONOMIC_FINANCIAL_EVIDENCE. NEXT = UPDATE_GATE07J_EVID_FOR_BUSINESS_CASE_AND_ECONOMIC_FINANCIAL_READINESS.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8. Matriz integral de trazabilidad 1–81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5200"/>
        <w:gridCol w:w="1900"/>
        <w:gridCol w:w="1700"/>
      </w:tblGrid>
      <w:tr>
        <w:trPr>
          <w:tblHeader w:val="true"/>
          <w:cantSplit/>
        </w:trPr>
        <w:tc>
          <w:tcPr>
            <w:tcW w:type="dxa" w:w="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5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Entregable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Executive summary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§1–2 / ADR 61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ADR Gate07M-FIN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§1–2 / ADR 61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Baseline assessment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§1–2 / ADR 61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REUSE BEFORE CREATE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§1–2 / ADR 61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Domain ownership decision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§1–2 / ADR 61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Model/version lifecycle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§1–2 / ADR 61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Model types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§1–2 / ADR 61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Economic vs Financial Case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§1–2 / ADR 61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Public/non-revenue support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§1–2 / ADR 61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Currency / FX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§1–2 / ADR 61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Nominal vs real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§1–2 / ADR 61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Time basis/horizon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§1–2 / ADR 61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Assumption Set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§1–2 / ADR 61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CAPEX integration/reconciliation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OPEX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Revenue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Economic Benefits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Taxes / depreciation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Working Capital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Terminal Value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Project Cash Flow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CFADS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Capital Structure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Funding linkage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Financing Instrument model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Funding reconciliation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Investor model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Capital Calls / Distributions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Equity IRR / MOIC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Debt model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Drawdowns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Interest / IDC / Fees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Grace / amortization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Debt Service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DSCR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LLCR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Covenants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WACC / Ke / Kd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NPV / IRR / Payback / BCR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Leverage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Scenarios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Sensitivity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Break-even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engine+service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Readiness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 / BC+provider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Threshold policy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 / BC+provider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Staleness / Refresh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 / BC+provider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Calculation determinism / engine version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 / BC+provider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Precision / audit trace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 / BC+provider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Business Case integration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 / BC+provider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Provider contract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 / BC+provider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Gate07J-EVID update recommendation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 / BC+provider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ADMIN / USER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§5 / API+DDL+RBAC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Roles / permissions / SoD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§5 / API+DDL+RBAC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APIs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§5 / API+DDL+RBAC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Persistence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§5 / API+DDL+RBAC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Migration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§5 / API+DDL+RBAC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Constraints/indexes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§5 / API+DDL+RBAC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Concurrency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§5 / API+DDL+RBAC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Formula tests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tests+E2E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Commercial Project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tests+E2E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External Investor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tests+E2E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Bank Loan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tests+E2E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Funding overrun/timing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tests+E2E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Public Project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tests+E2E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Multi-currency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tests+E2E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Real/Nominal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tests+E2E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IRR pathology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tests+E2E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Covenant/scenario/sensitivity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tests+E2E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Immutability/staleness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tests+E2E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Business Case integration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tests+E2E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Provider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tests+E2E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Frontend / Browser USER / ADMIN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tests+E2E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Performance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 / CI+report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No-scope-creep safeguards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 / CI+report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Regression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 / CI+report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Baseline before/after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 / CI+report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Risks / technical debt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 / CI+report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Final Gap Analysis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 / CI+report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Recommendation for next step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 / CI+report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80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Updated technical report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 / CI+report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81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Final exclusive state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 / CI+report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Calibri" w:hAnsi="Calibri"/>
        <w:b/>
        <w:i w:val="0"/>
        <w:color w:val="5F6B76"/>
        <w:sz w:val="17"/>
      </w:rPr>
      <w:t>TECHNICAL REPORT · GATE 07M-FIN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07M-FIN — Economic &amp; Financial Model</dc:title>
  <dc:subject>Governed Project economics, financing, readiness and evidence provider</dc:subject>
  <dc:creator>P&amp;Pmis Construction AI</dc:creator>
  <cp:keywords>Gate 07M-FIN, NPV, IRR, WACC, DSCR, LLCR, Funding, Business Case</cp:keywords>
  <dc:description>Generated from verified repository, PostgreSQL and browser evidence on 2026-09-02.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