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3232" cy="642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64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pStyle w:val="Title"/>
      </w:pPr>
      <w:r>
        <w:t>Informe técnico</w:t>
      </w:r>
    </w:p>
    <w:p>
      <w:pPr>
        <w:spacing w:after="400"/>
      </w:pPr>
      <w:r>
        <w:rPr>
          <w:rFonts w:ascii="Aptos" w:hAnsi="Aptos" w:eastAsia="Aptos"/>
          <w:b/>
          <w:color w:val="087F80"/>
          <w:sz w:val="38"/>
        </w:rPr>
        <w:t>Gate 07A-BA · Business Analysis &amp; Options Governance</w:t>
      </w:r>
    </w:p>
    <w:p>
      <w:pPr>
        <w:spacing w:after="100" w:line="254" w:lineRule="auto"/>
      </w:pPr>
      <w:r>
        <w:rPr>
          <w:rFonts w:ascii="Aptos" w:hAnsi="Aptos" w:eastAsia="Aptos"/>
          <w:b/>
          <w:color w:val="17242C"/>
          <w:sz w:val="20"/>
        </w:rPr>
        <w:t>Producto:</w:t>
      </w:r>
      <w:r>
        <w:rPr>
          <w:rFonts w:ascii="Aptos" w:hAnsi="Aptos" w:eastAsia="Aptos"/>
          <w:b w:val="0"/>
          <w:color w:val="17242C"/>
          <w:sz w:val="20"/>
        </w:rPr>
        <w:t xml:space="preserve"> P&amp;Pmis Construction AI</w:t>
      </w:r>
    </w:p>
    <w:p>
      <w:pPr>
        <w:spacing w:after="100" w:line="254" w:lineRule="auto"/>
      </w:pPr>
      <w:r>
        <w:rPr>
          <w:rFonts w:ascii="Aptos" w:hAnsi="Aptos" w:eastAsia="Aptos"/>
          <w:b/>
          <w:color w:val="17242C"/>
          <w:sz w:val="20"/>
        </w:rPr>
        <w:t>Repositorio:</w:t>
      </w:r>
      <w:r>
        <w:rPr>
          <w:rFonts w:ascii="Aptos" w:hAnsi="Aptos" w:eastAsia="Aptos"/>
          <w:b w:val="0"/>
          <w:color w:val="17242C"/>
          <w:sz w:val="20"/>
        </w:rPr>
        <w:t xml:space="preserve"> pypmis-ia-sas</w:t>
      </w:r>
    </w:p>
    <w:p>
      <w:pPr>
        <w:spacing w:after="100" w:line="254" w:lineRule="auto"/>
      </w:pPr>
      <w:r>
        <w:rPr>
          <w:rFonts w:ascii="Aptos" w:hAnsi="Aptos" w:eastAsia="Aptos"/>
          <w:b/>
          <w:color w:val="17242C"/>
          <w:sz w:val="20"/>
        </w:rPr>
        <w:t>Rama de trabajo:</w:t>
      </w:r>
      <w:r>
        <w:rPr>
          <w:rFonts w:ascii="Aptos" w:hAnsi="Aptos" w:eastAsia="Aptos"/>
          <w:b w:val="0"/>
          <w:color w:val="17242C"/>
          <w:sz w:val="20"/>
        </w:rPr>
        <w:t xml:space="preserve"> main (cambios locales no confirmados)</w:t>
      </w:r>
    </w:p>
    <w:p>
      <w:pPr>
        <w:spacing w:after="100" w:line="254" w:lineRule="auto"/>
      </w:pPr>
      <w:r>
        <w:rPr>
          <w:rFonts w:ascii="Aptos" w:hAnsi="Aptos" w:eastAsia="Aptos"/>
          <w:b/>
          <w:color w:val="17242C"/>
          <w:sz w:val="20"/>
        </w:rPr>
        <w:t>Línea base:</w:t>
      </w:r>
      <w:r>
        <w:rPr>
          <w:rFonts w:ascii="Aptos" w:hAnsi="Aptos" w:eastAsia="Aptos"/>
          <w:b w:val="0"/>
          <w:color w:val="17242C"/>
          <w:sz w:val="20"/>
        </w:rPr>
        <w:t xml:space="preserve"> 9cb0969</w:t>
      </w:r>
    </w:p>
    <w:p>
      <w:pPr>
        <w:spacing w:after="100" w:line="254" w:lineRule="auto"/>
      </w:pPr>
      <w:r>
        <w:rPr>
          <w:rFonts w:ascii="Aptos" w:hAnsi="Aptos" w:eastAsia="Aptos"/>
          <w:b/>
          <w:color w:val="17242C"/>
          <w:sz w:val="20"/>
        </w:rPr>
        <w:t>Fecha:</w:t>
      </w:r>
      <w:r>
        <w:rPr>
          <w:rFonts w:ascii="Aptos" w:hAnsi="Aptos" w:eastAsia="Aptos"/>
          <w:b w:val="0"/>
          <w:color w:val="17242C"/>
          <w:sz w:val="20"/>
        </w:rPr>
        <w:t xml:space="preserve"> 10/09/2026</w:t>
      </w:r>
    </w:p>
    <w:p>
      <w:pPr>
        <w:spacing w:after="400"/>
      </w:pPr>
    </w:p>
    <w:p>
      <w:pPr>
        <w:spacing w:line="278" w:lineRule="auto"/>
      </w:pPr>
      <w:r>
        <w:rPr>
          <w:rFonts w:ascii="Aptos" w:hAnsi="Aptos" w:eastAsia="Aptos"/>
          <w:b w:val="0"/>
          <w:color w:val="17242C"/>
          <w:sz w:val="24"/>
        </w:rPr>
        <w:t>Se implementó un expediente gobernado de Business Analysis entre Idea Lifecycle y Project Proposal, con alternativas comparables, recomendación trazable, readiness determinístico, segregación de funciones y configuración versionada por ámbito empresarial.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Resumen ejecutivo y alcance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Arquitectura e integración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Modelo funcional y lifecycle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Persistencia, configuración y migración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API, seguridad y concurrencia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Experiencia USER MODE y ADMIN MODE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Compatibilidad y no duplicación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Validación y evidencia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Inventario de cambios</w:t>
      </w:r>
    </w:p>
    <w:p>
      <w:pPr>
        <w:pStyle w:val="ListNumber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Riesgos, límites y cierre</w:t>
      </w:r>
    </w:p>
    <w:p>
      <w:pPr>
        <w:pStyle w:val="Heading1"/>
        <w:keepNext/>
      </w:pPr>
      <w:r>
        <w:t>1. Resumen ejecutivo y alcance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Gate 07A-BA transforma una Idea aceptada en un análisis de negocio completo antes de habilitar Project Proposal. La implementación es aditiva: consume la Idea, su evaluación aceptada, objetivos estratégicos, workspace y configuración efectiva; no reemplaza ninguna capacidad estratégica existente.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USER MODE administra expedientes vivos, colas, análisis de opciones, recomendación, readiness e historial.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ADMIN MODE administra solamente política reutilizable, catálogos, matrices, mapping, numeración, herencia y SoD.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CAPITAL_OWNER exige BA por defecto; modelos alternos y datos legacy preservan compatibilidad.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Project Proposal sólo se habilita para un BA COMPLETED, vigente y sin blockers.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Los registros completos son inmutables; los cambios materiales crean una revisión vinculada.</w:t>
      </w:r>
    </w:p>
    <w:p>
      <w:pPr>
        <w:pStyle w:val="Heading2"/>
        <w:keepNext/>
      </w:pPr>
      <w:r>
        <w:t>Resultado de negocio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La recomendación deja de ser texto implícito dentro de la propuesta: queda sustentada por necesidad, drivers, stakeholders, estado actual, valor, requisitos y una matriz de opciones con trazabilidad de fuente y configuración.</w:t>
      </w:r>
    </w:p>
    <w:p>
      <w:pPr>
        <w:pStyle w:val="Heading2"/>
        <w:keepNext/>
      </w:pPr>
      <w:r>
        <w:t>Fuera de alcance respetado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No se implementaron Five Case Business Case, modelo financiero completo, selección de portafolio, FID, activación del Project Workspace, ejecución de beneficios ni automatización por agentes.</w:t>
      </w:r>
    </w:p>
    <w:p>
      <w:r>
        <w:br w:type="page"/>
      </w:r>
    </w:p>
    <w:p>
      <w:pPr>
        <w:pStyle w:val="Heading1"/>
        <w:keepNext/>
      </w:pPr>
      <w:r>
        <w:t>2. Arquitectura e integración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96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Implementación</w:t>
            </w:r>
          </w:p>
        </w:tc>
        <w:tc>
          <w:tcPr>
            <w:tcW w:type="dxa" w:w="4176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Reutilización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Dominio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BusinessAnalysis + snapshots append-only</w:t>
            </w:r>
          </w:p>
        </w:tc>
        <w:tc>
          <w:tcPr>
            <w:tcW w:type="dxa" w:w="417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Idea, IdeaEvaluation, Strategic Objective, EnterpriseWorkspace</w:t>
            </w:r>
          </w:p>
        </w:tc>
      </w:tr>
      <w:tr>
        <w:trPr>
          <w:cantSplit/>
        </w:trPr>
        <w:tc>
          <w:tcPr>
            <w:tcW w:type="dxa" w:w="151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Aplicación</w:t>
            </w:r>
          </w:p>
        </w:tc>
        <w:tc>
          <w:tcPr>
            <w:tcW w:type="dxa" w:w="39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Servicio de lifecycle, readiness, configuración y mapping</w:t>
            </w:r>
          </w:p>
        </w:tc>
        <w:tc>
          <w:tcPr>
            <w:tcW w:type="dxa" w:w="417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AdminConfiguration, SecurityEvent, permisos empresariales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API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Rutas USER y ADMIN separadas</w:t>
            </w:r>
          </w:p>
        </w:tc>
        <w:tc>
          <w:tcPr>
            <w:tcW w:type="dxa" w:w="417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JWT tenant context, ETag, If-Match</w:t>
            </w:r>
          </w:p>
        </w:tc>
      </w:tr>
      <w:tr>
        <w:trPr>
          <w:cantSplit/>
        </w:trPr>
        <w:tc>
          <w:tcPr>
            <w:tcW w:type="dxa" w:w="151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Frontend</w:t>
            </w:r>
          </w:p>
        </w:tc>
        <w:tc>
          <w:tcPr>
            <w:tcW w:type="dxa" w:w="39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Workspace transaccional y consola de configuración</w:t>
            </w:r>
          </w:p>
        </w:tc>
        <w:tc>
          <w:tcPr>
            <w:tcW w:type="dxa" w:w="417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App shell, navegación estratégica, CompactModuleHeader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Downstream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Linaje BA opcional y mapping en Project Proposal</w:t>
            </w:r>
          </w:p>
        </w:tc>
        <w:tc>
          <w:tcPr>
            <w:tcW w:type="dxa" w:w="417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Lifecycle y snapshot existentes de Proposal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Secuencia gobernada</w:t>
      </w:r>
    </w:p>
    <w:p>
      <w:pPr>
        <w:jc w:val="center"/>
      </w:pPr>
      <w:r>
        <w:rPr>
          <w:rFonts w:ascii="Aptos" w:hAnsi="Aptos" w:eastAsia="Aptos"/>
          <w:b/>
          <w:color w:val="087F80"/>
          <w:sz w:val="21"/>
        </w:rPr>
        <w:t>IDEA ACCEPTED  →  BUSINESS ANALYSIS  →  READY_FOR_PROJECT_PROPOSAL  →  PROJECT PROPOSAL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El hash de la Idea y evaluación aceptada se congela al crear el BA. Al completar se incorpora el hash de configuración y del contenido revisado. Project Proposal conserva las referencias y hashes sin mutar el BA.</w:t>
      </w:r>
    </w:p>
    <w:p>
      <w:pPr>
        <w:pStyle w:val="Heading2"/>
        <w:keepNext/>
      </w:pPr>
      <w:r>
        <w:t>Antes / después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656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992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Proceso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Antes</w:t>
            </w:r>
          </w:p>
        </w:tc>
        <w:tc>
          <w:tcPr>
            <w:tcW w:type="dxa" w:w="799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 ACCEPTED → Project Proposal (recomendación y alternativas implícitas)</w:t>
            </w:r>
          </w:p>
        </w:tc>
      </w:tr>
      <w:tr>
        <w:trPr>
          <w:cantSplit/>
        </w:trPr>
        <w:tc>
          <w:tcPr>
            <w:tcW w:type="dxa" w:w="165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Después</w:t>
            </w:r>
          </w:p>
        </w:tc>
        <w:tc>
          <w:tcPr>
            <w:tcW w:type="dxa" w:w="799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 ACCEPTED → Business Analysis DRAFT/REVIEW/COMPLETED → READY_FOR_PROJECT_PROPOSAL → Project Proposal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Autoridad por bounded context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396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 autoridad de</w:t>
            </w:r>
          </w:p>
        </w:tc>
        <w:tc>
          <w:tcPr>
            <w:tcW w:type="dxa" w:w="3744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No hace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 Lifecycle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Aceptación y evaluación de la Idea</w:t>
            </w:r>
          </w:p>
        </w:tc>
        <w:tc>
          <w:tcPr>
            <w:tcW w:type="dxa" w:w="37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No evalúa alternativas BA</w:t>
            </w:r>
          </w:p>
        </w:tc>
      </w:tr>
      <w:tr>
        <w:trPr>
          <w:cantSplit/>
        </w:trPr>
        <w:tc>
          <w:tcPr>
            <w:tcW w:type="dxa" w:w="19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 Analysis</w:t>
            </w:r>
          </w:p>
        </w:tc>
        <w:tc>
          <w:tcPr>
            <w:tcW w:type="dxa" w:w="39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Problema, alternativas, recomendación y readiness</w:t>
            </w:r>
          </w:p>
        </w:tc>
        <w:tc>
          <w:tcPr>
            <w:tcW w:type="dxa" w:w="37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No decide FID ni activa proyectos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Project Proposal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Propuesta derivada y su evaluación</w:t>
            </w:r>
          </w:p>
        </w:tc>
        <w:tc>
          <w:tcPr>
            <w:tcW w:type="dxa" w:w="37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No reabre ni recalcula el BA</w:t>
            </w:r>
          </w:p>
        </w:tc>
      </w:tr>
      <w:tr>
        <w:trPr>
          <w:cantSplit/>
        </w:trPr>
        <w:tc>
          <w:tcPr>
            <w:tcW w:type="dxa" w:w="19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Administration</w:t>
            </w:r>
          </w:p>
        </w:tc>
        <w:tc>
          <w:tcPr>
            <w:tcW w:type="dxa" w:w="39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Política versionada</w:t>
            </w:r>
          </w:p>
        </w:tc>
        <w:tc>
          <w:tcPr>
            <w:tcW w:type="dxa" w:w="37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No opera expedientes vivos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r>
        <w:br w:type="page"/>
      </w:r>
    </w:p>
    <w:p>
      <w:pPr>
        <w:pStyle w:val="Heading1"/>
        <w:keepNext/>
      </w:pPr>
      <w:r>
        <w:t>3. Modelo funcional y lifecycle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52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388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Salida / control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DRAFT</w:t>
            </w:r>
          </w:p>
        </w:tc>
        <w:tc>
          <w:tcPr>
            <w:tcW w:type="dxa" w:w="35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 ACCEPTED elegible</w:t>
            </w:r>
          </w:p>
        </w:tc>
        <w:tc>
          <w:tcPr>
            <w:tcW w:type="dxa" w:w="38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Edición estructurada; ETag</w:t>
            </w:r>
          </w:p>
        </w:tc>
      </w:tr>
      <w:tr>
        <w:trPr>
          <w:cantSplit/>
        </w:trPr>
        <w:tc>
          <w:tcPr>
            <w:tcW w:type="dxa" w:w="223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SUBMITTED</w:t>
            </w:r>
          </w:p>
        </w:tc>
        <w:tc>
          <w:tcPr>
            <w:tcW w:type="dxa" w:w="352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Readiness de contenido sin blockers</w:t>
            </w:r>
          </w:p>
        </w:tc>
        <w:tc>
          <w:tcPr>
            <w:tcW w:type="dxa" w:w="38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Contenido congelado para revisión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IN_REVIEW</w:t>
            </w:r>
          </w:p>
        </w:tc>
        <w:tc>
          <w:tcPr>
            <w:tcW w:type="dxa" w:w="35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Revisor distinto al autor</w:t>
            </w:r>
          </w:p>
        </w:tc>
        <w:tc>
          <w:tcPr>
            <w:tcW w:type="dxa" w:w="38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Return o Complete</w:t>
            </w:r>
          </w:p>
        </w:tc>
      </w:tr>
      <w:tr>
        <w:trPr>
          <w:cantSplit/>
        </w:trPr>
        <w:tc>
          <w:tcPr>
            <w:tcW w:type="dxa" w:w="223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RETURNED</w:t>
            </w:r>
          </w:p>
        </w:tc>
        <w:tc>
          <w:tcPr>
            <w:tcW w:type="dxa" w:w="352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Observación con motivo</w:t>
            </w:r>
          </w:p>
        </w:tc>
        <w:tc>
          <w:tcPr>
            <w:tcW w:type="dxa" w:w="38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Vuelve a autor; nueva edición controlada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COMPLETED</w:t>
            </w:r>
          </w:p>
        </w:tc>
        <w:tc>
          <w:tcPr>
            <w:tcW w:type="dxa" w:w="35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Revisión independiente y fuente vigente</w:t>
            </w:r>
          </w:p>
        </w:tc>
        <w:tc>
          <w:tcPr>
            <w:tcW w:type="dxa" w:w="38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Inmutable; output READY_FOR_PROJECT_PROPOSAL</w:t>
            </w:r>
          </w:p>
        </w:tc>
      </w:tr>
      <w:tr>
        <w:trPr>
          <w:cantSplit/>
        </w:trPr>
        <w:tc>
          <w:tcPr>
            <w:tcW w:type="dxa" w:w="223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SUPERSEDED / VOIDED</w:t>
            </w:r>
          </w:p>
        </w:tc>
        <w:tc>
          <w:tcPr>
            <w:tcW w:type="dxa" w:w="352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Gobierno excepcional</w:t>
            </w:r>
          </w:p>
        </w:tc>
        <w:tc>
          <w:tcPr>
            <w:tcW w:type="dxa" w:w="38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Retención histórica; fuera de colas activas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Contenido estructurado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Need / opportunity: statement, background, contexto, urgencia y consecuencia de no actuar.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Drivers y Strategic Alignment referencian catálogos y objetivos existentes.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Stakeholders, current state, outcomes y value dimensions soportan el caso preliminar.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Assumptions, constraints y business requirements registran los límites del análisis.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Cada opción incluye tipo, descripción, alcance, beneficios, costo/tiempo preliminar, riesgos, dependencias, factibilidad, encaje estratégico y ratings.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La recomendación conserva opción, rationale, trade-offs, condiciones y preocupaciones pendientes.</w:t>
      </w:r>
    </w:p>
    <w:p>
      <w:pPr>
        <w:pStyle w:val="Heading2"/>
        <w:keepNext/>
      </w:pPr>
      <w:r>
        <w:t>Readiness determinístico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Los blockers se calculan en backend. Incluyen fuente o configuración obsoleta, secciones obligatorias ausentes, opciones insuficientes, tipos exigidos ausentes, criterios incompletos, recomendación no seleccionada y asuntos bloqueantes no aceptados. La interfaz sólo representa el resultado del contrato.</w:t>
      </w:r>
    </w:p>
    <w:p>
      <w:r>
        <w:br w:type="page"/>
      </w:r>
    </w:p>
    <w:p>
      <w:pPr>
        <w:pStyle w:val="Heading1"/>
        <w:keepNext/>
      </w:pPr>
      <w:r>
        <w:t>4. Persistencia, configuración y migración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3816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52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Controles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business_analyses</w:t>
            </w:r>
          </w:p>
        </w:tc>
        <w:tc>
          <w:tcPr>
            <w:tcW w:type="dxa" w:w="38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Estado vigente y contenido normalizado</w:t>
            </w:r>
          </w:p>
        </w:tc>
        <w:tc>
          <w:tcPr>
            <w:tcW w:type="dxa" w:w="35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Tenant scope, número único, idempotencia, ETag, hashes</w:t>
            </w:r>
          </w:p>
        </w:tc>
      </w:tr>
      <w:tr>
        <w:trPr>
          <w:cantSplit/>
        </w:trPr>
        <w:tc>
          <w:tcPr>
            <w:tcW w:type="dxa" w:w="23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business_analysis_revisions</w:t>
            </w:r>
          </w:p>
        </w:tc>
        <w:tc>
          <w:tcPr>
            <w:tcW w:type="dxa" w:w="381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Snapshot por cambio/transición</w:t>
            </w:r>
          </w:p>
        </w:tc>
        <w:tc>
          <w:tcPr>
            <w:tcW w:type="dxa" w:w="352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Append-only, número único por BA, snapshot hash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project_proposals</w:t>
            </w:r>
          </w:p>
        </w:tc>
        <w:tc>
          <w:tcPr>
            <w:tcW w:type="dxa" w:w="38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Linaje opcional BA</w:t>
            </w:r>
          </w:p>
        </w:tc>
        <w:tc>
          <w:tcPr>
            <w:tcW w:type="dxa" w:w="35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Id/hash/config revision nullable para legacy</w:t>
            </w:r>
          </w:p>
        </w:tc>
      </w:tr>
      <w:tr>
        <w:trPr>
          <w:cantSplit/>
        </w:trPr>
        <w:tc>
          <w:tcPr>
            <w:tcW w:type="dxa" w:w="23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admin_configurations</w:t>
            </w:r>
          </w:p>
        </w:tc>
        <w:tc>
          <w:tcPr>
            <w:tcW w:type="dxa" w:w="381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Política y catálogos BA</w:t>
            </w:r>
          </w:p>
        </w:tc>
        <w:tc>
          <w:tcPr>
            <w:tcW w:type="dxa" w:w="352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DRAFT/PUBLISHED/ARCHIVED, hash, revisión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security_events</w:t>
            </w:r>
          </w:p>
        </w:tc>
        <w:tc>
          <w:tcPr>
            <w:tcW w:type="dxa" w:w="38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Auditoría de comandos</w:t>
            </w:r>
          </w:p>
        </w:tc>
        <w:tc>
          <w:tcPr>
            <w:tcW w:type="dxa" w:w="352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Actor, outcome, estados y metadata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Resolución de configuración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Tenant → Enterprise → Business Unit → Portfolio. La configuración aplicable más cercana prevalece y puede heredarse a descendientes. El expediente congela id, revisión y hash efectivos.</w:t>
      </w:r>
    </w:p>
    <w:p>
      <w:pPr>
        <w:pStyle w:val="Heading2"/>
        <w:keepNext/>
      </w:pPr>
      <w:r>
        <w:t>Migración Alembic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La revisión 20260910_0059 sucede a 20260902_0058, crea las dos tablas BA, índices y relaciones, y añade cinco columnas nullable a Project Proposal. El downgrade elimina primero el linaje y luego las tablas BA. Los ciclos reales PostgreSQL y SQLite verificaron constraints, índices, nulabilidad y reversibilidad.</w:t>
      </w:r>
    </w:p>
    <w:p>
      <w:pPr>
        <w:pStyle w:val="Heading2"/>
        <w:keepNext/>
      </w:pPr>
      <w:r>
        <w:t>Inmutabilidad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Listeners del modelo rechazan update/delete sobre snapshots y rechazan la mutación de un Business Analysis cuyo estado persistido ya era COMPLETED. Un cambio material se representa mediante supersedes_analysis_id y nueva identidad.</w:t>
      </w:r>
    </w:p>
    <w:p>
      <w:r>
        <w:br w:type="page"/>
      </w:r>
    </w:p>
    <w:p>
      <w:pPr>
        <w:pStyle w:val="Heading1"/>
        <w:keepNext/>
      </w:pPr>
      <w:r>
        <w:t>5. API, seguridad y concurrencia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460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Operaciones</w:t>
            </w:r>
          </w:p>
        </w:tc>
        <w:tc>
          <w:tcPr>
            <w:tcW w:type="dxa" w:w="324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Garantía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USER query</w:t>
            </w:r>
          </w:p>
        </w:tc>
        <w:tc>
          <w:tcPr>
            <w:tcW w:type="dxa" w:w="4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options, list, get, readiness, history</w:t>
            </w:r>
          </w:p>
        </w:tc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Filtrado tenant/workspace/actor</w:t>
            </w:r>
          </w:p>
        </w:tc>
      </w:tr>
      <w:tr>
        <w:trPr>
          <w:cantSplit/>
        </w:trPr>
        <w:tc>
          <w:tcPr>
            <w:tcW w:type="dxa" w:w="18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USER command</w:t>
            </w:r>
          </w:p>
        </w:tc>
        <w:tc>
          <w:tcPr>
            <w:tcW w:type="dxa" w:w="460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create, update, submit, start-review, return, complete, void, new-revision</w:t>
            </w:r>
          </w:p>
        </w:tc>
        <w:tc>
          <w:tcPr>
            <w:tcW w:type="dxa" w:w="324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RBAC, SoD, ETag, idempotencia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 query</w:t>
            </w:r>
          </w:p>
        </w:tc>
        <w:tc>
          <w:tcPr>
            <w:tcW w:type="dxa" w:w="46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configurations, preview</w:t>
            </w:r>
          </w:p>
        </w:tc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Preview persisted=false</w:t>
            </w:r>
          </w:p>
        </w:tc>
      </w:tr>
      <w:tr>
        <w:trPr>
          <w:cantSplit/>
        </w:trPr>
        <w:tc>
          <w:tcPr>
            <w:tcW w:type="dxa" w:w="18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 command</w:t>
            </w:r>
          </w:p>
        </w:tc>
        <w:tc>
          <w:tcPr>
            <w:tcW w:type="dxa" w:w="460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clone, update, publish, archive</w:t>
            </w:r>
          </w:p>
        </w:tc>
        <w:tc>
          <w:tcPr>
            <w:tcW w:type="dxa" w:w="324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Publicación inmutable y versionada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Permisos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business_analysis.read / create / edit / submit / review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business_analysis.admin.configure / admin.publish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Roles dedicados author, reviewer, viewer y config_admin; organization_admin mantiene acceso gobernado.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La política SoD por defecto impide que el autor inicie o cierre su propia revisión.</w:t>
      </w:r>
    </w:p>
    <w:p>
      <w:pPr>
        <w:pStyle w:val="Heading2"/>
        <w:keepNext/>
      </w:pPr>
      <w:r>
        <w:t>Control optimista e idempotencia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PUT y transiciones comparan If-Match con revision_version y devuelven 412 ante conflicto. POST de creación y nueva revisión deduplican por Idempotency-Key tenant-scoped y rechazan la reutilización inconsistente.</w:t>
      </w:r>
    </w:p>
    <w:p>
      <w:pPr>
        <w:pStyle w:val="Heading2"/>
        <w:keepNext/>
      </w:pPr>
      <w:r>
        <w:t>Auditoría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Se emiten eventos para created, updated, submitted, review_started, returned, completed, voided, superseded, revision_created y para clone/update/publish/archive de configuración. Los historiales de USER no exponen operaciones administrativas como transacciones.</w:t>
      </w:r>
    </w:p>
    <w:p>
      <w:r>
        <w:br w:type="page"/>
      </w:r>
    </w:p>
    <w:p>
      <w:pPr>
        <w:pStyle w:val="Heading1"/>
        <w:keepNext/>
      </w:pPr>
      <w:r>
        <w:t>6. Experiencia USER MODE y ADMIN MODE</w:t>
      </w:r>
    </w:p>
    <w:p>
      <w:pPr>
        <w:pStyle w:val="Heading2"/>
        <w:keepNext/>
      </w:pPr>
      <w:r>
        <w:t>USER MODE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La nueva pantalla aparece bajo Enterprise Strategy Manager → Idea &amp; Demand después de Idea Lifecycle. Presenta colas My Analyses, Draft, Submitted, In Review, Returned, Ready for Proposal, Completed y All Authorized; ofrece búsqueda, detalle compacto, editor estructurado, alternativas, recomendación, readiness e historial.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a-ba-user-business-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A6C76"/>
          <w:sz w:val="16"/>
        </w:rPr>
        <w:t>Figura 1. Business Analysis &amp; Options en USER MODE.</w:t>
      </w:r>
    </w:p>
    <w:p>
      <w:pPr>
        <w:pStyle w:val="Heading2"/>
        <w:keepNext/>
      </w:pPr>
      <w:r>
        <w:t>ADMIN MODE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Business Analysis Configuration aparece en Idea &amp; Demand Configuration. Su navegación cubre veinte grupos de política. Expone clone/edit/publish/archive y preview no persistente; declara explícitamente que no administra expedientes vivos.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07a-ba-admin-configu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A6C76"/>
          <w:sz w:val="16"/>
        </w:rPr>
        <w:t>Figura 2. Business Analysis Configuration en ADMIN MODE.</w:t>
      </w:r>
    </w:p>
    <w:p>
      <w:pPr>
        <w:pStyle w:val="Heading2"/>
        <w:keepNext/>
      </w:pPr>
      <w:r>
        <w:t>Navegación y accesibilidad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El blueprint tipado ubica BA entre Idea y Proposal, genera rutas y breadcrumbs determinísticos, conserva labels de modo, usa regiones/nav con nombres accesibles y aplica diseño responsive sin replicar la lógica de autorización.</w:t>
      </w:r>
    </w:p>
    <w:p>
      <w:r>
        <w:br w:type="page"/>
      </w:r>
    </w:p>
    <w:p>
      <w:pPr>
        <w:pStyle w:val="Heading1"/>
        <w:keepNext/>
      </w:pPr>
      <w:r>
        <w:t>7. Compatibilidad y no duplicación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24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640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Nueva Idea CAPITAL_OWNER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 obligatorio antes de Project Proposal</w:t>
            </w:r>
          </w:p>
        </w:tc>
      </w:tr>
      <w:tr>
        <w:trPr>
          <w:cantSplit/>
        </w:trPr>
        <w:tc>
          <w:tcPr>
            <w:tcW w:type="dxa" w:w="324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CONTRACTOR_DELIVERY</w:t>
            </w:r>
          </w:p>
        </w:tc>
        <w:tc>
          <w:tcPr>
            <w:tcW w:type="dxa" w:w="640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 no obligatorio por defecto; política configurable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DIRECT_INTERNAL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 no obligatorio por defecto; política configurable</w:t>
            </w:r>
          </w:p>
        </w:tc>
      </w:tr>
      <w:tr>
        <w:trPr>
          <w:cantSplit/>
        </w:trPr>
        <w:tc>
          <w:tcPr>
            <w:tcW w:type="dxa" w:w="324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Snapshot legacy sin política BA</w:t>
            </w:r>
          </w:p>
        </w:tc>
        <w:tc>
          <w:tcPr>
            <w:tcW w:type="dxa" w:w="640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Grandfathered; conserva creación histórica de Proposal</w:t>
            </w:r>
          </w:p>
        </w:tc>
      </w:tr>
      <w:tr>
        <w:trPr>
          <w:cantSplit/>
        </w:trPr>
        <w:tc>
          <w:tcPr>
            <w:tcW w:type="dxa" w:w="324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Proposal existente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Sigue válida; columnas BA son nullable</w:t>
            </w:r>
          </w:p>
        </w:tc>
      </w:tr>
      <w:tr>
        <w:trPr>
          <w:cantSplit/>
        </w:trPr>
        <w:tc>
          <w:tcPr>
            <w:tcW w:type="dxa" w:w="324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 completo con cambio material</w:t>
            </w:r>
          </w:p>
        </w:tc>
        <w:tc>
          <w:tcPr>
            <w:tcW w:type="dxa" w:w="640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Nueva revisión; original permanece inmutable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Capacidades reutilizadas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Strategic Objectives: sólo referencias, sin nuevo catálogo paralelo.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Enterprise Workspaces y contexto tenant: mismo modelo de alcance y herencia.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AdminConfiguration: mismo lifecycle y hashing de configuración.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SecurityEvent y roles: mismos mecanismos transversales.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Project Proposal: extensión nullable y mapping; no se duplicó su lifecycle.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App shell y navegación estratégica: nuevas vistas, sin crear una segunda aplicación.</w:t>
      </w:r>
    </w:p>
    <w:p>
      <w:pPr>
        <w:pStyle w:val="Heading2"/>
        <w:keepNext/>
      </w:pPr>
      <w:r>
        <w:t>Contrato de linaje futuro para Business Case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Gate 07M-BC podrá referenciar source_business_analysis_id, completion_hash, recommended_option_id y el linaje de configuración congelado. BA no crea el Five Case Model ni mantiene sus revisiones; sólo publica evidencia estable de necesidad, alternativas y recomendación para que Business Case la consuma sin copiar su lifecycle.</w:t>
      </w:r>
    </w:p>
    <w:p>
      <w:r>
        <w:br w:type="page"/>
      </w:r>
    </w:p>
    <w:p>
      <w:pPr>
        <w:pStyle w:val="Heading1"/>
        <w:keepNext/>
      </w:pPr>
      <w:r>
        <w:t>8. Validación y evidencia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Puerta</w:t>
            </w:r>
          </w:p>
        </w:tc>
        <w:tc>
          <w:tcPr>
            <w:tcW w:type="dxa" w:w="136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40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Backend lint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Ruff sobre app y tests: sin hallazgos.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Gate 07A-BA SQLite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16 pass: 8 BA + 7 Idea/Proposal + 1 migración; 3 PostgreSQL omitidas por dialecto.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Regresión Idea + Proposal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7 pruebas: nuevo gate y compatibilidad grandfathered.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TypeScript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tsc --noEmit / compilación tipada sin errores.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Frontend lint/format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ESLint sin errores; Prettier conforme. Advertencias baseline documentadas.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Frontend build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Vite produjo bundle de producción.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Frontend unitario completo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52 archivos, 236 pruebas superadas.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Browser E2E BA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3/3 en Chromium (42,9 s): stack real + contratos USER y ADMIN; sólo API BA interceptada en lifecycle/config.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Migración up/down/up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Ciclos reales PostgreSQL y SQLite 0058→0059→0058→0059; FKs, índices y columnas verificados.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PostgreSQL E2E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18/18 en base desechable PostgreSQL 16: lifecycle, negativos, Idea/Proposal, snapshots y constraints.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Despliegue localhost</w:t>
            </w:r>
          </w:p>
        </w:tc>
        <w:tc>
          <w:tcPr>
            <w:tcW w:type="dxa" w:w="1368"/>
            <w:shd w:fill="EAF5F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54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Docker reconstruido; API/frontend HTTP 200, Alembic 0059 head y 18 rutas BA publicadas.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Backend completo</w:t>
            </w:r>
          </w:p>
        </w:tc>
        <w:tc>
          <w:tcPr>
            <w:tcW w:type="dxa" w:w="1368"/>
            <w:shd w:fill="FFF3E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A05A00"/>
                <w:sz w:val="16"/>
              </w:rPr>
              <w:t>PARCIAL</w:t>
            </w:r>
          </w:p>
        </w:tc>
        <w:tc>
          <w:tcPr>
            <w:tcW w:type="dxa" w:w="54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546 pass / 27 skip; 10 fallos baseline ajenos y 28 errores por acceso al temp de pytest.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Cobertura funcional demostrada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Idea aceptada cambia a READY_FOR_BUSINESS_ANALYSIS y bloquea Proposal.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Creación idempotente y conflicto ETag 412.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Contenido completo, submit y rechazo SoD al mismo actor.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Revisor independiente retorna, retoma y completa; produce READY_FOR_PROJECT_PROPOSAL.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Preview/creación de Proposal conserva id y hash de BA y mapping recomendado.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Mutación posterior de COMPLETED rechazada; una revisión material completa supersede sin borrar el original.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VOIDED queda auditado y libera el único slot activo de la Idea para un reemplazo gobernado.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Cambio de configuración publicada marca BA como STALE y vuelve a bloquear Proposal.</w:t>
      </w:r>
    </w:p>
    <w:p>
      <w:pPr>
        <w:pStyle w:val="ListBullet"/>
        <w:spacing w:after="50" w:line="254" w:lineRule="auto"/>
      </w:pPr>
      <w:r>
        <w:rPr>
          <w:rFonts w:ascii="Aptos" w:hAnsi="Aptos" w:eastAsia="Aptos"/>
          <w:b w:val="0"/>
          <w:color w:val="17242C"/>
          <w:sz w:val="20"/>
        </w:rPr>
        <w:t>Preview ADMIN no cambia el número de configuraciones; published no se edita.</w:t>
      </w:r>
    </w:p>
    <w:p>
      <w:pPr>
        <w:pStyle w:val="Heading2"/>
        <w:keepNext/>
      </w:pPr>
      <w:r>
        <w:t>Lectura del barrido global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El barrido backend global no es una puerta limpia del repositorio: 28 errores provienen de PermissionError sobre AppData/Local/Temp/pytest-of-Ricardo y los 10 fallos restantes pertenecen a suites PostgreSQL/Enterprise Structure/Investment Decision ya fuera del delta BA. Las suites focalizadas nuevas y las regresiones directamente afectadas sí pasan.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Docker Desktop no estaba en PATH, pero su PostgreSQL 16 local fue localizado y usado con dos bases desechables: una para el ciclo Alembic real y otra para la suite funcional. Ambas puertas Gate 07A pasan y las bases de prueba fueron eliminadas al terminar. Este informe aún no emite GATE07A_BA_BUSINESS_ANALYSIS_RELEASE_VALIDATED porque el barrido backend global del baseline no está limpio.</w:t>
      </w:r>
    </w:p>
    <w:p>
      <w:r>
        <w:br w:type="page"/>
      </w:r>
    </w:p>
    <w:p>
      <w:pPr>
        <w:pStyle w:val="Heading1"/>
        <w:keepNext/>
      </w:pPr>
      <w:r>
        <w:t>9. Inventario de cambios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56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Archivos principales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Backend BA</w:t>
            </w:r>
          </w:p>
        </w:tc>
        <w:tc>
          <w:tcPr>
            <w:tcW w:type="dxa" w:w="75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app/modules/business_analysis/{models,schemas,service,router}.py</w:t>
            </w:r>
          </w:p>
        </w:tc>
      </w:tr>
      <w:tr>
        <w:trPr>
          <w:cantSplit/>
        </w:trPr>
        <w:tc>
          <w:tcPr>
            <w:tcW w:type="dxa" w:w="20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Integraciones</w:t>
            </w:r>
          </w:p>
        </w:tc>
        <w:tc>
          <w:tcPr>
            <w:tcW w:type="dxa" w:w="75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idea_demand/service.py; project_proposal/{models,schemas,service}.py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API y seguridad</w:t>
            </w:r>
          </w:p>
        </w:tc>
        <w:tc>
          <w:tcPr>
            <w:tcW w:type="dxa" w:w="75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api/v1/router.py; enterprise_structure/{constants,permissions}.py</w:t>
            </w:r>
          </w:p>
        </w:tc>
      </w:tr>
      <w:tr>
        <w:trPr>
          <w:cantSplit/>
        </w:trPr>
        <w:tc>
          <w:tcPr>
            <w:tcW w:type="dxa" w:w="20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Workspace</w:t>
            </w:r>
          </w:p>
        </w:tc>
        <w:tc>
          <w:tcPr>
            <w:tcW w:type="dxa" w:w="75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workspace_context/navigator.py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Migración</w:t>
            </w:r>
          </w:p>
        </w:tc>
        <w:tc>
          <w:tcPr>
            <w:tcW w:type="dxa" w:w="75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alembic/versions/20260910_0059_gate07a_ba_business_analysis.py</w:t>
            </w:r>
          </w:p>
        </w:tc>
      </w:tr>
      <w:tr>
        <w:trPr>
          <w:cantSplit/>
        </w:trPr>
        <w:tc>
          <w:tcPr>
            <w:tcW w:type="dxa" w:w="20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Frontend BA</w:t>
            </w:r>
          </w:p>
        </w:tc>
        <w:tc>
          <w:tcPr>
            <w:tcW w:type="dxa" w:w="75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features/business-analysis/{api,types,workspace,admin,css,test}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Navegación</w:t>
            </w:r>
          </w:p>
        </w:tc>
        <w:tc>
          <w:tcPr>
            <w:tcW w:type="dxa" w:w="75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strategicNavigationBlueprint.ts; applicationNavigation.ts; App.tsx</w:t>
            </w:r>
          </w:p>
        </w:tc>
      </w:tr>
      <w:tr>
        <w:trPr>
          <w:cantSplit/>
        </w:trPr>
        <w:tc>
          <w:tcPr>
            <w:tcW w:type="dxa" w:w="20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Regresión UI</w:t>
            </w:r>
          </w:p>
        </w:tc>
        <w:tc>
          <w:tcPr>
            <w:tcW w:type="dxa" w:w="75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IdeaLifecycleWorkspace; ProjectProposalWorkspace/types/css; WorkspaceOperationalPage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Pruebas</w:t>
            </w:r>
          </w:p>
        </w:tc>
        <w:tc>
          <w:tcPr>
            <w:tcW w:type="dxa" w:w="75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Gate07A BA/migración SQLite+PostgreSQL; navegación/unitarios; Playwright BA</w:t>
            </w:r>
          </w:p>
        </w:tc>
      </w:tr>
      <w:tr>
        <w:trPr>
          <w:cantSplit/>
        </w:trPr>
        <w:tc>
          <w:tcPr>
            <w:tcW w:type="dxa" w:w="208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Arquitectura</w:t>
            </w:r>
          </w:p>
        </w:tc>
        <w:tc>
          <w:tcPr>
            <w:tcW w:type="dxa" w:w="756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ADR 61 y guía gate07a-ba-business-analysis-governance.md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Contratos de salida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68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Señal</w:t>
            </w:r>
          </w:p>
        </w:tc>
        <w:tc>
          <w:tcPr>
            <w:tcW w:type="dxa" w:w="4968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GATE07A_BA_BUSINESS_​ANALYSIS_RELEASE_VALIDATED</w:t>
            </w:r>
          </w:p>
        </w:tc>
        <w:tc>
          <w:tcPr>
            <w:tcW w:type="dxa" w:w="49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Pendiente sólo de cerrar la regresión backend global del baseline.</w:t>
            </w:r>
          </w:p>
        </w:tc>
      </w:tr>
      <w:tr>
        <w:trPr>
          <w:cantSplit/>
        </w:trPr>
        <w:tc>
          <w:tcPr>
            <w:tcW w:type="dxa" w:w="46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READY_FOR_GOVERNED_PROJECT_PROPOSAL_​FROM_BUSINESS_ANALYSIS</w:t>
            </w:r>
          </w:p>
        </w:tc>
        <w:tc>
          <w:tcPr>
            <w:tcW w:type="dxa" w:w="4968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 COMPLETED, fuente/config vigentes, sin blockers.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ENHANCE_GATE07M_BC_WITH_FIVE_CASE_MODEL</w:t>
            </w:r>
          </w:p>
        </w:tc>
        <w:tc>
          <w:tcPr>
            <w:tcW w:type="dxa" w:w="49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Siguiente incremento; no implementado en este alcance.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r>
        <w:br w:type="page"/>
      </w:r>
    </w:p>
    <w:p>
      <w:pPr>
        <w:pStyle w:val="Heading1"/>
        <w:keepNext/>
      </w:pPr>
      <w:r>
        <w:t>10. Riesgos, límites y cierre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Riesgo / deuda</w:t>
            </w:r>
          </w:p>
        </w:tc>
        <w:tc>
          <w:tcPr>
            <w:tcW w:type="dxa" w:w="2952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816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Suite backend global no limpia</w:t>
            </w:r>
          </w:p>
        </w:tc>
        <w:tc>
          <w:tcPr>
            <w:tcW w:type="dxa" w:w="29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Impide usarla como señal única de release</w:t>
            </w:r>
          </w:p>
        </w:tc>
        <w:tc>
          <w:tcPr>
            <w:tcW w:type="dxa" w:w="38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Mantener suites focalizadas; corregir permisos temp y baseline en incremento separado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Cadena SQLite histórica 0013</w:t>
            </w:r>
          </w:p>
        </w:tc>
        <w:tc>
          <w:tcPr>
            <w:tcW w:type="dxa" w:w="295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Rebuild desde cero se detiene antes de Gate 07A</w:t>
            </w:r>
          </w:p>
        </w:tc>
        <w:tc>
          <w:tcPr>
            <w:tcW w:type="dxa" w:w="381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Portar FK heredada a batch mode; el ciclo inmediato 0058↔0059 sí pasa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Escala de colas</w:t>
            </w:r>
          </w:p>
        </w:tc>
        <w:tc>
          <w:tcPr>
            <w:tcW w:type="dxa" w:w="29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Listados grandes pueden requerir paginación</w:t>
            </w:r>
          </w:p>
        </w:tc>
        <w:tc>
          <w:tcPr>
            <w:tcW w:type="dxa" w:w="38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Añadir paginación/cursor e índices de consulta en hardening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Editor JSON ADMIN</w:t>
            </w:r>
          </w:p>
        </w:tc>
        <w:tc>
          <w:tcPr>
            <w:tcW w:type="dxa" w:w="295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Potente pero técnico</w:t>
            </w:r>
          </w:p>
        </w:tc>
        <w:tc>
          <w:tcPr>
            <w:tcW w:type="dxa" w:w="381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Evolucionar a formularios por sección sin cambiar el contrato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Matrix ratings</w:t>
            </w:r>
          </w:p>
        </w:tc>
        <w:tc>
          <w:tcPr>
            <w:tcW w:type="dxa" w:w="29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Requiere validación de escala más estricta</w:t>
            </w:r>
          </w:p>
        </w:tc>
        <w:tc>
          <w:tcPr>
            <w:tcW w:type="dxa" w:w="38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Agregar límites/rangos publicados en hardening</w:t>
            </w:r>
          </w:p>
        </w:tc>
      </w:tr>
      <w:tr>
        <w:trPr>
          <w:cantSplit/>
        </w:trPr>
        <w:tc>
          <w:tcPr>
            <w:tcW w:type="dxa" w:w="288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Seed concurrente</w:t>
            </w:r>
          </w:p>
        </w:tc>
        <w:tc>
          <w:tcPr>
            <w:tcW w:type="dxa" w:w="2952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Procesos separados aún pueden competir en bootstrap</w:t>
            </w:r>
          </w:p>
        </w:tc>
        <w:tc>
          <w:tcPr>
            <w:tcW w:type="dxa" w:w="3816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RLock mitiga concurrencia en proceso; PostgreSQL/CI debe validar multiproceso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Modelos alternos</w:t>
            </w:r>
          </w:p>
        </w:tc>
        <w:tc>
          <w:tcPr>
            <w:tcW w:type="dxa" w:w="295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Política inicial no obliga BA</w:t>
            </w:r>
          </w:p>
        </w:tc>
        <w:tc>
          <w:tcPr>
            <w:tcW w:type="dxa" w:w="381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Activar sólo mediante configuración publicada y pruebas de contexto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p>
      <w:pPr>
        <w:pStyle w:val="Heading2"/>
        <w:keepNext/>
      </w:pPr>
      <w:r>
        <w:t>Conclusión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Gate 07A-BA queda implementado en la arquitectura actual: dominio, API, seguridad, configuración, navegación, UI, integración con Idea/Proposal, migración, pruebas y documentación. La solución preserva compatibilidad y evita duplicar capacidades existentes. El stack Docker local quedó actualizado y sano.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Las puertas focalizadas, PostgreSQL y frontend están validadas. La liberación formal permanece condicionada a sanear el barrido backend global, cuyas incidencias baseline explícitas no deben confundirse con defectos del módulo BA.</w:t>
      </w:r>
    </w:p>
    <w:p>
      <w:pPr>
        <w:pStyle w:val="Heading2"/>
        <w:keepNext/>
      </w:pPr>
      <w:r>
        <w:t>Siguiente paso recomendado</w:t>
      </w:r>
    </w:p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  <w:t>Ejecutar el hardening de Five Case Model dentro de Gate 07M-BC consumiendo el BA completo como evidencia de necesidad y recomendación, sin trasladar a BA cálculos financieros o decisiones FID.</w:t>
      </w:r>
    </w:p>
    <w:p>
      <w:r>
        <w:br w:type="page"/>
      </w:r>
    </w:p>
    <w:p>
      <w:pPr>
        <w:pStyle w:val="Heading1"/>
        <w:keepNext/>
      </w:pPr>
      <w:r>
        <w:t>Anexo A. Trazabilidad de entregables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504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600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5544"/>
            <w:shd w:fill="1127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Baseline assessment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Resumen, arquitectura y lectura del barrido global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ADR de inserción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docs/61-adr-gate07a-ba-business-analysis-options.md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Compatibilidad histórica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Política grandfathered y pruebas Gate07B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4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Matriz USER/ADMIN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Secciones 2, 5 y 6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5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Reuso de dominio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Secciones 2 y 7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6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Diseño del agregado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Secciones 2 y 4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7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Lifecycle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Sección 3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8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Eligibility/readiness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Servicio, API y sección 3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9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Need/Problem/Opportunity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BusinessAnalysisPayload + UI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10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 Drivers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Catálogo configurable + payload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11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Strategic Alignment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Referencias a objetivos existentes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12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Stakeholders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Payload y pantalla de registro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13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Current State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Payload y readiness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14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Desired Outcomes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Payload y readiness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15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Expected Value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Dimensiones configurables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16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Assumptions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Payload, mapping y readiness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17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Constraints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Payload, mapping y readiness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18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High-Level Business Requirements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Payload y readiness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19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Options model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BusinessAnalysisOptionIn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20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Options Evaluation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Matriz publicada + ratings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21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Recommended Option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Selección, rationale, trade-offs y condiciones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22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Proposal mapping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ProjectProposalService + snapshot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23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Idea lineage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IDs, revisión y source hash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24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Future Business Case lineage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Contrato descrito en sección 7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25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 configuration model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AdminConfiguration reutilizada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26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 lifecycle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Clone/update/publish/archive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27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Inheritance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Tenant→Enterprise→BU→Portfolio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28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Roles/permissions/SoD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Permisos dedicados + revisor independiente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29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ETag/idempotency/audit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If-Match, Idempotency-Key, SecurityEvent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30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USER navigation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Blueprint + BusinessAnalysisWorkspace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31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ADMIN navigation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Blueprint + BusinessAnalysisAdminView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32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PostgreSQL happy path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Suite postgres Gate07A-BA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33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PostgreSQL negative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Suite postgres Gate07A-BA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34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Historical compatibility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test_project_proposal_gate07b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35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Governance Model tests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CAPITAL_OWNER / alternos / legacy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36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Browser USER E2E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business-analysis-governance.spec.ts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37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Browser ADMIN E2E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business-analysis-governance.spec.ts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38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Contamination proof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Unit + Playwright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39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Migration proof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Alembic 0059 up/down/up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40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Regression summary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Sección 8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41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Before/after diagram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Sección 2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42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Updated USER/ADMIN docs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gate07a-ba-business-analysis-governance.md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43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Final technical report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50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44</w:t>
            </w:r>
          </w:p>
        </w:tc>
        <w:tc>
          <w:tcPr>
            <w:tcW w:type="dxa" w:w="3600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Final gap analysis</w:t>
            </w:r>
          </w:p>
        </w:tc>
        <w:tc>
          <w:tcPr>
            <w:tcW w:type="dxa" w:w="5544"/>
            <w:shd w:fill="F3F6F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Sección 10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45</w:t>
            </w:r>
          </w:p>
        </w:tc>
        <w:tc>
          <w:tcPr>
            <w:tcW w:type="dxa" w:w="3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Next improvement</w:t>
            </w:r>
          </w:p>
        </w:tc>
        <w:tc>
          <w:tcPr>
            <w:tcW w:type="dxa" w:w="55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7242C"/>
                <w:sz w:val="16"/>
              </w:rPr>
              <w:t>ENHANCE_GATE07M_BC_WITH_FIVE_CASE_MODEL</w:t>
            </w:r>
          </w:p>
        </w:tc>
      </w:tr>
    </w:tbl>
    <w:p>
      <w:pPr>
        <w:spacing w:after="100" w:line="254" w:lineRule="auto"/>
      </w:pPr>
      <w:r>
        <w:rPr>
          <w:rFonts w:ascii="Aptos" w:hAnsi="Aptos" w:eastAsia="Aptos"/>
          <w:b w:val="0"/>
          <w:color w:val="17242C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A6C76"/>
        <w:sz w:val="16"/>
      </w:rPr>
      <w:t xml:space="preserve">Informe técnico  •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color w:val="5A6C76"/>
        <w:sz w:val="16"/>
      </w:rPr>
      <w:t>P&amp;Pmis Construction AI  |  Gate 07A-BA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724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27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7F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27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27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