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868680" cy="782306"/>
            <wp:docPr id="1" name="Picture 1"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11"/>
                    <a:stretch>
                      <a:fillRect/>
                    </a:stretch>
                  </pic:blipFill>
                  <pic:spPr>
                    <a:xfrm>
                      <a:off x="0" y="0"/>
                      <a:ext cx="868680" cy="782306"/>
                    </a:xfrm>
                    <a:prstGeom prst="rect"/>
                  </pic:spPr>
                </pic:pic>
              </a:graphicData>
            </a:graphic>
          </wp:inline>
        </w:drawing>
      </w:r>
    </w:p>
    <w:p>
      <w:pPr>
        <w:pStyle w:val="Title"/>
        <w:spacing w:after="80"/>
        <w:jc w:val="center"/>
      </w:pPr>
      <w:r>
        <w:rPr>
          <w:rFonts w:ascii="Aptos" w:hAnsi="Aptos" w:eastAsia="Aptos"/>
          <w:b/>
          <w:color w:val="000000"/>
          <w:sz w:val="50"/>
        </w:rPr>
        <w:t>Informe técnico Gate 07M-BC-5C</w:t>
      </w:r>
    </w:p>
    <w:p>
      <w:pPr>
        <w:spacing w:after="240"/>
        <w:jc w:val="center"/>
      </w:pPr>
      <w:r>
        <w:rPr>
          <w:rFonts w:ascii="Aptos" w:hAnsi="Aptos" w:eastAsia="Aptos"/>
          <w:b/>
          <w:color w:val="17324D"/>
          <w:sz w:val="28"/>
        </w:rPr>
        <w:t>Five Case Model Integration for Governed Business Case</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5141"/>
        <w:gridCol w:w="5141"/>
      </w:tblGrid>
      <w:tr>
        <w:trPr>
          <w:tblHeader/>
          <w:cantSplit/>
        </w:trPr>
        <w:tc>
          <w:tcPr>
            <w:tcW w:type="dxa" w:w="2304"/>
            <w:vAlign w:val="center"/>
            <w:shd w:fill="17324D"/>
            <w:tcMar>
              <w:top w:w="85" w:type="dxa"/>
              <w:start w:w="85" w:type="dxa"/>
              <w:bottom w:w="85" w:type="dxa"/>
              <w:end w:w="85" w:type="dxa"/>
            </w:tcMar>
          </w:tcPr>
          <w:p>
            <w:pPr>
              <w:spacing w:after="0"/>
            </w:pPr>
            <w:r>
              <w:rPr>
                <w:rFonts w:ascii="Aptos" w:hAnsi="Aptos" w:eastAsia="Aptos"/>
                <w:b/>
                <w:color w:val="FFFFFF"/>
                <w:sz w:val="16"/>
              </w:rPr>
              <w:t>Control</w:t>
            </w:r>
          </w:p>
        </w:tc>
        <w:tc>
          <w:tcPr>
            <w:tcW w:type="dxa" w:w="7776"/>
            <w:vAlign w:val="center"/>
            <w:shd w:fill="17324D"/>
            <w:tcMar>
              <w:top w:w="85" w:type="dxa"/>
              <w:start w:w="85" w:type="dxa"/>
              <w:bottom w:w="85" w:type="dxa"/>
              <w:end w:w="85" w:type="dxa"/>
            </w:tcMar>
          </w:tcPr>
          <w:p>
            <w:pPr>
              <w:spacing w:after="0"/>
            </w:pPr>
            <w:r>
              <w:rPr>
                <w:rFonts w:ascii="Aptos" w:hAnsi="Aptos" w:eastAsia="Aptos"/>
                <w:b/>
                <w:color w:val="FFFFFF"/>
                <w:sz w:val="16"/>
              </w:rPr>
              <w:t>Valor</w:t>
            </w:r>
          </w:p>
        </w:tc>
      </w:tr>
      <w:tr>
        <w:trPr>
          <w:cantSplit/>
        </w:trPr>
        <w:tc>
          <w:tcPr>
            <w:tcW w:type="dxa" w:w="230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Aplicación</w:t>
            </w:r>
          </w:p>
        </w:tc>
        <w:tc>
          <w:tcPr>
            <w:tcW w:type="dxa" w:w="777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P&amp;Pmis Construction AI</w:t>
            </w:r>
          </w:p>
        </w:tc>
      </w:tr>
      <w:tr>
        <w:trPr>
          <w:cantSplit/>
        </w:trPr>
        <w:tc>
          <w:tcPr>
            <w:tcW w:type="dxa" w:w="230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Incremento</w:t>
            </w:r>
          </w:p>
        </w:tc>
        <w:tc>
          <w:tcPr>
            <w:tcW w:type="dxa" w:w="777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PROMPT — Gate 07M-BC-5C</w:t>
            </w:r>
          </w:p>
        </w:tc>
      </w:tr>
      <w:tr>
        <w:trPr>
          <w:cantSplit/>
        </w:trPr>
        <w:tc>
          <w:tcPr>
            <w:tcW w:type="dxa" w:w="230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Fecha de cierre</w:t>
            </w:r>
          </w:p>
        </w:tc>
        <w:tc>
          <w:tcPr>
            <w:tcW w:type="dxa" w:w="777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2026-09-18</w:t>
            </w:r>
          </w:p>
        </w:tc>
      </w:tr>
      <w:tr>
        <w:trPr>
          <w:cantSplit/>
        </w:trPr>
        <w:tc>
          <w:tcPr>
            <w:tcW w:type="dxa" w:w="230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Alembic head</w:t>
            </w:r>
          </w:p>
        </w:tc>
        <w:tc>
          <w:tcPr>
            <w:tcW w:type="dxa" w:w="777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20260916_0061 (single head; sin migración nueva)</w:t>
            </w:r>
          </w:p>
        </w:tc>
      </w:tr>
      <w:tr>
        <w:trPr>
          <w:cantSplit/>
        </w:trPr>
        <w:tc>
          <w:tcPr>
            <w:tcW w:type="dxa" w:w="230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Implementación</w:t>
            </w:r>
          </w:p>
        </w:tc>
        <w:tc>
          <w:tcPr>
            <w:tcW w:type="dxa" w:w="777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COMPLETA PARA EL ALCANCE FUNCIONAL</w:t>
            </w:r>
          </w:p>
        </w:tc>
      </w:tr>
      <w:tr>
        <w:trPr>
          <w:cantSplit/>
        </w:trPr>
        <w:tc>
          <w:tcPr>
            <w:tcW w:type="dxa" w:w="230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Release</w:t>
            </w:r>
          </w:p>
        </w:tc>
        <w:tc>
          <w:tcPr>
            <w:tcW w:type="dxa" w:w="777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GATE07M_BC_FIVE_CASE_RELEASE_VALIDATED</w:t>
            </w:r>
          </w:p>
        </w:tc>
      </w:tr>
      <w:tr>
        <w:trPr>
          <w:cantSplit/>
        </w:trPr>
        <w:tc>
          <w:tcPr>
            <w:tcW w:type="dxa" w:w="230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Provider</w:t>
            </w:r>
          </w:p>
        </w:tc>
        <w:tc>
          <w:tcPr>
            <w:tcW w:type="dxa" w:w="777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BUSINESS_CASE_READINESS_PROVIDER / BUSINESS_CASE_READINESS</w:t>
            </w:r>
          </w:p>
        </w:tc>
      </w:tr>
    </w:tbl>
    <w:p>
      <w:pPr>
        <w:spacing w:after="20"/>
      </w:pPr>
    </w:p>
    <w:p>
      <w:pPr>
        <w:pStyle w:val="Heading1"/>
        <w:keepNext/>
        <w:spacing w:before="160" w:after="80"/>
      </w:pPr>
      <w:r>
        <w:t>1. Resumen ejecutivo</w:t>
      </w:r>
    </w:p>
    <w:p>
      <w:pPr>
        <w:spacing w:after="100" w:line="259" w:lineRule="auto"/>
      </w:pPr>
      <w:r>
        <w:rPr>
          <w:rFonts w:ascii="Aptos" w:hAnsi="Aptos" w:eastAsia="Aptos"/>
          <w:b w:val="0"/>
          <w:color w:val="202A33"/>
          <w:sz w:val="21"/>
        </w:rPr>
        <w:t>Se amplió el Business Case gobernado existente con una capa de integración Five Case: Strategic, Economic, Commercial, Financial y Management. La solución reutiliza BusinessCase, BusinessCaseRevision y BusinessCaseDecisionSnapshot; consume evidencia por referencia y hash; conserva la autoridad de cada dominio; y evita nuevos aggregates, tablas o proveedores duplicados.</w:t>
      </w:r>
    </w:p>
    <w:p>
      <w:pPr>
        <w:pStyle w:val="ListBullet"/>
        <w:spacing w:after="50" w:line="259" w:lineRule="auto"/>
      </w:pPr>
      <w:r>
        <w:rPr>
          <w:rFonts w:ascii="Aptos" w:hAnsi="Aptos" w:eastAsia="Aptos"/>
          <w:b w:val="0"/>
          <w:color w:val="202A33"/>
          <w:sz w:val="21"/>
        </w:rPr>
        <w:t>Cada revisión nueva congela política, contexto Gate/FEL, referencias, hashes, readiness y as-of en el JSON ya gobernado.</w:t>
      </w:r>
    </w:p>
    <w:p>
      <w:pPr>
        <w:pStyle w:val="ListBullet"/>
        <w:spacing w:after="50" w:line="259" w:lineRule="auto"/>
      </w:pPr>
      <w:r>
        <w:rPr>
          <w:rFonts w:ascii="Aptos" w:hAnsi="Aptos" w:eastAsia="Aptos"/>
          <w:b w:val="0"/>
          <w:color w:val="202A33"/>
          <w:sz w:val="21"/>
        </w:rPr>
        <w:t>Las revisiones legacy siguen legibles con legacy_layout=true y no reciben Five Case retrospectivo fabricado.</w:t>
      </w:r>
    </w:p>
    <w:p>
      <w:pPr>
        <w:pStyle w:val="ListBullet"/>
        <w:spacing w:after="50" w:line="259" w:lineRule="auto"/>
      </w:pPr>
      <w:r>
        <w:rPr>
          <w:rFonts w:ascii="Aptos" w:hAnsi="Aptos" w:eastAsia="Aptos"/>
          <w:b w:val="0"/>
          <w:color w:val="202A33"/>
          <w:sz w:val="21"/>
        </w:rPr>
        <w:t>Refresh Preview no persiste; Apply crea una revisión sucesora DRAFT. Revisiones COMPLETED y snapshots permanecen inmutables.</w:t>
      </w:r>
    </w:p>
    <w:p>
      <w:pPr>
        <w:pStyle w:val="ListBullet"/>
        <w:spacing w:after="50" w:line="259" w:lineRule="auto"/>
      </w:pPr>
      <w:r>
        <w:rPr>
          <w:rFonts w:ascii="Aptos" w:hAnsi="Aptos" w:eastAsia="Aptos"/>
          <w:b w:val="0"/>
          <w:color w:val="202A33"/>
          <w:sz w:val="21"/>
        </w:rPr>
        <w:t>CAPITAL_OWNER es estricto por defecto; CONTRACTOR_DELIVERY y DIRECT_INTERNAL permanecen NOT_APPLICABLE salvo override explícito.</w:t>
      </w:r>
    </w:p>
    <w:p>
      <w:pPr>
        <w:pStyle w:val="ListBullet"/>
        <w:spacing w:after="50" w:line="259" w:lineRule="auto"/>
      </w:pPr>
      <w:r>
        <w:rPr>
          <w:rFonts w:ascii="Aptos" w:hAnsi="Aptos" w:eastAsia="Aptos"/>
          <w:b w:val="0"/>
          <w:color w:val="202A33"/>
          <w:sz w:val="21"/>
        </w:rPr>
        <w:t>USER ofrece diez vistas Five Case y ADMIN amplía la configuración existente, sin operar fuentes vivas ni contaminar modos.</w:t>
      </w:r>
    </w:p>
    <w:p>
      <w:pPr>
        <w:pStyle w:val="ListBullet"/>
        <w:spacing w:after="50" w:line="259" w:lineRule="auto"/>
      </w:pPr>
      <w:r>
        <w:rPr>
          <w:rFonts w:ascii="Aptos" w:hAnsi="Aptos" w:eastAsia="Aptos"/>
          <w:b w:val="0"/>
          <w:color w:val="202A33"/>
          <w:sz w:val="21"/>
        </w:rPr>
        <w:t>El localhost desplegado expone el contrato OpenAPI nuevo y reporta API, PostgreSQL y Redis saludables.</w:t>
      </w:r>
    </w:p>
    <w:p>
      <w:pPr>
        <w:spacing w:after="100" w:line="259" w:lineRule="auto"/>
      </w:pPr>
      <w:r>
        <w:rPr>
          <w:rFonts w:ascii="Aptos" w:hAnsi="Aptos" w:eastAsia="Aptos"/>
          <w:b w:val="0"/>
          <w:color w:val="202A33"/>
          <w:sz w:val="21"/>
        </w:rPr>
        <w:t>El cierre quedó validado con 273/273 pruebas frontend, la regresión estratégica backend completa del alcance (152/152 ejecutadas; 4 omisiones PostgreSQL-only esperadas) y el happy path transaccional Five Case en PostgreSQL 2/2. Se emiten las señales formales de release; la suite backend global del repositorio permanece fuera del alcance exigido por este incremento.</w:t>
      </w:r>
    </w:p>
    <w:p>
      <w:r>
        <w:br w:type="page"/>
      </w:r>
    </w:p>
    <w:p>
      <w:pPr>
        <w:pStyle w:val="Heading1"/>
        <w:keepNext/>
        <w:spacing w:before="160" w:after="80"/>
      </w:pPr>
      <w:r>
        <w:t>2. Baseline y REUSE BEFORE CREATE</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3427"/>
        <w:gridCol w:w="3427"/>
        <w:gridCol w:w="3427"/>
      </w:tblGrid>
      <w:tr>
        <w:trPr>
          <w:tblHeader/>
          <w:cantSplit/>
        </w:trPr>
        <w:tc>
          <w:tcPr>
            <w:tcW w:type="dxa" w:w="2376"/>
            <w:vAlign w:val="center"/>
            <w:shd w:fill="17324D"/>
            <w:tcMar>
              <w:top w:w="85" w:type="dxa"/>
              <w:start w:w="85" w:type="dxa"/>
              <w:bottom w:w="85" w:type="dxa"/>
              <w:end w:w="85" w:type="dxa"/>
            </w:tcMar>
          </w:tcPr>
          <w:p>
            <w:pPr>
              <w:spacing w:after="0"/>
            </w:pPr>
            <w:r>
              <w:rPr>
                <w:rFonts w:ascii="Aptos" w:hAnsi="Aptos" w:eastAsia="Aptos"/>
                <w:b/>
                <w:color w:val="FFFFFF"/>
                <w:sz w:val="16"/>
              </w:rPr>
              <w:t>Activo existente</w:t>
            </w:r>
          </w:p>
        </w:tc>
        <w:tc>
          <w:tcPr>
            <w:tcW w:type="dxa" w:w="4824"/>
            <w:vAlign w:val="center"/>
            <w:shd w:fill="17324D"/>
            <w:tcMar>
              <w:top w:w="85" w:type="dxa"/>
              <w:start w:w="85" w:type="dxa"/>
              <w:bottom w:w="85" w:type="dxa"/>
              <w:end w:w="85" w:type="dxa"/>
            </w:tcMar>
          </w:tcPr>
          <w:p>
            <w:pPr>
              <w:spacing w:after="0"/>
            </w:pPr>
            <w:r>
              <w:rPr>
                <w:rFonts w:ascii="Aptos" w:hAnsi="Aptos" w:eastAsia="Aptos"/>
                <w:b/>
                <w:color w:val="FFFFFF"/>
                <w:sz w:val="16"/>
              </w:rPr>
              <w:t>Decisión de reutilización</w:t>
            </w:r>
          </w:p>
        </w:tc>
        <w:tc>
          <w:tcPr>
            <w:tcW w:type="dxa" w:w="3384"/>
            <w:vAlign w:val="center"/>
            <w:shd w:fill="17324D"/>
            <w:tcMar>
              <w:top w:w="85" w:type="dxa"/>
              <w:start w:w="85" w:type="dxa"/>
              <w:bottom w:w="85" w:type="dxa"/>
              <w:end w:w="85" w:type="dxa"/>
            </w:tcMar>
          </w:tcPr>
          <w:p>
            <w:pPr>
              <w:spacing w:after="0"/>
            </w:pPr>
            <w:r>
              <w:rPr>
                <w:rFonts w:ascii="Aptos" w:hAnsi="Aptos" w:eastAsia="Aptos"/>
                <w:b/>
                <w:color w:val="FFFFFF"/>
                <w:sz w:val="16"/>
              </w:rPr>
              <w:t>Prueba</w:t>
            </w:r>
          </w:p>
        </w:tc>
      </w:tr>
      <w:tr>
        <w:trPr>
          <w:cantSplit/>
        </w:trPr>
        <w:tc>
          <w:tcPr>
            <w:tcW w:type="dxa" w:w="237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BusinessCase</w:t>
            </w:r>
          </w:p>
        </w:tc>
        <w:tc>
          <w:tcPr>
            <w:tcW w:type="dxa" w:w="482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Se conserva como identidad longitudinal por Project Workspace</w:t>
            </w:r>
          </w:p>
        </w:tc>
        <w:tc>
          <w:tcPr>
            <w:tcW w:type="dxa" w:w="338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No se creó aggregate Five Case</w:t>
            </w:r>
          </w:p>
        </w:tc>
      </w:tr>
      <w:tr>
        <w:trPr>
          <w:cantSplit/>
        </w:trPr>
        <w:tc>
          <w:tcPr>
            <w:tcW w:type="dxa" w:w="237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BusinessCaseRevision</w:t>
            </w:r>
          </w:p>
        </w:tc>
        <w:tc>
          <w:tcPr>
            <w:tcW w:type="dxa" w:w="482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Contiene narrativa y bundle congelado; proyecta Five Case de forma aditiva</w:t>
            </w:r>
          </w:p>
        </w:tc>
        <w:tc>
          <w:tcPr>
            <w:tcW w:type="dxa" w:w="338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Contrato API enriquecido</w:t>
            </w:r>
          </w:p>
        </w:tc>
      </w:tr>
      <w:tr>
        <w:trPr>
          <w:cantSplit/>
        </w:trPr>
        <w:tc>
          <w:tcPr>
            <w:tcW w:type="dxa" w:w="237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BusinessCaseDecisionSnapshot</w:t>
            </w:r>
          </w:p>
        </w:tc>
        <w:tc>
          <w:tcPr>
            <w:tcW w:type="dxa" w:w="482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Conserva contenido, Cases, readiness y hashes al momento de decisión</w:t>
            </w:r>
          </w:p>
        </w:tc>
        <w:tc>
          <w:tcPr>
            <w:tcW w:type="dxa" w:w="338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Append-only</w:t>
            </w:r>
          </w:p>
        </w:tc>
      </w:tr>
      <w:tr>
        <w:trPr>
          <w:cantSplit/>
        </w:trPr>
        <w:tc>
          <w:tcPr>
            <w:tcW w:type="dxa" w:w="237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BUSINESS_CASE_READINESS_PROVIDER</w:t>
            </w:r>
          </w:p>
        </w:tc>
        <w:tc>
          <w:tcPr>
            <w:tcW w:type="dxa" w:w="482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Se reutiliza y amplía sin cambiar provider_key/evidence_type</w:t>
            </w:r>
          </w:p>
        </w:tc>
        <w:tc>
          <w:tcPr>
            <w:tcW w:type="dxa" w:w="338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Compatibilidad v1</w:t>
            </w:r>
          </w:p>
        </w:tc>
      </w:tr>
      <w:tr>
        <w:trPr>
          <w:cantSplit/>
        </w:trPr>
        <w:tc>
          <w:tcPr>
            <w:tcW w:type="dxa" w:w="237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AdminConfiguration</w:t>
            </w:r>
          </w:p>
        </w:tc>
        <w:tc>
          <w:tcPr>
            <w:tcW w:type="dxa" w:w="482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Congela la política efectiva dentro de la revisión</w:t>
            </w:r>
          </w:p>
        </w:tc>
        <w:tc>
          <w:tcPr>
            <w:tcW w:type="dxa" w:w="338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Preview persisted=false</w:t>
            </w:r>
          </w:p>
        </w:tc>
      </w:tr>
      <w:tr>
        <w:trPr>
          <w:cantSplit/>
        </w:trPr>
        <w:tc>
          <w:tcPr>
            <w:tcW w:type="dxa" w:w="237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Navigation blueprint</w:t>
            </w:r>
          </w:p>
        </w:tc>
        <w:tc>
          <w:tcPr>
            <w:tcW w:type="dxa" w:w="482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Sigue siendo fuente canónica para USER/ADMIN</w:t>
            </w:r>
          </w:p>
        </w:tc>
        <w:tc>
          <w:tcPr>
            <w:tcW w:type="dxa" w:w="338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App.tsx no se expandió</w:t>
            </w:r>
          </w:p>
        </w:tc>
      </w:tr>
    </w:tbl>
    <w:p>
      <w:pPr>
        <w:spacing w:after="20"/>
      </w:pPr>
    </w:p>
    <w:p>
      <w:pPr>
        <w:spacing w:after="100" w:line="259" w:lineRule="auto"/>
      </w:pPr>
      <w:r>
        <w:rPr>
          <w:rFonts w:ascii="Aptos" w:hAnsi="Aptos" w:eastAsia="Aptos"/>
          <w:b w:val="0"/>
          <w:color w:val="202A33"/>
          <w:sz w:val="21"/>
        </w:rPr>
        <w:t>La evaluación real del repositorio confirmó Alembic 0061 como head único. Como la estructura Five Case se deriva de JSON versionado ya existente, no se añadió 0062. El ADR 67 documenta esta decisión y su frontera histórica.</w:t>
      </w:r>
    </w:p>
    <w:p>
      <w:pPr>
        <w:pStyle w:val="Heading1"/>
        <w:keepNext/>
        <w:spacing w:before="160" w:after="80"/>
      </w:pPr>
      <w:r>
        <w:t>3. Arquitectura y persistencia</w:t>
      </w:r>
    </w:p>
    <w:p>
      <w:pPr>
        <w:pStyle w:val="Heading2"/>
        <w:keepNext/>
        <w:spacing w:before="120" w:after="80"/>
      </w:pPr>
      <w:r>
        <w:t>3.1 Contrato aditivo</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5141"/>
        <w:gridCol w:w="5141"/>
      </w:tblGrid>
      <w:tr>
        <w:trPr>
          <w:tblHeader/>
          <w:cantSplit/>
        </w:trPr>
        <w:tc>
          <w:tcPr>
            <w:tcW w:type="dxa" w:w="3384"/>
            <w:vAlign w:val="center"/>
            <w:shd w:fill="17324D"/>
            <w:tcMar>
              <w:top w:w="85" w:type="dxa"/>
              <w:start w:w="85" w:type="dxa"/>
              <w:bottom w:w="85" w:type="dxa"/>
              <w:end w:w="85" w:type="dxa"/>
            </w:tcMar>
          </w:tcPr>
          <w:p>
            <w:pPr>
              <w:spacing w:after="0"/>
            </w:pPr>
            <w:r>
              <w:rPr>
                <w:rFonts w:ascii="Aptos" w:hAnsi="Aptos" w:eastAsia="Aptos"/>
                <w:b/>
                <w:color w:val="FFFFFF"/>
                <w:sz w:val="16"/>
              </w:rPr>
              <w:t>Campo de salida</w:t>
            </w:r>
          </w:p>
        </w:tc>
        <w:tc>
          <w:tcPr>
            <w:tcW w:type="dxa" w:w="7200"/>
            <w:vAlign w:val="center"/>
            <w:shd w:fill="17324D"/>
            <w:tcMar>
              <w:top w:w="85" w:type="dxa"/>
              <w:start w:w="85" w:type="dxa"/>
              <w:bottom w:w="85" w:type="dxa"/>
              <w:end w:w="85" w:type="dxa"/>
            </w:tcMar>
          </w:tcPr>
          <w:p>
            <w:pPr>
              <w:spacing w:after="0"/>
            </w:pPr>
            <w:r>
              <w:rPr>
                <w:rFonts w:ascii="Aptos" w:hAnsi="Aptos" w:eastAsia="Aptos"/>
                <w:b/>
                <w:color w:val="FFFFFF"/>
                <w:sz w:val="16"/>
              </w:rPr>
              <w:t>Semántica</w:t>
            </w:r>
          </w:p>
        </w:tc>
      </w:tr>
      <w:tr>
        <w:trPr>
          <w:cantSplit/>
        </w:trPr>
        <w:tc>
          <w:tcPr>
            <w:tcW w:type="dxa" w:w="338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five_case_json</w:t>
            </w:r>
          </w:p>
        </w:tc>
        <w:tc>
          <w:tcPr>
            <w:tcW w:type="dxa" w:w="7200"/>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Cinco Cases, preguntas, resumen, findings, supuestos, fuentes, warnings, blockers y conclusión</w:t>
            </w:r>
          </w:p>
        </w:tc>
      </w:tr>
      <w:tr>
        <w:trPr>
          <w:cantSplit/>
        </w:trPr>
        <w:tc>
          <w:tcPr>
            <w:tcW w:type="dxa" w:w="338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five_case_readiness_json</w:t>
            </w:r>
          </w:p>
        </w:tc>
        <w:tc>
          <w:tcPr>
            <w:tcW w:type="dxa" w:w="7200"/>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Readiness backend-owned por Case y overall</w:t>
            </w:r>
          </w:p>
        </w:tc>
      </w:tr>
      <w:tr>
        <w:trPr>
          <w:cantSplit/>
        </w:trPr>
        <w:tc>
          <w:tcPr>
            <w:tcW w:type="dxa" w:w="338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source_evidence_matrix_json</w:t>
            </w:r>
          </w:p>
        </w:tc>
        <w:tc>
          <w:tcPr>
            <w:tcW w:type="dxa" w:w="7200"/>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Matriz read-only con autoridad, versión, hash, vigencia, as-of y blocking</w:t>
            </w:r>
          </w:p>
        </w:tc>
      </w:tr>
      <w:tr>
        <w:trPr>
          <w:cantSplit/>
        </w:trPr>
        <w:tc>
          <w:tcPr>
            <w:tcW w:type="dxa" w:w="338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gate_context_json</w:t>
            </w:r>
          </w:p>
        </w:tc>
        <w:tc>
          <w:tcPr>
            <w:tcW w:type="dxa" w:w="7200"/>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Project type, Governance Model, Gate Profile, FEL/policy stage y revision purpose</w:t>
            </w:r>
          </w:p>
        </w:tc>
      </w:tr>
      <w:tr>
        <w:trPr>
          <w:cantSplit/>
        </w:trPr>
        <w:tc>
          <w:tcPr>
            <w:tcW w:type="dxa" w:w="338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source_current</w:t>
            </w:r>
          </w:p>
        </w:tc>
        <w:tc>
          <w:tcPr>
            <w:tcW w:type="dxa" w:w="7200"/>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Vigencia agregada del bundle congelado</w:t>
            </w:r>
          </w:p>
        </w:tc>
      </w:tr>
      <w:tr>
        <w:trPr>
          <w:cantSplit/>
        </w:trPr>
        <w:tc>
          <w:tcPr>
            <w:tcW w:type="dxa" w:w="338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five_case_hash / source_bundle_hash</w:t>
            </w:r>
          </w:p>
        </w:tc>
        <w:tc>
          <w:tcPr>
            <w:tcW w:type="dxa" w:w="7200"/>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Firmas deterministas de estructura Five Case y evidencia fuente</w:t>
            </w:r>
          </w:p>
        </w:tc>
      </w:tr>
      <w:tr>
        <w:trPr>
          <w:cantSplit/>
        </w:trPr>
        <w:tc>
          <w:tcPr>
            <w:tcW w:type="dxa" w:w="338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business_case_hash</w:t>
            </w:r>
          </w:p>
        </w:tc>
        <w:tc>
          <w:tcPr>
            <w:tcW w:type="dxa" w:w="7200"/>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Composición semántica de contenido, Five Case, fuentes y configuración</w:t>
            </w:r>
          </w:p>
        </w:tc>
      </w:tr>
      <w:tr>
        <w:trPr>
          <w:cantSplit/>
        </w:trPr>
        <w:tc>
          <w:tcPr>
            <w:tcW w:type="dxa" w:w="338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legacy_layout</w:t>
            </w:r>
          </w:p>
        </w:tc>
        <w:tc>
          <w:tcPr>
            <w:tcW w:type="dxa" w:w="7200"/>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Indica una revisión previa al marker, sin reinterpretación retrospectiva</w:t>
            </w:r>
          </w:p>
        </w:tc>
      </w:tr>
    </w:tbl>
    <w:p>
      <w:pPr>
        <w:spacing w:after="20"/>
      </w:pPr>
    </w:p>
    <w:p>
      <w:pPr>
        <w:pStyle w:val="Heading2"/>
        <w:keepNext/>
        <w:spacing w:before="120" w:after="80"/>
      </w:pPr>
      <w:r>
        <w:t>3.2 Marker congelado</w:t>
      </w:r>
    </w:p>
    <w:p>
      <w:pPr>
        <w:spacing w:after="100" w:line="259" w:lineRule="auto"/>
      </w:pPr>
      <w:r>
        <w:rPr>
          <w:rFonts w:ascii="Aptos" w:hAnsi="Aptos" w:eastAsia="Aptos"/>
          <w:b w:val="0"/>
          <w:color w:val="202A33"/>
          <w:sz w:val="21"/>
        </w:rPr>
        <w:t>El marker _five_case se persiste dentro de source_references_json. Contiene schema_version, integration_layer, source_authority_preserved, configuration_id/hash, política efectiva y contexto Gate/FEL. No se incluye como evidencia externa ni participa como clave de staleness.</w:t>
      </w:r>
    </w:p>
    <w:p>
      <w:pPr>
        <w:pStyle w:val="Heading2"/>
        <w:keepNext/>
        <w:spacing w:before="120" w:after="80"/>
      </w:pPr>
      <w:r>
        <w:t>3.3 Inmutabilidad y hashes</w:t>
      </w:r>
    </w:p>
    <w:p>
      <w:pPr>
        <w:pStyle w:val="ListBullet"/>
        <w:spacing w:after="50" w:line="259" w:lineRule="auto"/>
      </w:pPr>
      <w:r>
        <w:rPr>
          <w:rFonts w:ascii="Aptos" w:hAnsi="Aptos" w:eastAsia="Aptos"/>
          <w:b w:val="0"/>
          <w:color w:val="202A33"/>
          <w:sz w:val="21"/>
        </w:rPr>
        <w:t>Las lecturas históricas usan exclusivamente revision.source_references_json y revision.source_hashes_json.</w:t>
      </w:r>
    </w:p>
    <w:p>
      <w:pPr>
        <w:pStyle w:val="ListBullet"/>
        <w:spacing w:after="50" w:line="259" w:lineRule="auto"/>
      </w:pPr>
      <w:r>
        <w:rPr>
          <w:rFonts w:ascii="Aptos" w:hAnsi="Aptos" w:eastAsia="Aptos"/>
          <w:b w:val="0"/>
          <w:color w:val="202A33"/>
          <w:sz w:val="21"/>
        </w:rPr>
        <w:t>La consulta de fuentes actuales se limita a readiness, staleness y Refresh Preview/Apply.</w:t>
      </w:r>
    </w:p>
    <w:p>
      <w:pPr>
        <w:pStyle w:val="ListBullet"/>
        <w:spacing w:after="50" w:line="259" w:lineRule="auto"/>
      </w:pPr>
      <w:r>
        <w:rPr>
          <w:rFonts w:ascii="Aptos" w:hAnsi="Aptos" w:eastAsia="Aptos"/>
          <w:b w:val="0"/>
          <w:color w:val="202A33"/>
          <w:sz w:val="21"/>
        </w:rPr>
        <w:t>COMPLETED no se edita; Refresh Apply crea una nueva DRAFT con If-Match e idempotency key.</w:t>
      </w:r>
    </w:p>
    <w:p>
      <w:pPr>
        <w:pStyle w:val="ListBullet"/>
        <w:spacing w:after="50" w:line="259" w:lineRule="auto"/>
      </w:pPr>
      <w:r>
        <w:rPr>
          <w:rFonts w:ascii="Aptos" w:hAnsi="Aptos" w:eastAsia="Aptos"/>
          <w:b w:val="0"/>
          <w:color w:val="202A33"/>
          <w:sz w:val="21"/>
        </w:rPr>
        <w:t>Snapshot requiere revisión COMPLETED e incluye Five Case, evidence matrix, gate context y hashes.</w:t>
      </w:r>
    </w:p>
    <w:p>
      <w:r>
        <w:br w:type="page"/>
      </w:r>
    </w:p>
    <w:p>
      <w:pPr>
        <w:pStyle w:val="Heading1"/>
        <w:keepNext/>
        <w:spacing w:before="160" w:after="80"/>
      </w:pPr>
      <w:r>
        <w:t>4. Mapeo Five Case y autoridad de dominio</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2570"/>
        <w:gridCol w:w="2570"/>
        <w:gridCol w:w="2570"/>
        <w:gridCol w:w="2570"/>
      </w:tblGrid>
      <w:tr>
        <w:trPr>
          <w:tblHeader/>
          <w:cantSplit/>
        </w:trPr>
        <w:tc>
          <w:tcPr>
            <w:tcW w:type="dxa" w:w="1152"/>
            <w:vAlign w:val="center"/>
            <w:shd w:fill="17324D"/>
            <w:tcMar>
              <w:top w:w="85" w:type="dxa"/>
              <w:start w:w="85" w:type="dxa"/>
              <w:bottom w:w="85" w:type="dxa"/>
              <w:end w:w="85" w:type="dxa"/>
            </w:tcMar>
          </w:tcPr>
          <w:p>
            <w:pPr>
              <w:spacing w:after="0"/>
            </w:pPr>
            <w:r>
              <w:rPr>
                <w:rFonts w:ascii="Aptos" w:hAnsi="Aptos" w:eastAsia="Aptos"/>
                <w:b/>
                <w:color w:val="FFFFFF"/>
                <w:sz w:val="16"/>
              </w:rPr>
              <w:t>Case</w:t>
            </w:r>
          </w:p>
        </w:tc>
        <w:tc>
          <w:tcPr>
            <w:tcW w:type="dxa" w:w="3024"/>
            <w:vAlign w:val="center"/>
            <w:shd w:fill="17324D"/>
            <w:tcMar>
              <w:top w:w="85" w:type="dxa"/>
              <w:start w:w="85" w:type="dxa"/>
              <w:bottom w:w="85" w:type="dxa"/>
              <w:end w:w="85" w:type="dxa"/>
            </w:tcMar>
          </w:tcPr>
          <w:p>
            <w:pPr>
              <w:spacing w:after="0"/>
            </w:pPr>
            <w:r>
              <w:rPr>
                <w:rFonts w:ascii="Aptos" w:hAnsi="Aptos" w:eastAsia="Aptos"/>
                <w:b/>
                <w:color w:val="FFFFFF"/>
                <w:sz w:val="16"/>
              </w:rPr>
              <w:t>Pregunta</w:t>
            </w:r>
          </w:p>
        </w:tc>
        <w:tc>
          <w:tcPr>
            <w:tcW w:type="dxa" w:w="3384"/>
            <w:vAlign w:val="center"/>
            <w:shd w:fill="17324D"/>
            <w:tcMar>
              <w:top w:w="85" w:type="dxa"/>
              <w:start w:w="85" w:type="dxa"/>
              <w:bottom w:w="85" w:type="dxa"/>
              <w:end w:w="85" w:type="dxa"/>
            </w:tcMar>
          </w:tcPr>
          <w:p>
            <w:pPr>
              <w:spacing w:after="0"/>
            </w:pPr>
            <w:r>
              <w:rPr>
                <w:rFonts w:ascii="Aptos" w:hAnsi="Aptos" w:eastAsia="Aptos"/>
                <w:b/>
                <w:color w:val="FFFFFF"/>
                <w:sz w:val="16"/>
              </w:rPr>
              <w:t>Fuentes gobernadas</w:t>
            </w:r>
          </w:p>
        </w:tc>
        <w:tc>
          <w:tcPr>
            <w:tcW w:type="dxa" w:w="3024"/>
            <w:vAlign w:val="center"/>
            <w:shd w:fill="17324D"/>
            <w:tcMar>
              <w:top w:w="85" w:type="dxa"/>
              <w:start w:w="85" w:type="dxa"/>
              <w:bottom w:w="85" w:type="dxa"/>
              <w:end w:w="85" w:type="dxa"/>
            </w:tcMar>
          </w:tcPr>
          <w:p>
            <w:pPr>
              <w:spacing w:after="0"/>
            </w:pPr>
            <w:r>
              <w:rPr>
                <w:rFonts w:ascii="Aptos" w:hAnsi="Aptos" w:eastAsia="Aptos"/>
                <w:b/>
                <w:color w:val="FFFFFF"/>
                <w:sz w:val="16"/>
              </w:rPr>
              <w:t>Autoridad preservada</w:t>
            </w:r>
          </w:p>
        </w:tc>
      </w:tr>
      <w:tr>
        <w:trPr>
          <w:cantSplit/>
        </w:trPr>
        <w:tc>
          <w:tcPr>
            <w:tcW w:type="dxa" w:w="1152"/>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Strategic</w:t>
            </w:r>
          </w:p>
        </w:tc>
        <w:tc>
          <w:tcPr>
            <w:tcW w:type="dxa" w:w="302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¿Por qué intervenir y cómo se alinea?</w:t>
            </w:r>
          </w:p>
        </w:tc>
        <w:tc>
          <w:tcPr>
            <w:tcW w:type="dxa" w:w="338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Idea, BA, Proposal, Benefits</w:t>
            </w:r>
          </w:p>
        </w:tc>
        <w:tc>
          <w:tcPr>
            <w:tcW w:type="dxa" w:w="302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Estrategia/BA/Benefits</w:t>
            </w:r>
          </w:p>
        </w:tc>
      </w:tr>
      <w:tr>
        <w:trPr>
          <w:cantSplit/>
        </w:trPr>
        <w:tc>
          <w:tcPr>
            <w:tcW w:type="dxa" w:w="1152"/>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Economic</w:t>
            </w:r>
          </w:p>
        </w:tc>
        <w:tc>
          <w:tcPr>
            <w:tcW w:type="dxa" w:w="302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¿Qué opción genera mayor valor total?</w:t>
            </w:r>
          </w:p>
        </w:tc>
        <w:tc>
          <w:tcPr>
            <w:tcW w:type="dxa" w:w="338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BA, Proposal, Benefits, FIN, Risk</w:t>
            </w:r>
          </w:p>
        </w:tc>
        <w:tc>
          <w:tcPr>
            <w:tcW w:type="dxa" w:w="302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BA y FIN</w:t>
            </w:r>
          </w:p>
        </w:tc>
      </w:tr>
      <w:tr>
        <w:trPr>
          <w:cantSplit/>
        </w:trPr>
        <w:tc>
          <w:tcPr>
            <w:tcW w:type="dxa" w:w="1152"/>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Commercial</w:t>
            </w:r>
          </w:p>
        </w:tc>
        <w:tc>
          <w:tcPr>
            <w:tcW w:type="dxa" w:w="302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¿Puede contratarse y estructurarse?</w:t>
            </w:r>
          </w:p>
        </w:tc>
        <w:tc>
          <w:tcPr>
            <w:tcW w:type="dxa" w:w="338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Commercial Strategy</w:t>
            </w:r>
          </w:p>
        </w:tc>
        <w:tc>
          <w:tcPr>
            <w:tcW w:type="dxa" w:w="302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Commercial &amp; Contracting</w:t>
            </w:r>
          </w:p>
        </w:tc>
      </w:tr>
      <w:tr>
        <w:trPr>
          <w:cantSplit/>
        </w:trPr>
        <w:tc>
          <w:tcPr>
            <w:tcW w:type="dxa" w:w="1152"/>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Financial</w:t>
            </w:r>
          </w:p>
        </w:tc>
        <w:tc>
          <w:tcPr>
            <w:tcW w:type="dxa" w:w="302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¿Puede costearse y financiarse?</w:t>
            </w:r>
          </w:p>
        </w:tc>
        <w:tc>
          <w:tcPr>
            <w:tcW w:type="dxa" w:w="338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Budget, Funding, FIN, Benefits</w:t>
            </w:r>
          </w:p>
        </w:tc>
        <w:tc>
          <w:tcPr>
            <w:tcW w:type="dxa" w:w="302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Budget/Funds/FIN</w:t>
            </w:r>
          </w:p>
        </w:tc>
      </w:tr>
      <w:tr>
        <w:trPr>
          <w:cantSplit/>
        </w:trPr>
        <w:tc>
          <w:tcPr>
            <w:tcW w:type="dxa" w:w="1152"/>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Management</w:t>
            </w:r>
          </w:p>
        </w:tc>
        <w:tc>
          <w:tcPr>
            <w:tcW w:type="dxa" w:w="302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¿Puede entregarse y gobernarse?</w:t>
            </w:r>
          </w:p>
        </w:tc>
        <w:tc>
          <w:tcPr>
            <w:tcW w:type="dxa" w:w="338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FEL, Resources, Risk, Permit, Benefits, Commercial</w:t>
            </w:r>
          </w:p>
        </w:tc>
        <w:tc>
          <w:tcPr>
            <w:tcW w:type="dxa" w:w="302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Cada provider fuente</w:t>
            </w:r>
          </w:p>
        </w:tc>
      </w:tr>
    </w:tbl>
    <w:p>
      <w:pPr>
        <w:spacing w:after="20"/>
      </w:pPr>
    </w:p>
    <w:p>
      <w:pPr>
        <w:pStyle w:val="Heading2"/>
        <w:keepNext/>
        <w:spacing w:before="120" w:after="80"/>
      </w:pPr>
      <w:r>
        <w:t>4.1 Reglas de integración</w:t>
      </w:r>
    </w:p>
    <w:p>
      <w:pPr>
        <w:pStyle w:val="ListBullet"/>
        <w:spacing w:after="50" w:line="259" w:lineRule="auto"/>
      </w:pPr>
      <w:r>
        <w:rPr>
          <w:rFonts w:ascii="Aptos" w:hAnsi="Aptos" w:eastAsia="Aptos"/>
          <w:b w:val="0"/>
          <w:color w:val="202A33"/>
          <w:sz w:val="21"/>
        </w:rPr>
        <w:t>Business Analysis se resuelve por ProjectProposal.source_business_analysis_id/hash; nunca por coincidencia débil de Idea.</w:t>
      </w:r>
    </w:p>
    <w:p>
      <w:pPr>
        <w:pStyle w:val="ListBullet"/>
        <w:spacing w:after="50" w:line="259" w:lineRule="auto"/>
      </w:pPr>
      <w:r>
        <w:rPr>
          <w:rFonts w:ascii="Aptos" w:hAnsi="Aptos" w:eastAsia="Aptos"/>
          <w:b w:val="0"/>
          <w:color w:val="202A33"/>
          <w:sz w:val="21"/>
        </w:rPr>
        <w:t>La opción recomendada debe coincidir entre el contenido BA y el snapshot del Proposal; divergencia implica source_current=false.</w:t>
      </w:r>
    </w:p>
    <w:p>
      <w:pPr>
        <w:pStyle w:val="ListBullet"/>
        <w:spacing w:after="50" w:line="259" w:lineRule="auto"/>
      </w:pPr>
      <w:r>
        <w:rPr>
          <w:rFonts w:ascii="Aptos" w:hAnsi="Aptos" w:eastAsia="Aptos"/>
          <w:b w:val="0"/>
          <w:color w:val="202A33"/>
          <w:sz w:val="21"/>
        </w:rPr>
        <w:t>Benefits y Commercial se consumen desde sus versiones actuales gobernadas, con readiness, warnings, blockers y hash.</w:t>
      </w:r>
    </w:p>
    <w:p>
      <w:pPr>
        <w:pStyle w:val="ListBullet"/>
        <w:spacing w:after="50" w:line="259" w:lineRule="auto"/>
      </w:pPr>
      <w:r>
        <w:rPr>
          <w:rFonts w:ascii="Aptos" w:hAnsi="Aptos" w:eastAsia="Aptos"/>
          <w:b w:val="0"/>
          <w:color w:val="202A33"/>
          <w:sz w:val="21"/>
        </w:rPr>
        <w:t>FIN sigue siendo autoridad para NPV, IRR, BCR, WACC, DSCR, LLCR, MOIC y Payback; Business Case no recalcula métricas.</w:t>
      </w:r>
    </w:p>
    <w:p>
      <w:pPr>
        <w:pStyle w:val="ListBullet"/>
        <w:spacing w:after="50" w:line="259" w:lineRule="auto"/>
      </w:pPr>
      <w:r>
        <w:rPr>
          <w:rFonts w:ascii="Aptos" w:hAnsi="Aptos" w:eastAsia="Aptos"/>
          <w:b w:val="0"/>
          <w:color w:val="202A33"/>
          <w:sz w:val="21"/>
        </w:rPr>
        <w:t>Budget/Resource usan escenarios congelados; Funding, Risk y Permit conservan sus contratos de readiness y validez.</w:t>
      </w:r>
    </w:p>
    <w:p>
      <w:pPr>
        <w:pStyle w:val="ListBullet"/>
        <w:spacing w:after="50" w:line="259" w:lineRule="auto"/>
      </w:pPr>
      <w:r>
        <w:rPr>
          <w:rFonts w:ascii="Aptos" w:hAnsi="Aptos" w:eastAsia="Aptos"/>
          <w:b w:val="0"/>
          <w:color w:val="202A33"/>
          <w:sz w:val="21"/>
        </w:rPr>
        <w:t>QRA/Confidence, Basic Data y Owner Capability son futuras fuentes explícitas NOT_AVAILABLE, no providers fabricados.</w:t>
      </w:r>
    </w:p>
    <w:p>
      <w:pPr>
        <w:pStyle w:val="Heading1"/>
        <w:keepNext/>
        <w:spacing w:before="160" w:after="80"/>
      </w:pPr>
      <w:r>
        <w:t>5. Readiness y madurez progresiva</w:t>
      </w:r>
    </w:p>
    <w:p>
      <w:pPr>
        <w:spacing w:after="100" w:line="259" w:lineRule="auto"/>
      </w:pPr>
      <w:r>
        <w:rPr>
          <w:rFonts w:ascii="Aptos" w:hAnsi="Aptos" w:eastAsia="Aptos"/>
          <w:b w:val="0"/>
          <w:color w:val="202A33"/>
          <w:sz w:val="21"/>
        </w:rPr>
        <w:t>Los estados cerrados son NOT_STARTED, IN_PROGRESS, READY, BLOCKED, STALE y NOT_APPLICABLE. El backend compone cada Case desde las fuentes requeridas por la política efectiva; el frontend solo presenta el resultado.</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5141"/>
        <w:gridCol w:w="5141"/>
      </w:tblGrid>
      <w:tr>
        <w:trPr>
          <w:tblHeader/>
          <w:cantSplit/>
        </w:trPr>
        <w:tc>
          <w:tcPr>
            <w:tcW w:type="dxa" w:w="2232"/>
            <w:vAlign w:val="center"/>
            <w:shd w:fill="17324D"/>
            <w:tcMar>
              <w:top w:w="85" w:type="dxa"/>
              <w:start w:w="85" w:type="dxa"/>
              <w:bottom w:w="85" w:type="dxa"/>
              <w:end w:w="85" w:type="dxa"/>
            </w:tcMar>
          </w:tcPr>
          <w:p>
            <w:pPr>
              <w:spacing w:after="0"/>
            </w:pPr>
            <w:r>
              <w:rPr>
                <w:rFonts w:ascii="Aptos" w:hAnsi="Aptos" w:eastAsia="Aptos"/>
                <w:b/>
                <w:color w:val="FFFFFF"/>
                <w:sz w:val="16"/>
              </w:rPr>
              <w:t>Etapa</w:t>
            </w:r>
          </w:p>
        </w:tc>
        <w:tc>
          <w:tcPr>
            <w:tcW w:type="dxa" w:w="8352"/>
            <w:vAlign w:val="center"/>
            <w:shd w:fill="17324D"/>
            <w:tcMar>
              <w:top w:w="85" w:type="dxa"/>
              <w:start w:w="85" w:type="dxa"/>
              <w:bottom w:w="85" w:type="dxa"/>
              <w:end w:w="85" w:type="dxa"/>
            </w:tcMar>
          </w:tcPr>
          <w:p>
            <w:pPr>
              <w:spacing w:after="0"/>
            </w:pPr>
            <w:r>
              <w:rPr>
                <w:rFonts w:ascii="Aptos" w:hAnsi="Aptos" w:eastAsia="Aptos"/>
                <w:b/>
                <w:color w:val="FFFFFF"/>
                <w:sz w:val="16"/>
              </w:rPr>
              <w:t>Cases requeridos por defecto</w:t>
            </w:r>
          </w:p>
        </w:tc>
      </w:tr>
      <w:tr>
        <w:trPr>
          <w:cantSplit/>
        </w:trPr>
        <w:tc>
          <w:tcPr>
            <w:tcW w:type="dxa" w:w="2232"/>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FEL-1</w:t>
            </w:r>
          </w:p>
        </w:tc>
        <w:tc>
          <w:tcPr>
            <w:tcW w:type="dxa" w:w="8352"/>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Strategic</w:t>
            </w:r>
          </w:p>
        </w:tc>
      </w:tr>
      <w:tr>
        <w:trPr>
          <w:cantSplit/>
        </w:trPr>
        <w:tc>
          <w:tcPr>
            <w:tcW w:type="dxa" w:w="2232"/>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FEL-2</w:t>
            </w:r>
          </w:p>
        </w:tc>
        <w:tc>
          <w:tcPr>
            <w:tcW w:type="dxa" w:w="8352"/>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Strategic, Economic, Commercial y Management</w:t>
            </w:r>
          </w:p>
        </w:tc>
      </w:tr>
      <w:tr>
        <w:trPr>
          <w:cantSplit/>
        </w:trPr>
        <w:tc>
          <w:tcPr>
            <w:tcW w:type="dxa" w:w="2232"/>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Investment Selection</w:t>
            </w:r>
          </w:p>
        </w:tc>
        <w:tc>
          <w:tcPr>
            <w:tcW w:type="dxa" w:w="8352"/>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Strategic, Economic, Commercial y Management</w:t>
            </w:r>
          </w:p>
        </w:tc>
      </w:tr>
      <w:tr>
        <w:trPr>
          <w:cantSplit/>
        </w:trPr>
        <w:tc>
          <w:tcPr>
            <w:tcW w:type="dxa" w:w="2232"/>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FEL-3</w:t>
            </w:r>
          </w:p>
        </w:tc>
        <w:tc>
          <w:tcPr>
            <w:tcW w:type="dxa" w:w="8352"/>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Los cinco Cases</w:t>
            </w:r>
          </w:p>
        </w:tc>
      </w:tr>
      <w:tr>
        <w:trPr>
          <w:cantSplit/>
        </w:trPr>
        <w:tc>
          <w:tcPr>
            <w:tcW w:type="dxa" w:w="2232"/>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FFA</w:t>
            </w:r>
          </w:p>
        </w:tc>
        <w:tc>
          <w:tcPr>
            <w:tcW w:type="dxa" w:w="8352"/>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Los cinco Cases; Funding requerido para Financial</w:t>
            </w:r>
          </w:p>
        </w:tc>
      </w:tr>
    </w:tbl>
    <w:p>
      <w:pPr>
        <w:spacing w:after="20"/>
      </w:pPr>
    </w:p>
    <w:p>
      <w:pPr>
        <w:spacing w:after="100" w:line="259" w:lineRule="auto"/>
      </w:pPr>
      <w:r>
        <w:rPr>
          <w:rFonts w:ascii="Aptos" w:hAnsi="Aptos" w:eastAsia="Aptos"/>
          <w:b w:val="0"/>
          <w:color w:val="202A33"/>
          <w:sz w:val="21"/>
        </w:rPr>
        <w:t>Para Cases requeridos, STALE domina; luego BLOCKED; todos READY producen READY. Cases no requeridos maduran como IN_PROGRESS o NOT_STARTED. En modelos no habilitados, Cases y overall son NOT_APPLICABLE. Tailoring y overrides quedan congelados en la revisión.</w:t>
      </w:r>
    </w:p>
    <w:p>
      <w:r>
        <w:br w:type="page"/>
      </w:r>
    </w:p>
    <w:p>
      <w:pPr>
        <w:pStyle w:val="Heading1"/>
        <w:keepNext/>
        <w:spacing w:before="160" w:after="80"/>
      </w:pPr>
      <w:r>
        <w:t>6. Refresh, staleness y recuperación</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5141"/>
        <w:gridCol w:w="5141"/>
      </w:tblGrid>
      <w:tr>
        <w:trPr>
          <w:tblHeader/>
          <w:cantSplit/>
        </w:trPr>
        <w:tc>
          <w:tcPr>
            <w:tcW w:type="dxa" w:w="2376"/>
            <w:vAlign w:val="center"/>
            <w:shd w:fill="17324D"/>
            <w:tcMar>
              <w:top w:w="85" w:type="dxa"/>
              <w:start w:w="85" w:type="dxa"/>
              <w:bottom w:w="85" w:type="dxa"/>
              <w:end w:w="85" w:type="dxa"/>
            </w:tcMar>
          </w:tcPr>
          <w:p>
            <w:pPr>
              <w:spacing w:after="0"/>
            </w:pPr>
            <w:r>
              <w:rPr>
                <w:rFonts w:ascii="Aptos" w:hAnsi="Aptos" w:eastAsia="Aptos"/>
                <w:b/>
                <w:color w:val="FFFFFF"/>
                <w:sz w:val="16"/>
              </w:rPr>
              <w:t>Operación</w:t>
            </w:r>
          </w:p>
        </w:tc>
        <w:tc>
          <w:tcPr>
            <w:tcW w:type="dxa" w:w="8208"/>
            <w:vAlign w:val="center"/>
            <w:shd w:fill="17324D"/>
            <w:tcMar>
              <w:top w:w="85" w:type="dxa"/>
              <w:start w:w="85" w:type="dxa"/>
              <w:bottom w:w="85" w:type="dxa"/>
              <w:end w:w="85" w:type="dxa"/>
            </w:tcMar>
          </w:tcPr>
          <w:p>
            <w:pPr>
              <w:spacing w:after="0"/>
            </w:pPr>
            <w:r>
              <w:rPr>
                <w:rFonts w:ascii="Aptos" w:hAnsi="Aptos" w:eastAsia="Aptos"/>
                <w:b/>
                <w:color w:val="FFFFFF"/>
                <w:sz w:val="16"/>
              </w:rPr>
              <w:t>Comportamiento gobernado</w:t>
            </w:r>
          </w:p>
        </w:tc>
      </w:tr>
      <w:tr>
        <w:trPr>
          <w:cantSplit/>
        </w:trPr>
        <w:tc>
          <w:tcPr>
            <w:tcW w:type="dxa" w:w="237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Refresh Preview</w:t>
            </w:r>
          </w:p>
        </w:tc>
        <w:tc>
          <w:tcPr>
            <w:tcW w:type="dxa" w:w="820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persisted=false; compara unión de claves y detecta ADDED, CHANGED y REMOVED</w:t>
            </w:r>
          </w:p>
        </w:tc>
      </w:tr>
      <w:tr>
        <w:trPr>
          <w:cantSplit/>
        </w:trPr>
        <w:tc>
          <w:tcPr>
            <w:tcW w:type="dxa" w:w="237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Delta</w:t>
            </w:r>
          </w:p>
        </w:tc>
        <w:tc>
          <w:tcPr>
            <w:tcW w:type="dxa" w:w="820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Agrupa cambios por Case y expone readiness, warnings, blockers y hashes antes/después</w:t>
            </w:r>
          </w:p>
        </w:tc>
      </w:tr>
      <w:tr>
        <w:trPr>
          <w:cantSplit/>
        </w:trPr>
        <w:tc>
          <w:tcPr>
            <w:tcW w:type="dxa" w:w="237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Material change</w:t>
            </w:r>
          </w:p>
        </w:tc>
        <w:tc>
          <w:tcPr>
            <w:tcW w:type="dxa" w:w="820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Recomienda MATERIAL_CHANGE_UPDATE cuando existen snapshots y cambian fuentes</w:t>
            </w:r>
          </w:p>
        </w:tc>
      </w:tr>
      <w:tr>
        <w:trPr>
          <w:cantSplit/>
        </w:trPr>
        <w:tc>
          <w:tcPr>
            <w:tcW w:type="dxa" w:w="237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Refresh Apply</w:t>
            </w:r>
          </w:p>
        </w:tc>
        <w:tc>
          <w:tcPr>
            <w:tcW w:type="dxa" w:w="820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Exige If-Match e idempotencia; crea revisión sucesora DRAFT</w:t>
            </w:r>
          </w:p>
        </w:tc>
      </w:tr>
      <w:tr>
        <w:trPr>
          <w:cantSplit/>
        </w:trPr>
        <w:tc>
          <w:tcPr>
            <w:tcW w:type="dxa" w:w="237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Historical read</w:t>
            </w:r>
          </w:p>
        </w:tc>
        <w:tc>
          <w:tcPr>
            <w:tcW w:type="dxa" w:w="820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No consulta fuentes vivas ni reinterpreta política/contexto</w:t>
            </w:r>
          </w:p>
        </w:tc>
      </w:tr>
      <w:tr>
        <w:trPr>
          <w:cantSplit/>
        </w:trPr>
        <w:tc>
          <w:tcPr>
            <w:tcW w:type="dxa" w:w="237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Legacy</w:t>
            </w:r>
          </w:p>
        </w:tc>
        <w:tc>
          <w:tcPr>
            <w:tcW w:type="dxa" w:w="820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Entrega contrato v1 y legacy_layout=true sin Five Case inventado</w:t>
            </w:r>
          </w:p>
        </w:tc>
      </w:tr>
    </w:tbl>
    <w:p>
      <w:pPr>
        <w:spacing w:after="20"/>
      </w:pPr>
    </w:p>
    <w:p>
      <w:pPr>
        <w:spacing w:after="100" w:line="259" w:lineRule="auto"/>
      </w:pPr>
      <w:r>
        <w:rPr>
          <w:rFonts w:ascii="Aptos" w:hAnsi="Aptos" w:eastAsia="Aptos"/>
          <w:b w:val="0"/>
          <w:color w:val="202A33"/>
          <w:sz w:val="21"/>
        </w:rPr>
        <w:t>Los negativos focales cubren Benefits faltante/stale, Commercial bloqueado, FIN stale, FEL stale y Business Analysis mismatch. La evidence matrix representa una fuente ausente como NOT_AVAILABLE con ID/hash nulos y blocking=true.</w:t>
      </w:r>
    </w:p>
    <w:p>
      <w:pPr>
        <w:pStyle w:val="Heading1"/>
        <w:keepNext/>
        <w:spacing w:before="160" w:after="80"/>
      </w:pPr>
      <w:r>
        <w:t>7. Provider y frontera Gate07J</w:t>
      </w:r>
    </w:p>
    <w:p>
      <w:pPr>
        <w:pStyle w:val="ListBullet"/>
        <w:spacing w:after="50" w:line="259" w:lineRule="auto"/>
      </w:pPr>
      <w:r>
        <w:rPr>
          <w:rFonts w:ascii="Aptos" w:hAnsi="Aptos" w:eastAsia="Aptos"/>
          <w:b w:val="0"/>
          <w:color w:val="202A33"/>
          <w:sz w:val="21"/>
        </w:rPr>
        <w:t>provider_key: BUSINESS_CASE_READINESS_PROVIDER.</w:t>
      </w:r>
    </w:p>
    <w:p>
      <w:pPr>
        <w:pStyle w:val="ListBullet"/>
        <w:spacing w:after="50" w:line="259" w:lineRule="auto"/>
      </w:pPr>
      <w:r>
        <w:rPr>
          <w:rFonts w:ascii="Aptos" w:hAnsi="Aptos" w:eastAsia="Aptos"/>
          <w:b w:val="0"/>
          <w:color w:val="202A33"/>
          <w:sz w:val="21"/>
        </w:rPr>
        <w:t>evidence_type: BUSINESS_CASE_READINESS.</w:t>
      </w:r>
    </w:p>
    <w:p>
      <w:pPr>
        <w:pStyle w:val="ListBullet"/>
        <w:spacing w:after="50" w:line="259" w:lineRule="auto"/>
      </w:pPr>
      <w:r>
        <w:rPr>
          <w:rFonts w:ascii="Aptos" w:hAnsi="Aptos" w:eastAsia="Aptos"/>
          <w:b w:val="0"/>
          <w:color w:val="202A33"/>
          <w:sz w:val="21"/>
        </w:rPr>
        <w:t>Se añaden Five Case readiness, hashes, refs, source_current, warnings, blockers y can_supply_investment_gate_evidence.</w:t>
      </w:r>
    </w:p>
    <w:p>
      <w:pPr>
        <w:pStyle w:val="ListBullet"/>
        <w:spacing w:after="50" w:line="259" w:lineRule="auto"/>
      </w:pPr>
      <w:r>
        <w:rPr>
          <w:rFonts w:ascii="Aptos" w:hAnsi="Aptos" w:eastAsia="Aptos"/>
          <w:b w:val="0"/>
          <w:color w:val="202A33"/>
          <w:sz w:val="21"/>
        </w:rPr>
        <w:t>Para revisiones legacy o NOT_APPLICABLE se conserva el comportamiento v1.</w:t>
      </w:r>
    </w:p>
    <w:p>
      <w:pPr>
        <w:pStyle w:val="ListBullet"/>
        <w:spacing w:after="50" w:line="259" w:lineRule="auto"/>
      </w:pPr>
      <w:r>
        <w:rPr>
          <w:rFonts w:ascii="Aptos" w:hAnsi="Aptos" w:eastAsia="Aptos"/>
          <w:b w:val="0"/>
          <w:color w:val="202A33"/>
          <w:sz w:val="21"/>
        </w:rPr>
        <w:t>Solo una revisión COMPLETED, READY, current y sin blockers puede suministrar evidencia.</w:t>
      </w:r>
    </w:p>
    <w:p>
      <w:pPr>
        <w:pStyle w:val="ListBullet"/>
        <w:spacing w:after="50" w:line="259" w:lineRule="auto"/>
      </w:pPr>
      <w:r>
        <w:rPr>
          <w:rFonts w:ascii="Aptos" w:hAnsi="Aptos" w:eastAsia="Aptos"/>
          <w:b w:val="0"/>
          <w:color w:val="202A33"/>
          <w:sz w:val="21"/>
        </w:rPr>
        <w:t>No se publicó, reordenó ni reinterpretó la matriz/default policy de Gate07J-EVID.</w:t>
      </w:r>
    </w:p>
    <w:p>
      <w:pPr>
        <w:pStyle w:val="Heading1"/>
        <w:keepNext/>
        <w:spacing w:before="160" w:after="80"/>
      </w:pPr>
      <w:r>
        <w:t>8. Seguridad, concurrencia y auditoría</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3427"/>
        <w:gridCol w:w="3427"/>
        <w:gridCol w:w="3427"/>
      </w:tblGrid>
      <w:tr>
        <w:trPr>
          <w:tblHeader/>
          <w:cantSplit/>
        </w:trPr>
        <w:tc>
          <w:tcPr>
            <w:tcW w:type="dxa" w:w="1728"/>
            <w:vAlign w:val="center"/>
            <w:shd w:fill="17324D"/>
            <w:tcMar>
              <w:top w:w="85" w:type="dxa"/>
              <w:start w:w="85" w:type="dxa"/>
              <w:bottom w:w="85" w:type="dxa"/>
              <w:end w:w="85" w:type="dxa"/>
            </w:tcMar>
          </w:tcPr>
          <w:p>
            <w:pPr>
              <w:spacing w:after="0"/>
            </w:pPr>
            <w:r>
              <w:rPr>
                <w:rFonts w:ascii="Aptos" w:hAnsi="Aptos" w:eastAsia="Aptos"/>
                <w:b/>
                <w:color w:val="FFFFFF"/>
                <w:sz w:val="16"/>
              </w:rPr>
              <w:t>Control</w:t>
            </w:r>
          </w:p>
        </w:tc>
        <w:tc>
          <w:tcPr>
            <w:tcW w:type="dxa" w:w="7560"/>
            <w:vAlign w:val="center"/>
            <w:shd w:fill="17324D"/>
            <w:tcMar>
              <w:top w:w="85" w:type="dxa"/>
              <w:start w:w="85" w:type="dxa"/>
              <w:bottom w:w="85" w:type="dxa"/>
              <w:end w:w="85" w:type="dxa"/>
            </w:tcMar>
          </w:tcPr>
          <w:p>
            <w:pPr>
              <w:spacing w:after="0"/>
            </w:pPr>
            <w:r>
              <w:rPr>
                <w:rFonts w:ascii="Aptos" w:hAnsi="Aptos" w:eastAsia="Aptos"/>
                <w:b/>
                <w:color w:val="FFFFFF"/>
                <w:sz w:val="16"/>
              </w:rPr>
              <w:t>Implementación</w:t>
            </w:r>
          </w:p>
        </w:tc>
        <w:tc>
          <w:tcPr>
            <w:tcW w:type="dxa" w:w="1296"/>
            <w:vAlign w:val="center"/>
            <w:shd w:fill="17324D"/>
            <w:tcMar>
              <w:top w:w="85" w:type="dxa"/>
              <w:start w:w="85" w:type="dxa"/>
              <w:bottom w:w="85" w:type="dxa"/>
              <w:end w:w="85" w:type="dxa"/>
            </w:tcMar>
          </w:tcPr>
          <w:p>
            <w:pPr>
              <w:spacing w:after="0"/>
            </w:pPr>
            <w:r>
              <w:rPr>
                <w:rFonts w:ascii="Aptos" w:hAnsi="Aptos" w:eastAsia="Aptos"/>
                <w:b/>
                <w:color w:val="FFFFFF"/>
                <w:sz w:val="16"/>
              </w:rPr>
              <w:t>Estado</w:t>
            </w:r>
          </w:p>
        </w:tc>
      </w:tr>
      <w:tr>
        <w:trPr>
          <w:cantSplit/>
        </w:trPr>
        <w:tc>
          <w:tcPr>
            <w:tcW w:type="dxa" w:w="17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RBAC</w:t>
            </w:r>
          </w:p>
        </w:tc>
        <w:tc>
          <w:tcPr>
            <w:tcW w:type="dxa" w:w="7560"/>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Permisos read/create/edit/review/refresh/snapshot/admin existentes</w:t>
            </w:r>
          </w:p>
        </w:tc>
        <w:tc>
          <w:tcPr>
            <w:tcW w:type="dxa" w:w="1296"/>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17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Scope</w:t>
            </w:r>
          </w:p>
        </w:tc>
        <w:tc>
          <w:tcPr>
            <w:tcW w:type="dxa" w:w="7560"/>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Tenant y Project Workspace en queries y endpoints</w:t>
            </w:r>
          </w:p>
        </w:tc>
        <w:tc>
          <w:tcPr>
            <w:tcW w:type="dxa" w:w="1296"/>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17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ADMIN/USER</w:t>
            </w:r>
          </w:p>
        </w:tc>
        <w:tc>
          <w:tcPr>
            <w:tcW w:type="dxa" w:w="7560"/>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Configuración separada de expedientes vivos y rutas protegidas</w:t>
            </w:r>
          </w:p>
        </w:tc>
        <w:tc>
          <w:tcPr>
            <w:tcW w:type="dxa" w:w="1296"/>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17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SoD</w:t>
            </w:r>
          </w:p>
        </w:tc>
        <w:tc>
          <w:tcPr>
            <w:tcW w:type="dxa" w:w="7560"/>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Reviewer final distinto del preparer cuando la policy lo exige</w:t>
            </w:r>
          </w:p>
        </w:tc>
        <w:tc>
          <w:tcPr>
            <w:tcW w:type="dxa" w:w="1296"/>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17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ETag</w:t>
            </w:r>
          </w:p>
        </w:tc>
        <w:tc>
          <w:tcPr>
            <w:tcW w:type="dxa" w:w="7560"/>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If-Match y revision_version; mismatch = 412</w:t>
            </w:r>
          </w:p>
        </w:tc>
        <w:tc>
          <w:tcPr>
            <w:tcW w:type="dxa" w:w="1296"/>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17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Idempotencia</w:t>
            </w:r>
          </w:p>
        </w:tc>
        <w:tc>
          <w:tcPr>
            <w:tcW w:type="dxa" w:w="7560"/>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Create/revision/submit/complete/refresh/snapshot</w:t>
            </w:r>
          </w:p>
        </w:tc>
        <w:tc>
          <w:tcPr>
            <w:tcW w:type="dxa" w:w="1296"/>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17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SecurityEvent</w:t>
            </w:r>
          </w:p>
        </w:tc>
        <w:tc>
          <w:tcPr>
            <w:tcW w:type="dxa" w:w="7560"/>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Lifecycle, refresh, staleness, material change, snapshots y config</w:t>
            </w:r>
          </w:p>
        </w:tc>
        <w:tc>
          <w:tcPr>
            <w:tcW w:type="dxa" w:w="1296"/>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bl>
    <w:p>
      <w:pPr>
        <w:spacing w:after="20"/>
      </w:pPr>
    </w:p>
    <w:p>
      <w:r>
        <w:br w:type="page"/>
      </w:r>
    </w:p>
    <w:p>
      <w:pPr>
        <w:pStyle w:val="Heading1"/>
        <w:keepNext/>
        <w:spacing w:before="160" w:after="80"/>
      </w:pPr>
      <w:r>
        <w:t>9. USER MODE, ADMIN MODE y navegación</w:t>
      </w:r>
    </w:p>
    <w:p>
      <w:pPr>
        <w:pStyle w:val="Heading2"/>
        <w:keepNext/>
        <w:spacing w:before="120" w:after="80"/>
      </w:pPr>
      <w:r>
        <w:t>9.1 USER MODE</w:t>
      </w:r>
    </w:p>
    <w:p>
      <w:pPr>
        <w:spacing w:after="100" w:line="259" w:lineRule="auto"/>
      </w:pPr>
      <w:r>
        <w:rPr>
          <w:rFonts w:ascii="Aptos" w:hAnsi="Aptos" w:eastAsia="Aptos"/>
          <w:b w:val="0"/>
          <w:color w:val="202A33"/>
          <w:sz w:val="21"/>
        </w:rPr>
        <w:t>Business Case Manager permanece dentro de Project Definition &amp; Investment Case. La navegación canónica ofrece Overview, Strategic Case, Economic Case, Commercial Case, Financial Case, Management Case, Sources &amp; Evidence, Readiness, Decision Snapshots e History.</w:t>
      </w:r>
    </w:p>
    <w:p>
      <w:pPr>
        <w:pStyle w:val="ListBullet"/>
        <w:spacing w:after="50" w:line="259" w:lineRule="auto"/>
      </w:pPr>
      <w:r>
        <w:rPr>
          <w:rFonts w:ascii="Aptos" w:hAnsi="Aptos" w:eastAsia="Aptos"/>
          <w:b w:val="0"/>
          <w:color w:val="202A33"/>
          <w:sz w:val="21"/>
        </w:rPr>
        <w:t>Cada Case presenta pregunta, resumen, evidencia, readiness, findings, supuestos, warnings, blockers y conclusión.</w:t>
      </w:r>
    </w:p>
    <w:p>
      <w:pPr>
        <w:pStyle w:val="ListBullet"/>
        <w:spacing w:after="50" w:line="259" w:lineRule="auto"/>
      </w:pPr>
      <w:r>
        <w:rPr>
          <w:rFonts w:ascii="Aptos" w:hAnsi="Aptos" w:eastAsia="Aptos"/>
          <w:b w:val="0"/>
          <w:color w:val="202A33"/>
          <w:sz w:val="21"/>
        </w:rPr>
        <w:t>Sources &amp; Evidence es read-only y ofrece View Source hacia el módulo propietario.</w:t>
      </w:r>
    </w:p>
    <w:p>
      <w:pPr>
        <w:pStyle w:val="ListBullet"/>
        <w:spacing w:after="50" w:line="259" w:lineRule="auto"/>
      </w:pPr>
      <w:r>
        <w:rPr>
          <w:rFonts w:ascii="Aptos" w:hAnsi="Aptos" w:eastAsia="Aptos"/>
          <w:b w:val="0"/>
          <w:color w:val="202A33"/>
          <w:sz w:val="21"/>
        </w:rPr>
        <w:t>Revisiones legacy muestran fallback explícito y no aparentan readiness Five Case.</w:t>
      </w:r>
    </w:p>
    <w:p>
      <w:pPr>
        <w:pStyle w:val="Heading2"/>
        <w:keepNext/>
        <w:spacing w:before="120" w:after="80"/>
      </w:pPr>
      <w:r>
        <w:t>9.2 ADMIN MODE</w:t>
      </w:r>
    </w:p>
    <w:p>
      <w:pPr>
        <w:spacing w:after="100" w:line="259" w:lineRule="auto"/>
      </w:pPr>
      <w:r>
        <w:rPr>
          <w:rFonts w:ascii="Aptos" w:hAnsi="Aptos" w:eastAsia="Aptos"/>
          <w:b w:val="0"/>
          <w:color w:val="202A33"/>
          <w:sz w:val="21"/>
        </w:rPr>
        <w:t>La configuración Business Case existente se amplió con applicability, requirements por Case, source/readiness/evidence rules, FEL/Gate, overrides, tailoring, inheritance, Review/SoD, Preview e History. ADMIN no crea ni edita evidencia fuente.</w:t>
      </w:r>
    </w:p>
    <w:p>
      <w:pPr>
        <w:pStyle w:val="Heading2"/>
        <w:keepNext/>
        <w:spacing w:before="120" w:after="80"/>
      </w:pPr>
      <w:r>
        <w:t>9.3 Integración técnica</w:t>
      </w:r>
    </w:p>
    <w:p>
      <w:pPr>
        <w:spacing w:after="100" w:line="259" w:lineRule="auto"/>
      </w:pPr>
      <w:r>
        <w:rPr>
          <w:rFonts w:ascii="Aptos" w:hAnsi="Aptos" w:eastAsia="Aptos"/>
          <w:b w:val="0"/>
          <w:color w:val="202A33"/>
          <w:sz w:val="21"/>
        </w:rPr>
        <w:t>strategicNavigationBlueprint.ts continúa como fuente de verdad; StrategicViewOutlet entrega la vista y el navegador canónico. Las rutas históricas se mantienen como aliases. App.tsx no recibió routing específico Five Case.</w:t>
      </w:r>
    </w:p>
    <w:p>
      <w:pPr>
        <w:pStyle w:val="Heading1"/>
        <w:keepNext/>
        <w:spacing w:before="160" w:after="80"/>
      </w:pPr>
      <w:r>
        <w:t>10. API, compatibilidad y despliegue</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5141"/>
        <w:gridCol w:w="5141"/>
      </w:tblGrid>
      <w:tr>
        <w:trPr>
          <w:tblHeader/>
          <w:cantSplit/>
        </w:trPr>
        <w:tc>
          <w:tcPr>
            <w:tcW w:type="dxa" w:w="2016"/>
            <w:vAlign w:val="center"/>
            <w:shd w:fill="17324D"/>
            <w:tcMar>
              <w:top w:w="85" w:type="dxa"/>
              <w:start w:w="85" w:type="dxa"/>
              <w:bottom w:w="85" w:type="dxa"/>
              <w:end w:w="85" w:type="dxa"/>
            </w:tcMar>
          </w:tcPr>
          <w:p>
            <w:pPr>
              <w:spacing w:after="0"/>
            </w:pPr>
            <w:r>
              <w:rPr>
                <w:rFonts w:ascii="Aptos" w:hAnsi="Aptos" w:eastAsia="Aptos"/>
                <w:b/>
                <w:color w:val="FFFFFF"/>
                <w:sz w:val="16"/>
              </w:rPr>
              <w:t>Área</w:t>
            </w:r>
          </w:p>
        </w:tc>
        <w:tc>
          <w:tcPr>
            <w:tcW w:type="dxa" w:w="8568"/>
            <w:vAlign w:val="center"/>
            <w:shd w:fill="17324D"/>
            <w:tcMar>
              <w:top w:w="85" w:type="dxa"/>
              <w:start w:w="85" w:type="dxa"/>
              <w:bottom w:w="85" w:type="dxa"/>
              <w:end w:w="85" w:type="dxa"/>
            </w:tcMar>
          </w:tcPr>
          <w:p>
            <w:pPr>
              <w:spacing w:after="0"/>
            </w:pPr>
            <w:r>
              <w:rPr>
                <w:rFonts w:ascii="Aptos" w:hAnsi="Aptos" w:eastAsia="Aptos"/>
                <w:b/>
                <w:color w:val="FFFFFF"/>
                <w:sz w:val="16"/>
              </w:rPr>
              <w:t>Resultado</w:t>
            </w:r>
          </w:p>
        </w:tc>
      </w:tr>
      <w:tr>
        <w:trPr>
          <w:cantSplit/>
        </w:trPr>
        <w:tc>
          <w:tcPr>
            <w:tcW w:type="dxa" w:w="201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API</w:t>
            </w:r>
          </w:p>
        </w:tc>
        <w:tc>
          <w:tcPr>
            <w:tcW w:type="dxa" w:w="856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BusinessCaseRevisionOut expone estructura, readiness, matrix, context, vigencia y hashes Five Case</w:t>
            </w:r>
          </w:p>
        </w:tc>
      </w:tr>
      <w:tr>
        <w:trPr>
          <w:cantSplit/>
        </w:trPr>
        <w:tc>
          <w:tcPr>
            <w:tcW w:type="dxa" w:w="201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Compatibilidad</w:t>
            </w:r>
          </w:p>
        </w:tc>
        <w:tc>
          <w:tcPr>
            <w:tcW w:type="dxa" w:w="856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Campos aditivos; endpoints, ETag e idempotency keys existentes conservados</w:t>
            </w:r>
          </w:p>
        </w:tc>
      </w:tr>
      <w:tr>
        <w:trPr>
          <w:cantSplit/>
        </w:trPr>
        <w:tc>
          <w:tcPr>
            <w:tcW w:type="dxa" w:w="201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Migración</w:t>
            </w:r>
          </w:p>
        </w:tc>
        <w:tc>
          <w:tcPr>
            <w:tcW w:type="dxa" w:w="856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No requerida; head permanece 20260916_0061</w:t>
            </w:r>
          </w:p>
        </w:tc>
      </w:tr>
      <w:tr>
        <w:trPr>
          <w:cantSplit/>
        </w:trPr>
        <w:tc>
          <w:tcPr>
            <w:tcW w:type="dxa" w:w="201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PostgreSQL</w:t>
            </w:r>
          </w:p>
        </w:tc>
        <w:tc>
          <w:tcPr>
            <w:tcW w:type="dxa" w:w="856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Tablas/constraints/unique keys e índices funcionales confirmados</w:t>
            </w:r>
          </w:p>
        </w:tc>
      </w:tr>
      <w:tr>
        <w:trPr>
          <w:cantSplit/>
        </w:trPr>
        <w:tc>
          <w:tcPr>
            <w:tcW w:type="dxa" w:w="201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Docker</w:t>
            </w:r>
          </w:p>
        </w:tc>
        <w:tc>
          <w:tcPr>
            <w:tcW w:type="dxa" w:w="856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API, worker y beat reconstruidos; DB/Redis healthy</w:t>
            </w:r>
          </w:p>
        </w:tc>
      </w:tr>
      <w:tr>
        <w:trPr>
          <w:cantSplit/>
        </w:trPr>
        <w:tc>
          <w:tcPr>
            <w:tcW w:type="dxa" w:w="201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Health</w:t>
            </w:r>
          </w:p>
        </w:tc>
        <w:tc>
          <w:tcPr>
            <w:tcW w:type="dxa" w:w="856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GET /api/v1/health/ready = 200; API/database/redis = ok</w:t>
            </w:r>
          </w:p>
        </w:tc>
      </w:tr>
      <w:tr>
        <w:trPr>
          <w:cantSplit/>
        </w:trPr>
        <w:tc>
          <w:tcPr>
            <w:tcW w:type="dxa" w:w="201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OpenAPI</w:t>
            </w:r>
          </w:p>
        </w:tc>
        <w:tc>
          <w:tcPr>
            <w:tcW w:type="dxa" w:w="856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Contrato desplegado contiene los cinco campos/estructuras aditivos comprobados</w:t>
            </w:r>
          </w:p>
        </w:tc>
      </w:tr>
    </w:tbl>
    <w:p>
      <w:pPr>
        <w:spacing w:after="20"/>
      </w:pPr>
    </w:p>
    <w:p>
      <w:r>
        <w:br w:type="page"/>
      </w:r>
    </w:p>
    <w:p>
      <w:pPr>
        <w:pStyle w:val="Heading1"/>
        <w:keepNext/>
        <w:spacing w:before="160" w:after="80"/>
      </w:pPr>
      <w:r>
        <w:t>11. Evidencia de validación</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2056"/>
        <w:gridCol w:w="2056"/>
        <w:gridCol w:w="2056"/>
        <w:gridCol w:w="2056"/>
        <w:gridCol w:w="2056"/>
      </w:tblGrid>
      <w:tr>
        <w:trPr>
          <w:tblHeader/>
          <w:cantSplit/>
        </w:trPr>
        <w:tc>
          <w:tcPr>
            <w:tcW w:type="dxa" w:w="4464"/>
            <w:vAlign w:val="center"/>
            <w:shd w:fill="17324D"/>
            <w:tcMar>
              <w:top w:w="85" w:type="dxa"/>
              <w:start w:w="85" w:type="dxa"/>
              <w:bottom w:w="85" w:type="dxa"/>
              <w:end w:w="85" w:type="dxa"/>
            </w:tcMar>
          </w:tcPr>
          <w:p>
            <w:pPr>
              <w:spacing w:after="0"/>
            </w:pPr>
            <w:r>
              <w:rPr>
                <w:rFonts w:ascii="Aptos" w:hAnsi="Aptos" w:eastAsia="Aptos"/>
                <w:b/>
                <w:color w:val="FFFFFF"/>
                <w:sz w:val="16"/>
              </w:rPr>
              <w:t>Suite</w:t>
            </w:r>
          </w:p>
        </w:tc>
        <w:tc>
          <w:tcPr>
            <w:tcW w:type="dxa" w:w="936"/>
            <w:vAlign w:val="center"/>
            <w:shd w:fill="17324D"/>
            <w:tcMar>
              <w:top w:w="85" w:type="dxa"/>
              <w:start w:w="85" w:type="dxa"/>
              <w:bottom w:w="85" w:type="dxa"/>
              <w:end w:w="85" w:type="dxa"/>
            </w:tcMar>
          </w:tcPr>
          <w:p>
            <w:pPr>
              <w:spacing w:after="0"/>
            </w:pPr>
            <w:r>
              <w:rPr>
                <w:rFonts w:ascii="Aptos" w:hAnsi="Aptos" w:eastAsia="Aptos"/>
                <w:b/>
                <w:color w:val="FFFFFF"/>
                <w:sz w:val="16"/>
              </w:rPr>
              <w:t>Casos</w:t>
            </w:r>
          </w:p>
        </w:tc>
        <w:tc>
          <w:tcPr>
            <w:tcW w:type="dxa" w:w="936"/>
            <w:vAlign w:val="center"/>
            <w:shd w:fill="17324D"/>
            <w:tcMar>
              <w:top w:w="85" w:type="dxa"/>
              <w:start w:w="85" w:type="dxa"/>
              <w:bottom w:w="85" w:type="dxa"/>
              <w:end w:w="85" w:type="dxa"/>
            </w:tcMar>
          </w:tcPr>
          <w:p>
            <w:pPr>
              <w:spacing w:after="0"/>
            </w:pPr>
            <w:r>
              <w:rPr>
                <w:rFonts w:ascii="Aptos" w:hAnsi="Aptos" w:eastAsia="Aptos"/>
                <w:b/>
                <w:color w:val="FFFFFF"/>
                <w:sz w:val="16"/>
              </w:rPr>
              <w:t>Fallos</w:t>
            </w:r>
          </w:p>
        </w:tc>
        <w:tc>
          <w:tcPr>
            <w:tcW w:type="dxa" w:w="864"/>
            <w:vAlign w:val="center"/>
            <w:shd w:fill="17324D"/>
            <w:tcMar>
              <w:top w:w="85" w:type="dxa"/>
              <w:start w:w="85" w:type="dxa"/>
              <w:bottom w:w="85" w:type="dxa"/>
              <w:end w:w="85" w:type="dxa"/>
            </w:tcMar>
          </w:tcPr>
          <w:p>
            <w:pPr>
              <w:spacing w:after="0"/>
            </w:pPr>
            <w:r>
              <w:rPr>
                <w:rFonts w:ascii="Aptos" w:hAnsi="Aptos" w:eastAsia="Aptos"/>
                <w:b/>
                <w:color w:val="FFFFFF"/>
                <w:sz w:val="16"/>
              </w:rPr>
              <w:t>Skip</w:t>
            </w:r>
          </w:p>
        </w:tc>
        <w:tc>
          <w:tcPr>
            <w:tcW w:type="dxa" w:w="2088"/>
            <w:vAlign w:val="center"/>
            <w:shd w:fill="17324D"/>
            <w:tcMar>
              <w:top w:w="85" w:type="dxa"/>
              <w:start w:w="85" w:type="dxa"/>
              <w:bottom w:w="85" w:type="dxa"/>
              <w:end w:w="85" w:type="dxa"/>
            </w:tcMar>
          </w:tcPr>
          <w:p>
            <w:pPr>
              <w:spacing w:after="0"/>
            </w:pPr>
            <w:r>
              <w:rPr>
                <w:rFonts w:ascii="Aptos" w:hAnsi="Aptos" w:eastAsia="Aptos"/>
                <w:b/>
                <w:color w:val="FFFFFF"/>
                <w:sz w:val="16"/>
              </w:rPr>
              <w:t>Estado</w:t>
            </w:r>
          </w:p>
        </w:tc>
      </w:tr>
      <w:tr>
        <w:trPr>
          <w:cantSplit/>
        </w:trPr>
        <w:tc>
          <w:tcPr>
            <w:tcW w:type="dxa" w:w="446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Backend focal</w:t>
            </w:r>
          </w:p>
        </w:tc>
        <w:tc>
          <w:tcPr>
            <w:tcW w:type="dxa" w:w="93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41</w:t>
            </w:r>
          </w:p>
        </w:tc>
        <w:tc>
          <w:tcPr>
            <w:tcW w:type="dxa" w:w="93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86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2088"/>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446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Backend estratégico</w:t>
            </w:r>
          </w:p>
        </w:tc>
        <w:tc>
          <w:tcPr>
            <w:tcW w:type="dxa" w:w="93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156</w:t>
            </w:r>
          </w:p>
        </w:tc>
        <w:tc>
          <w:tcPr>
            <w:tcW w:type="dxa" w:w="93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86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4</w:t>
            </w:r>
          </w:p>
        </w:tc>
        <w:tc>
          <w:tcPr>
            <w:tcW w:type="dxa" w:w="2088"/>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446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PostgreSQL estructural</w:t>
            </w:r>
          </w:p>
        </w:tc>
        <w:tc>
          <w:tcPr>
            <w:tcW w:type="dxa" w:w="93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1</w:t>
            </w:r>
          </w:p>
        </w:tc>
        <w:tc>
          <w:tcPr>
            <w:tcW w:type="dxa" w:w="93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86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2088"/>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446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PostgreSQL Five Case transaccional</w:t>
            </w:r>
          </w:p>
        </w:tc>
        <w:tc>
          <w:tcPr>
            <w:tcW w:type="dxa" w:w="93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2</w:t>
            </w:r>
          </w:p>
        </w:tc>
        <w:tc>
          <w:tcPr>
            <w:tcW w:type="dxa" w:w="93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86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2088"/>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446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Frontend focal</w:t>
            </w:r>
          </w:p>
        </w:tc>
        <w:tc>
          <w:tcPr>
            <w:tcW w:type="dxa" w:w="93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20</w:t>
            </w:r>
          </w:p>
        </w:tc>
        <w:tc>
          <w:tcPr>
            <w:tcW w:type="dxa" w:w="93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86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2088"/>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446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Browser Chromium</w:t>
            </w:r>
          </w:p>
        </w:tc>
        <w:tc>
          <w:tcPr>
            <w:tcW w:type="dxa" w:w="93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1</w:t>
            </w:r>
          </w:p>
        </w:tc>
        <w:tc>
          <w:tcPr>
            <w:tcW w:type="dxa" w:w="93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86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2088"/>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446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Frontend full</w:t>
            </w:r>
          </w:p>
        </w:tc>
        <w:tc>
          <w:tcPr>
            <w:tcW w:type="dxa" w:w="93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273</w:t>
            </w:r>
          </w:p>
        </w:tc>
        <w:tc>
          <w:tcPr>
            <w:tcW w:type="dxa" w:w="93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86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2088"/>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446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AppFlow hardening aislado</w:t>
            </w:r>
          </w:p>
        </w:tc>
        <w:tc>
          <w:tcPr>
            <w:tcW w:type="dxa" w:w="93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28</w:t>
            </w:r>
          </w:p>
        </w:tc>
        <w:tc>
          <w:tcPr>
            <w:tcW w:type="dxa" w:w="93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86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27</w:t>
            </w:r>
          </w:p>
        </w:tc>
        <w:tc>
          <w:tcPr>
            <w:tcW w:type="dxa" w:w="2088"/>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446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AppFlow user/admin aislado</w:t>
            </w:r>
          </w:p>
        </w:tc>
        <w:tc>
          <w:tcPr>
            <w:tcW w:type="dxa" w:w="93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28</w:t>
            </w:r>
          </w:p>
        </w:tc>
        <w:tc>
          <w:tcPr>
            <w:tcW w:type="dxa" w:w="93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86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27</w:t>
            </w:r>
          </w:p>
        </w:tc>
        <w:tc>
          <w:tcPr>
            <w:tcW w:type="dxa" w:w="2088"/>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446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AppFlow navegación aislado</w:t>
            </w:r>
          </w:p>
        </w:tc>
        <w:tc>
          <w:tcPr>
            <w:tcW w:type="dxa" w:w="93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28</w:t>
            </w:r>
          </w:p>
        </w:tc>
        <w:tc>
          <w:tcPr>
            <w:tcW w:type="dxa" w:w="93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86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27</w:t>
            </w:r>
          </w:p>
        </w:tc>
        <w:tc>
          <w:tcPr>
            <w:tcW w:type="dxa" w:w="2088"/>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446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TypeScript / Vite / ESLint / Prettier</w:t>
            </w:r>
          </w:p>
        </w:tc>
        <w:tc>
          <w:tcPr>
            <w:tcW w:type="dxa" w:w="93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4</w:t>
            </w:r>
          </w:p>
        </w:tc>
        <w:tc>
          <w:tcPr>
            <w:tcW w:type="dxa" w:w="93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864"/>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2088"/>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446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Docker health / OpenAPI</w:t>
            </w:r>
          </w:p>
        </w:tc>
        <w:tc>
          <w:tcPr>
            <w:tcW w:type="dxa" w:w="93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2</w:t>
            </w:r>
          </w:p>
        </w:tc>
        <w:tc>
          <w:tcPr>
            <w:tcW w:type="dxa" w:w="93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864"/>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0</w:t>
            </w:r>
          </w:p>
        </w:tc>
        <w:tc>
          <w:tcPr>
            <w:tcW w:type="dxa" w:w="2088"/>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bl>
    <w:p>
      <w:pPr>
        <w:spacing w:after="20"/>
      </w:pPr>
    </w:p>
    <w:p>
      <w:pPr>
        <w:spacing w:after="100" w:line="259" w:lineRule="auto"/>
      </w:pPr>
      <w:r>
        <w:rPr>
          <w:rFonts w:ascii="Aptos" w:hAnsi="Aptos" w:eastAsia="Aptos"/>
          <w:b w:val="0"/>
          <w:color w:val="202A33"/>
          <w:sz w:val="21"/>
        </w:rPr>
        <w:t>Backend focal incluye BC, Five Case, Benefits, Commercial, FIN y Evidence Policy. Ruff app/tests pasó. TypeScript, build Vite, ESLint (0 errores, 9 warnings BIM heredados) y Prettier pasaron. La prueba Chromium recorre USER y ADMIN en el localhost desplegado.</w:t>
      </w:r>
    </w:p>
    <w:p>
      <w:pPr>
        <w:spacing w:after="100" w:line="259" w:lineRule="auto"/>
      </w:pPr>
      <w:r>
        <w:rPr>
          <w:rFonts w:ascii="Aptos" w:hAnsi="Aptos" w:eastAsia="Aptos"/>
          <w:b w:val="0"/>
          <w:color w:val="202A33"/>
          <w:sz w:val="21"/>
        </w:rPr>
        <w:t>La corrida frontend inicial obtuvo 270/273 y tres timeouts sin fallos de aserción. Se estabilizaron únicamente los límites de tiempo (45→90 s global y 300→420 s para el AppFlow largo), los tres casos pasaron aislados y la repetición integral cerró 273/273. La regresión estratégica backend final quedó verde tras eliminar una dependencia de orden del fixture Gate 07L, sin modificar lógica productiva ni relajar aserciones.</w:t>
      </w:r>
    </w:p>
    <w:p>
      <w:pPr>
        <w:pStyle w:val="Heading1"/>
        <w:keepNext/>
        <w:spacing w:before="160" w:after="80"/>
      </w:pPr>
      <w:r>
        <w:t>12. Rendimiento y observaciones operativas</w:t>
      </w:r>
    </w:p>
    <w:p>
      <w:pPr>
        <w:pStyle w:val="ListBullet"/>
        <w:spacing w:after="50" w:line="259" w:lineRule="auto"/>
      </w:pPr>
      <w:r>
        <w:rPr>
          <w:rFonts w:ascii="Aptos" w:hAnsi="Aptos" w:eastAsia="Aptos"/>
          <w:b w:val="0"/>
          <w:color w:val="202A33"/>
          <w:sz w:val="21"/>
        </w:rPr>
        <w:t>Vite transformó 2.453 módulos y produjo el build de producción correctamente.</w:t>
      </w:r>
    </w:p>
    <w:p>
      <w:pPr>
        <w:pStyle w:val="ListBullet"/>
        <w:spacing w:after="50" w:line="259" w:lineRule="auto"/>
      </w:pPr>
      <w:r>
        <w:rPr>
          <w:rFonts w:ascii="Aptos" w:hAnsi="Aptos" w:eastAsia="Aptos"/>
          <w:b w:val="0"/>
          <w:color w:val="202A33"/>
          <w:sz w:val="21"/>
        </w:rPr>
        <w:t>web-ifc y Three.js permanecen aislados en chunks BIM; el incremento Five Case no añadió un motor pesado al bundle inicial.</w:t>
      </w:r>
    </w:p>
    <w:p>
      <w:pPr>
        <w:pStyle w:val="ListBullet"/>
        <w:spacing w:after="50" w:line="259" w:lineRule="auto"/>
      </w:pPr>
      <w:r>
        <w:rPr>
          <w:rFonts w:ascii="Aptos" w:hAnsi="Aptos" w:eastAsia="Aptos"/>
          <w:b w:val="0"/>
          <w:color w:val="202A33"/>
          <w:sz w:val="21"/>
        </w:rPr>
        <w:t>La prueba AppFlow de production hardening tardó 46,26 s; la de tenant user/admin, 30,23 s. Los límites se ajustaron a 90 s global y 420 s para el flujo largo; la repetición integral quedó verde.</w:t>
      </w:r>
    </w:p>
    <w:p>
      <w:pPr>
        <w:pStyle w:val="ListBullet"/>
        <w:spacing w:after="50" w:line="259" w:lineRule="auto"/>
      </w:pPr>
      <w:r>
        <w:rPr>
          <w:rFonts w:ascii="Aptos" w:hAnsi="Aptos" w:eastAsia="Aptos"/>
          <w:b w:val="0"/>
          <w:color w:val="202A33"/>
          <w:sz w:val="21"/>
        </w:rPr>
        <w:t>El E2E Chromium Five Case tardó 17,9 s y validó un flujo completo USER/ADMIN.</w:t>
      </w:r>
    </w:p>
    <w:p>
      <w:pPr>
        <w:pStyle w:val="ListBullet"/>
        <w:spacing w:after="50" w:line="259" w:lineRule="auto"/>
      </w:pPr>
      <w:r>
        <w:rPr>
          <w:rFonts w:ascii="Aptos" w:hAnsi="Aptos" w:eastAsia="Aptos"/>
          <w:b w:val="0"/>
          <w:color w:val="202A33"/>
          <w:sz w:val="21"/>
        </w:rPr>
        <w:t>El API health mostró latencias de pocos milisegundos para PostgreSQL y Redis en el entorno local.</w:t>
      </w:r>
    </w:p>
    <w:p>
      <w:r>
        <w:br w:type="page"/>
      </w:r>
    </w:p>
    <w:p>
      <w:pPr>
        <w:pStyle w:val="Heading1"/>
        <w:keepNext/>
        <w:spacing w:before="160" w:after="80"/>
      </w:pPr>
      <w:r>
        <w:t>13. Matriz de los 75 entregables</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2570"/>
        <w:gridCol w:w="2570"/>
        <w:gridCol w:w="2570"/>
        <w:gridCol w:w="2570"/>
      </w:tblGrid>
      <w:tr>
        <w:trPr>
          <w:tblHeader/>
          <w:cantSplit/>
        </w:trPr>
        <w:tc>
          <w:tcPr>
            <w:tcW w:type="dxa" w:w="547"/>
            <w:vAlign w:val="center"/>
            <w:shd w:fill="17324D"/>
            <w:tcMar>
              <w:top w:w="85" w:type="dxa"/>
              <w:start w:w="85" w:type="dxa"/>
              <w:bottom w:w="85" w:type="dxa"/>
              <w:end w:w="85" w:type="dxa"/>
            </w:tcMar>
          </w:tcPr>
          <w:p>
            <w:pPr>
              <w:spacing w:after="0"/>
            </w:pPr>
            <w:r>
              <w:rPr>
                <w:rFonts w:ascii="Aptos" w:hAnsi="Aptos" w:eastAsia="Aptos"/>
                <w:b/>
                <w:color w:val="FFFFFF"/>
                <w:sz w:val="16"/>
              </w:rPr>
              <w:t>#</w:t>
            </w:r>
          </w:p>
        </w:tc>
        <w:tc>
          <w:tcPr>
            <w:tcW w:type="dxa" w:w="3528"/>
            <w:vAlign w:val="center"/>
            <w:shd w:fill="17324D"/>
            <w:tcMar>
              <w:top w:w="85" w:type="dxa"/>
              <w:start w:w="85" w:type="dxa"/>
              <w:bottom w:w="85" w:type="dxa"/>
              <w:end w:w="85" w:type="dxa"/>
            </w:tcMar>
          </w:tcPr>
          <w:p>
            <w:pPr>
              <w:spacing w:after="0"/>
            </w:pPr>
            <w:r>
              <w:rPr>
                <w:rFonts w:ascii="Aptos" w:hAnsi="Aptos" w:eastAsia="Aptos"/>
                <w:b/>
                <w:color w:val="FFFFFF"/>
                <w:sz w:val="16"/>
              </w:rPr>
              <w:t>Entregable</w:t>
            </w:r>
          </w:p>
        </w:tc>
        <w:tc>
          <w:tcPr>
            <w:tcW w:type="dxa" w:w="5328"/>
            <w:vAlign w:val="center"/>
            <w:shd w:fill="17324D"/>
            <w:tcMar>
              <w:top w:w="85" w:type="dxa"/>
              <w:start w:w="85" w:type="dxa"/>
              <w:bottom w:w="85" w:type="dxa"/>
              <w:end w:w="85" w:type="dxa"/>
            </w:tcMar>
          </w:tcPr>
          <w:p>
            <w:pPr>
              <w:spacing w:after="0"/>
            </w:pPr>
            <w:r>
              <w:rPr>
                <w:rFonts w:ascii="Aptos" w:hAnsi="Aptos" w:eastAsia="Aptos"/>
                <w:b/>
                <w:color w:val="FFFFFF"/>
                <w:sz w:val="16"/>
              </w:rPr>
              <w:t>Evidencia</w:t>
            </w:r>
          </w:p>
        </w:tc>
        <w:tc>
          <w:tcPr>
            <w:tcW w:type="dxa" w:w="1181"/>
            <w:vAlign w:val="center"/>
            <w:shd w:fill="17324D"/>
            <w:tcMar>
              <w:top w:w="85" w:type="dxa"/>
              <w:start w:w="85" w:type="dxa"/>
              <w:bottom w:w="85" w:type="dxa"/>
              <w:end w:w="85" w:type="dxa"/>
            </w:tcMar>
          </w:tcPr>
          <w:p>
            <w:pPr>
              <w:spacing w:after="0"/>
            </w:pPr>
            <w:r>
              <w:rPr>
                <w:rFonts w:ascii="Aptos" w:hAnsi="Aptos" w:eastAsia="Aptos"/>
                <w:b/>
                <w:color w:val="FFFFFF"/>
                <w:sz w:val="16"/>
              </w:rPr>
              <w:t>Estado</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1</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Executive summary</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2</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ADR Gate07M-BC-5C</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docs/67-adr...</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3</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Actual baseline assessment</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4</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REUSE BEFORE CREATE analysis</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5</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Existing BC architecture preservation proof</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6</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Five Case conceptual mapping</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7</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Domain authority matrix</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8</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Source authority matrix</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9</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Strategic Case design</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10</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Economic Case design</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11</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Commercial Case design</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12</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Financial Case design</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13</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Management Case design</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14</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Case source mapping</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15</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Source compatibility rules</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16</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Benefits integration</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17</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Commercial Strategy integration</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18</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FIN integration</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19</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FEL integration</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bl>
    <w:p>
      <w:pPr>
        <w:spacing w:after="20"/>
      </w:pPr>
    </w:p>
    <w:p>
      <w:r>
        <w:br w:type="page"/>
      </w:r>
    </w:p>
    <w:p>
      <w:pPr>
        <w:pStyle w:val="Heading2"/>
        <w:keepNext/>
        <w:spacing w:before="120" w:after="80"/>
      </w:pPr>
      <w:r>
        <w:t>13.2 Entregables 20–38</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2570"/>
        <w:gridCol w:w="2570"/>
        <w:gridCol w:w="2570"/>
        <w:gridCol w:w="2570"/>
      </w:tblGrid>
      <w:tr>
        <w:trPr>
          <w:tblHeader/>
          <w:cantSplit/>
        </w:trPr>
        <w:tc>
          <w:tcPr>
            <w:tcW w:type="dxa" w:w="547"/>
            <w:vAlign w:val="center"/>
            <w:shd w:fill="17324D"/>
            <w:tcMar>
              <w:top w:w="85" w:type="dxa"/>
              <w:start w:w="85" w:type="dxa"/>
              <w:bottom w:w="85" w:type="dxa"/>
              <w:end w:w="85" w:type="dxa"/>
            </w:tcMar>
          </w:tcPr>
          <w:p>
            <w:pPr>
              <w:spacing w:after="0"/>
            </w:pPr>
            <w:r>
              <w:rPr>
                <w:rFonts w:ascii="Aptos" w:hAnsi="Aptos" w:eastAsia="Aptos"/>
                <w:b/>
                <w:color w:val="FFFFFF"/>
                <w:sz w:val="16"/>
              </w:rPr>
              <w:t>#</w:t>
            </w:r>
          </w:p>
        </w:tc>
        <w:tc>
          <w:tcPr>
            <w:tcW w:type="dxa" w:w="3528"/>
            <w:vAlign w:val="center"/>
            <w:shd w:fill="17324D"/>
            <w:tcMar>
              <w:top w:w="85" w:type="dxa"/>
              <w:start w:w="85" w:type="dxa"/>
              <w:bottom w:w="85" w:type="dxa"/>
              <w:end w:w="85" w:type="dxa"/>
            </w:tcMar>
          </w:tcPr>
          <w:p>
            <w:pPr>
              <w:spacing w:after="0"/>
            </w:pPr>
            <w:r>
              <w:rPr>
                <w:rFonts w:ascii="Aptos" w:hAnsi="Aptos" w:eastAsia="Aptos"/>
                <w:b/>
                <w:color w:val="FFFFFF"/>
                <w:sz w:val="16"/>
              </w:rPr>
              <w:t>Entregable</w:t>
            </w:r>
          </w:p>
        </w:tc>
        <w:tc>
          <w:tcPr>
            <w:tcW w:type="dxa" w:w="5328"/>
            <w:vAlign w:val="center"/>
            <w:shd w:fill="17324D"/>
            <w:tcMar>
              <w:top w:w="85" w:type="dxa"/>
              <w:start w:w="85" w:type="dxa"/>
              <w:bottom w:w="85" w:type="dxa"/>
              <w:end w:w="85" w:type="dxa"/>
            </w:tcMar>
          </w:tcPr>
          <w:p>
            <w:pPr>
              <w:spacing w:after="0"/>
            </w:pPr>
            <w:r>
              <w:rPr>
                <w:rFonts w:ascii="Aptos" w:hAnsi="Aptos" w:eastAsia="Aptos"/>
                <w:b/>
                <w:color w:val="FFFFFF"/>
                <w:sz w:val="16"/>
              </w:rPr>
              <w:t>Evidencia</w:t>
            </w:r>
          </w:p>
        </w:tc>
        <w:tc>
          <w:tcPr>
            <w:tcW w:type="dxa" w:w="1181"/>
            <w:vAlign w:val="center"/>
            <w:shd w:fill="17324D"/>
            <w:tcMar>
              <w:top w:w="85" w:type="dxa"/>
              <w:start w:w="85" w:type="dxa"/>
              <w:bottom w:w="85" w:type="dxa"/>
              <w:end w:w="85" w:type="dxa"/>
            </w:tcMar>
          </w:tcPr>
          <w:p>
            <w:pPr>
              <w:spacing w:after="0"/>
            </w:pPr>
            <w:r>
              <w:rPr>
                <w:rFonts w:ascii="Aptos" w:hAnsi="Aptos" w:eastAsia="Aptos"/>
                <w:b/>
                <w:color w:val="FFFFFF"/>
                <w:sz w:val="16"/>
              </w:rPr>
              <w:t>Estado</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20</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Budget/Resource integration</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21</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Funding integration</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22</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Risk integration</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23</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Permit integration</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24</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Case readiness model</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25</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Overall readiness model</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26</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Progressive maturity model</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27</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FEL/Gate tailoring</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28</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Gate-level revalidation model</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29</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Material change model</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30</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Source-current/staleness</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31</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Source mismatch handling</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32</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Refresh Preview/Apply</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refresh preview/apply + tests</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33</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Legacy BC compatibility</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34</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Historical snapshot compatibility</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35</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Existing provider identification</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BUSINESS_CASE_READINESS_PROVIDER</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36</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Provider enhancement</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37</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Provider backward compatibility</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38</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Gate07J non-mutation proof</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policy matrix sin mutación</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bl>
    <w:p>
      <w:pPr>
        <w:spacing w:after="20"/>
      </w:pPr>
    </w:p>
    <w:p>
      <w:r>
        <w:br w:type="page"/>
      </w:r>
    </w:p>
    <w:p>
      <w:pPr>
        <w:pStyle w:val="Heading2"/>
        <w:keepNext/>
        <w:spacing w:before="120" w:after="80"/>
      </w:pPr>
      <w:r>
        <w:t>13.3 Entregables 39–57</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2570"/>
        <w:gridCol w:w="2570"/>
        <w:gridCol w:w="2570"/>
        <w:gridCol w:w="2570"/>
      </w:tblGrid>
      <w:tr>
        <w:trPr>
          <w:tblHeader/>
          <w:cantSplit/>
        </w:trPr>
        <w:tc>
          <w:tcPr>
            <w:tcW w:type="dxa" w:w="547"/>
            <w:vAlign w:val="center"/>
            <w:shd w:fill="17324D"/>
            <w:tcMar>
              <w:top w:w="85" w:type="dxa"/>
              <w:start w:w="85" w:type="dxa"/>
              <w:bottom w:w="85" w:type="dxa"/>
              <w:end w:w="85" w:type="dxa"/>
            </w:tcMar>
          </w:tcPr>
          <w:p>
            <w:pPr>
              <w:spacing w:after="0"/>
            </w:pPr>
            <w:r>
              <w:rPr>
                <w:rFonts w:ascii="Aptos" w:hAnsi="Aptos" w:eastAsia="Aptos"/>
                <w:b/>
                <w:color w:val="FFFFFF"/>
                <w:sz w:val="16"/>
              </w:rPr>
              <w:t>#</w:t>
            </w:r>
          </w:p>
        </w:tc>
        <w:tc>
          <w:tcPr>
            <w:tcW w:type="dxa" w:w="3528"/>
            <w:vAlign w:val="center"/>
            <w:shd w:fill="17324D"/>
            <w:tcMar>
              <w:top w:w="85" w:type="dxa"/>
              <w:start w:w="85" w:type="dxa"/>
              <w:bottom w:w="85" w:type="dxa"/>
              <w:end w:w="85" w:type="dxa"/>
            </w:tcMar>
          </w:tcPr>
          <w:p>
            <w:pPr>
              <w:spacing w:after="0"/>
            </w:pPr>
            <w:r>
              <w:rPr>
                <w:rFonts w:ascii="Aptos" w:hAnsi="Aptos" w:eastAsia="Aptos"/>
                <w:b/>
                <w:color w:val="FFFFFF"/>
                <w:sz w:val="16"/>
              </w:rPr>
              <w:t>Entregable</w:t>
            </w:r>
          </w:p>
        </w:tc>
        <w:tc>
          <w:tcPr>
            <w:tcW w:type="dxa" w:w="5328"/>
            <w:vAlign w:val="center"/>
            <w:shd w:fill="17324D"/>
            <w:tcMar>
              <w:top w:w="85" w:type="dxa"/>
              <w:start w:w="85" w:type="dxa"/>
              <w:bottom w:w="85" w:type="dxa"/>
              <w:end w:w="85" w:type="dxa"/>
            </w:tcMar>
          </w:tcPr>
          <w:p>
            <w:pPr>
              <w:spacing w:after="0"/>
            </w:pPr>
            <w:r>
              <w:rPr>
                <w:rFonts w:ascii="Aptos" w:hAnsi="Aptos" w:eastAsia="Aptos"/>
                <w:b/>
                <w:color w:val="FFFFFF"/>
                <w:sz w:val="16"/>
              </w:rPr>
              <w:t>Evidencia</w:t>
            </w:r>
          </w:p>
        </w:tc>
        <w:tc>
          <w:tcPr>
            <w:tcW w:type="dxa" w:w="1181"/>
            <w:vAlign w:val="center"/>
            <w:shd w:fill="17324D"/>
            <w:tcMar>
              <w:top w:w="85" w:type="dxa"/>
              <w:start w:w="85" w:type="dxa"/>
              <w:bottom w:w="85" w:type="dxa"/>
              <w:end w:w="85" w:type="dxa"/>
            </w:tcMar>
          </w:tcPr>
          <w:p>
            <w:pPr>
              <w:spacing w:after="0"/>
            </w:pPr>
            <w:r>
              <w:rPr>
                <w:rFonts w:ascii="Aptos" w:hAnsi="Aptos" w:eastAsia="Aptos"/>
                <w:b/>
                <w:color w:val="FFFFFF"/>
                <w:sz w:val="16"/>
              </w:rPr>
              <w:t>Estado</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39</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Future provider extensibility</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40</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Missing CPIG source handling</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41</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ADMIN configuration design</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42</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ADMIN UI</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43</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USER Five Case UI</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44</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Sources &amp; Evidence matrix</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45</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Roles/permissions</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46</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SoD</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47</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ETag</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48</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Idempotency</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49</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SecurityEvent</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50</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Hashing</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51</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Persistence decision</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52</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Migration decision</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53</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API compatibility</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54</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PostgreSQL happy path</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postgres-business-case.xml: 2/2, incluido lifecycle READY</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55</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Negative Benefits test</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backend-focused.xml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56</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Negative Commercial test</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backend-focused.xml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57</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Negative FIN stale test</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backend-focused.xml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bl>
    <w:p>
      <w:pPr>
        <w:spacing w:after="20"/>
      </w:pPr>
    </w:p>
    <w:p>
      <w:r>
        <w:br w:type="page"/>
      </w:r>
    </w:p>
    <w:p>
      <w:pPr>
        <w:pStyle w:val="Heading2"/>
        <w:keepNext/>
        <w:spacing w:before="120" w:after="80"/>
      </w:pPr>
      <w:r>
        <w:t>13.4 Entregables 58–75</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2570"/>
        <w:gridCol w:w="2570"/>
        <w:gridCol w:w="2570"/>
        <w:gridCol w:w="2570"/>
      </w:tblGrid>
      <w:tr>
        <w:trPr>
          <w:tblHeader/>
          <w:cantSplit/>
        </w:trPr>
        <w:tc>
          <w:tcPr>
            <w:tcW w:type="dxa" w:w="547"/>
            <w:vAlign w:val="center"/>
            <w:shd w:fill="17324D"/>
            <w:tcMar>
              <w:top w:w="85" w:type="dxa"/>
              <w:start w:w="85" w:type="dxa"/>
              <w:bottom w:w="85" w:type="dxa"/>
              <w:end w:w="85" w:type="dxa"/>
            </w:tcMar>
          </w:tcPr>
          <w:p>
            <w:pPr>
              <w:spacing w:after="0"/>
            </w:pPr>
            <w:r>
              <w:rPr>
                <w:rFonts w:ascii="Aptos" w:hAnsi="Aptos" w:eastAsia="Aptos"/>
                <w:b/>
                <w:color w:val="FFFFFF"/>
                <w:sz w:val="16"/>
              </w:rPr>
              <w:t>#</w:t>
            </w:r>
          </w:p>
        </w:tc>
        <w:tc>
          <w:tcPr>
            <w:tcW w:type="dxa" w:w="3528"/>
            <w:vAlign w:val="center"/>
            <w:shd w:fill="17324D"/>
            <w:tcMar>
              <w:top w:w="85" w:type="dxa"/>
              <w:start w:w="85" w:type="dxa"/>
              <w:bottom w:w="85" w:type="dxa"/>
              <w:end w:w="85" w:type="dxa"/>
            </w:tcMar>
          </w:tcPr>
          <w:p>
            <w:pPr>
              <w:spacing w:after="0"/>
            </w:pPr>
            <w:r>
              <w:rPr>
                <w:rFonts w:ascii="Aptos" w:hAnsi="Aptos" w:eastAsia="Aptos"/>
                <w:b/>
                <w:color w:val="FFFFFF"/>
                <w:sz w:val="16"/>
              </w:rPr>
              <w:t>Entregable</w:t>
            </w:r>
          </w:p>
        </w:tc>
        <w:tc>
          <w:tcPr>
            <w:tcW w:type="dxa" w:w="5328"/>
            <w:vAlign w:val="center"/>
            <w:shd w:fill="17324D"/>
            <w:tcMar>
              <w:top w:w="85" w:type="dxa"/>
              <w:start w:w="85" w:type="dxa"/>
              <w:bottom w:w="85" w:type="dxa"/>
              <w:end w:w="85" w:type="dxa"/>
            </w:tcMar>
          </w:tcPr>
          <w:p>
            <w:pPr>
              <w:spacing w:after="0"/>
            </w:pPr>
            <w:r>
              <w:rPr>
                <w:rFonts w:ascii="Aptos" w:hAnsi="Aptos" w:eastAsia="Aptos"/>
                <w:b/>
                <w:color w:val="FFFFFF"/>
                <w:sz w:val="16"/>
              </w:rPr>
              <w:t>Evidencia</w:t>
            </w:r>
          </w:p>
        </w:tc>
        <w:tc>
          <w:tcPr>
            <w:tcW w:type="dxa" w:w="1181"/>
            <w:vAlign w:val="center"/>
            <w:shd w:fill="17324D"/>
            <w:tcMar>
              <w:top w:w="85" w:type="dxa"/>
              <w:start w:w="85" w:type="dxa"/>
              <w:bottom w:w="85" w:type="dxa"/>
              <w:end w:w="85" w:type="dxa"/>
            </w:tcMar>
          </w:tcPr>
          <w:p>
            <w:pPr>
              <w:spacing w:after="0"/>
            </w:pPr>
            <w:r>
              <w:rPr>
                <w:rFonts w:ascii="Aptos" w:hAnsi="Aptos" w:eastAsia="Aptos"/>
                <w:b/>
                <w:color w:val="FFFFFF"/>
                <w:sz w:val="16"/>
              </w:rPr>
              <w:t>Estado</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58</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Negative FEL stale test</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backend-focused.xml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59</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Source mismatch test</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backend-focused.xml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60</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Legacy revision test</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legacy unit test</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61</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Refresh/recovery test</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refresh union/removal test</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62</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Decision snapshot test</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snapshot regression test</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63</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Governance Model regression</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64</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Tailoring/proportionality</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65</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Browser USER E2E</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browser-e2e.xml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66</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Browser ADMIN E2E</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browser-e2e.xml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67</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Direct-route security</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68</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Navigation integration</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blueprint + E2E</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69</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Full strategic regression</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backend-strategic-regression-final.xml: 152 ejecutadas PASS; 4 PostgreSQL-only omitidas</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70</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Performance observation</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build y tiempos observados</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71</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Technical debt</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72</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CPIG gap update</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73</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Updated technical report</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este documento</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74</w:t>
            </w:r>
          </w:p>
        </w:tc>
        <w:tc>
          <w:tcPr>
            <w:tcW w:type="dxa" w:w="35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Final exclusive state</w:t>
            </w:r>
          </w:p>
        </w:tc>
        <w:tc>
          <w:tcPr>
            <w:tcW w:type="dxa" w:w="532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GATE07M_BC_FIVE_CASE_RELEASE_VALIDATED / READY_FOR_GOVERNED_FIVE_CASE_BUSINESS_CASE_EVIDENCE</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r>
        <w:trPr>
          <w:cantSplit/>
        </w:trPr>
        <w:tc>
          <w:tcPr>
            <w:tcW w:type="dxa" w:w="547"/>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75</w:t>
            </w:r>
          </w:p>
        </w:tc>
        <w:tc>
          <w:tcPr>
            <w:tcW w:type="dxa" w:w="35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Recommendation for next increment</w:t>
            </w:r>
          </w:p>
        </w:tc>
        <w:tc>
          <w:tcPr>
            <w:tcW w:type="dxa" w:w="532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Código, ADR y validación focal</w:t>
            </w:r>
          </w:p>
        </w:tc>
        <w:tc>
          <w:tcPr>
            <w:tcW w:type="dxa" w:w="1181"/>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r>
    </w:tbl>
    <w:p>
      <w:pPr>
        <w:spacing w:after="20"/>
      </w:pPr>
    </w:p>
    <w:p>
      <w:r>
        <w:br w:type="page"/>
      </w:r>
    </w:p>
    <w:p>
      <w:pPr>
        <w:pStyle w:val="Heading1"/>
        <w:keepNext/>
        <w:spacing w:before="160" w:after="80"/>
      </w:pPr>
      <w:r>
        <w:t>14. Deuda técnica, gaps CPIG y estado final</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3427"/>
        <w:gridCol w:w="3427"/>
        <w:gridCol w:w="3427"/>
      </w:tblGrid>
      <w:tr>
        <w:trPr>
          <w:tblHeader/>
          <w:cantSplit/>
        </w:trPr>
        <w:tc>
          <w:tcPr>
            <w:tcW w:type="dxa" w:w="2736"/>
            <w:vAlign w:val="center"/>
            <w:shd w:fill="17324D"/>
            <w:tcMar>
              <w:top w:w="85" w:type="dxa"/>
              <w:start w:w="85" w:type="dxa"/>
              <w:bottom w:w="85" w:type="dxa"/>
              <w:end w:w="85" w:type="dxa"/>
            </w:tcMar>
          </w:tcPr>
          <w:p>
            <w:pPr>
              <w:spacing w:after="0"/>
            </w:pPr>
            <w:r>
              <w:rPr>
                <w:rFonts w:ascii="Aptos" w:hAnsi="Aptos" w:eastAsia="Aptos"/>
                <w:b/>
                <w:color w:val="FFFFFF"/>
                <w:sz w:val="16"/>
              </w:rPr>
              <w:t>Tema</w:t>
            </w:r>
          </w:p>
        </w:tc>
        <w:tc>
          <w:tcPr>
            <w:tcW w:type="dxa" w:w="1440"/>
            <w:vAlign w:val="center"/>
            <w:shd w:fill="17324D"/>
            <w:tcMar>
              <w:top w:w="85" w:type="dxa"/>
              <w:start w:w="85" w:type="dxa"/>
              <w:bottom w:w="85" w:type="dxa"/>
              <w:end w:w="85" w:type="dxa"/>
            </w:tcMar>
          </w:tcPr>
          <w:p>
            <w:pPr>
              <w:spacing w:after="0"/>
            </w:pPr>
            <w:r>
              <w:rPr>
                <w:rFonts w:ascii="Aptos" w:hAnsi="Aptos" w:eastAsia="Aptos"/>
                <w:b/>
                <w:color w:val="FFFFFF"/>
                <w:sz w:val="16"/>
              </w:rPr>
              <w:t>Estado</w:t>
            </w:r>
          </w:p>
        </w:tc>
        <w:tc>
          <w:tcPr>
            <w:tcW w:type="dxa" w:w="6408"/>
            <w:vAlign w:val="center"/>
            <w:shd w:fill="17324D"/>
            <w:tcMar>
              <w:top w:w="85" w:type="dxa"/>
              <w:start w:w="85" w:type="dxa"/>
              <w:bottom w:w="85" w:type="dxa"/>
              <w:end w:w="85" w:type="dxa"/>
            </w:tcMar>
          </w:tcPr>
          <w:p>
            <w:pPr>
              <w:spacing w:after="0"/>
            </w:pPr>
            <w:r>
              <w:rPr>
                <w:rFonts w:ascii="Aptos" w:hAnsi="Aptos" w:eastAsia="Aptos"/>
                <w:b/>
                <w:color w:val="FFFFFF"/>
                <w:sz w:val="16"/>
              </w:rPr>
              <w:t>Tratamiento recomendado</w:t>
            </w:r>
          </w:p>
        </w:tc>
      </w:tr>
      <w:tr>
        <w:trPr>
          <w:cantSplit/>
        </w:trPr>
        <w:tc>
          <w:tcPr>
            <w:tcW w:type="dxa" w:w="273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Regresión frontend completa</w:t>
            </w:r>
          </w:p>
        </w:tc>
        <w:tc>
          <w:tcPr>
            <w:tcW w:type="dxa" w:w="1440"/>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c>
          <w:tcPr>
            <w:tcW w:type="dxa" w:w="640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273/273 tras estabilización controlada de timeouts</w:t>
            </w:r>
          </w:p>
        </w:tc>
      </w:tr>
      <w:tr>
        <w:trPr>
          <w:cantSplit/>
        </w:trPr>
        <w:tc>
          <w:tcPr>
            <w:tcW w:type="dxa" w:w="273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Regresión backend estratégica</w:t>
            </w:r>
          </w:p>
        </w:tc>
        <w:tc>
          <w:tcPr>
            <w:tcW w:type="dxa" w:w="1440"/>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c>
          <w:tcPr>
            <w:tcW w:type="dxa" w:w="640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152 ejecutadas PASS; 4 PostgreSQL-only omitidas</w:t>
            </w:r>
          </w:p>
        </w:tc>
      </w:tr>
      <w:tr>
        <w:trPr>
          <w:cantSplit/>
        </w:trPr>
        <w:tc>
          <w:tcPr>
            <w:tcW w:type="dxa" w:w="273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PostgreSQL lifecycle Five Case</w:t>
            </w:r>
          </w:p>
        </w:tc>
        <w:tc>
          <w:tcPr>
            <w:tcW w:type="dxa" w:w="1440"/>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c>
          <w:tcPr>
            <w:tcW w:type="dxa" w:w="640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Round-trip transaccional de cinco Cases READY con rollback final</w:t>
            </w:r>
          </w:p>
        </w:tc>
      </w:tr>
      <w:tr>
        <w:trPr>
          <w:cantSplit/>
        </w:trPr>
        <w:tc>
          <w:tcPr>
            <w:tcW w:type="dxa" w:w="273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Índices PostgreSQL</w:t>
            </w:r>
          </w:p>
        </w:tc>
        <w:tc>
          <w:tcPr>
            <w:tcW w:type="dxa" w:w="1440"/>
            <w:vAlign w:val="top"/>
            <w:shd w:fill="E9F5EE"/>
            <w:tcMar>
              <w:top w:w="85" w:type="dxa"/>
              <w:start w:w="85" w:type="dxa"/>
              <w:bottom w:w="85" w:type="dxa"/>
              <w:end w:w="85" w:type="dxa"/>
            </w:tcMar>
          </w:tcPr>
          <w:p>
            <w:pPr>
              <w:spacing w:after="0" w:line="245" w:lineRule="auto"/>
            </w:pPr>
            <w:r>
              <w:rPr>
                <w:rFonts w:ascii="Aptos" w:hAnsi="Aptos" w:eastAsia="Aptos"/>
                <w:b/>
                <w:color w:val="18794E"/>
                <w:sz w:val="15"/>
              </w:rPr>
              <w:t>PASS</w:t>
            </w:r>
          </w:p>
        </w:tc>
        <w:tc>
          <w:tcPr>
            <w:tcW w:type="dxa" w:w="640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La prueba valida columnas, independiente del nombre create_all/Alembic</w:t>
            </w:r>
          </w:p>
        </w:tc>
      </w:tr>
      <w:tr>
        <w:trPr>
          <w:cantSplit/>
        </w:trPr>
        <w:tc>
          <w:tcPr>
            <w:tcW w:type="dxa" w:w="2736"/>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Warnings BIM</w:t>
            </w:r>
          </w:p>
        </w:tc>
        <w:tc>
          <w:tcPr>
            <w:tcW w:type="dxa" w:w="1440"/>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DEUDA</w:t>
            </w:r>
          </w:p>
        </w:tc>
        <w:tc>
          <w:tcPr>
            <w:tcW w:type="dxa" w:w="6408"/>
            <w:vAlign w:val="top"/>
            <w:shd w:fill="FFFFFF"/>
            <w:tcMar>
              <w:top w:w="85" w:type="dxa"/>
              <w:start w:w="85" w:type="dxa"/>
              <w:bottom w:w="85" w:type="dxa"/>
              <w:end w:w="85" w:type="dxa"/>
            </w:tcMar>
          </w:tcPr>
          <w:p>
            <w:pPr>
              <w:spacing w:after="0" w:line="245" w:lineRule="auto"/>
            </w:pPr>
            <w:r>
              <w:rPr>
                <w:rFonts w:ascii="Aptos" w:hAnsi="Aptos" w:eastAsia="Aptos"/>
                <w:b w:val="0"/>
                <w:color w:val="202A33"/>
                <w:sz w:val="15"/>
              </w:rPr>
              <w:t>9 warnings ESLint heredados; fuera del alcance Five Case</w:t>
            </w:r>
          </w:p>
        </w:tc>
      </w:tr>
      <w:tr>
        <w:trPr>
          <w:cantSplit/>
        </w:trPr>
        <w:tc>
          <w:tcPr>
            <w:tcW w:type="dxa" w:w="2736"/>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Gate07J policy</w:t>
            </w:r>
          </w:p>
        </w:tc>
        <w:tc>
          <w:tcPr>
            <w:tcW w:type="dxa" w:w="1440"/>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FUERA</w:t>
            </w:r>
          </w:p>
        </w:tc>
        <w:tc>
          <w:tcPr>
            <w:tcW w:type="dxa" w:w="6408"/>
            <w:vAlign w:val="top"/>
            <w:shd w:fill="F5F7F8"/>
            <w:tcMar>
              <w:top w:w="85" w:type="dxa"/>
              <w:start w:w="85" w:type="dxa"/>
              <w:bottom w:w="85" w:type="dxa"/>
              <w:end w:w="85" w:type="dxa"/>
            </w:tcMar>
          </w:tcPr>
          <w:p>
            <w:pPr>
              <w:spacing w:after="0" w:line="245" w:lineRule="auto"/>
            </w:pPr>
            <w:r>
              <w:rPr>
                <w:rFonts w:ascii="Aptos" w:hAnsi="Aptos" w:eastAsia="Aptos"/>
                <w:b w:val="0"/>
                <w:color w:val="202A33"/>
                <w:sz w:val="15"/>
              </w:rPr>
              <w:t>Mantener sin mutación hasta prompt explícito</w:t>
            </w:r>
          </w:p>
        </w:tc>
      </w:tr>
    </w:tbl>
    <w:p>
      <w:pPr>
        <w:spacing w:after="20"/>
      </w:pPr>
    </w:p>
    <w:p>
      <w:pPr>
        <w:spacing w:after="100" w:line="259" w:lineRule="auto"/>
      </w:pPr>
      <w:r>
        <w:rPr>
          <w:rFonts w:ascii="Aptos" w:hAnsi="Aptos" w:eastAsia="Aptos"/>
          <w:b w:val="0"/>
          <w:color w:val="202A33"/>
          <w:sz w:val="21"/>
        </w:rPr>
        <w:t>Gaps CPIG explícitamente no implementados:</w:t>
      </w:r>
    </w:p>
    <w:p>
      <w:pPr>
        <w:pStyle w:val="ListBullet"/>
        <w:spacing w:after="50" w:line="259" w:lineRule="auto"/>
      </w:pPr>
      <w:r>
        <w:rPr>
          <w:rFonts w:ascii="Aptos" w:hAnsi="Aptos" w:eastAsia="Aptos"/>
          <w:b w:val="0"/>
          <w:color w:val="202A33"/>
          <w:sz w:val="21"/>
        </w:rPr>
        <w:t>Risk Appetite / Risk Capacity / Risk Thresholds.</w:t>
      </w:r>
    </w:p>
    <w:p>
      <w:pPr>
        <w:pStyle w:val="ListBullet"/>
        <w:spacing w:after="50" w:line="259" w:lineRule="auto"/>
      </w:pPr>
      <w:r>
        <w:rPr>
          <w:rFonts w:ascii="Aptos" w:hAnsi="Aptos" w:eastAsia="Aptos"/>
          <w:b w:val="0"/>
          <w:color w:val="202A33"/>
          <w:sz w:val="21"/>
        </w:rPr>
        <w:t>Strategic Capital Demand / Capital Planning enhancement.</w:t>
      </w:r>
    </w:p>
    <w:p>
      <w:pPr>
        <w:pStyle w:val="ListBullet"/>
        <w:spacing w:after="50" w:line="259" w:lineRule="auto"/>
      </w:pPr>
      <w:r>
        <w:rPr>
          <w:rFonts w:ascii="Aptos" w:hAnsi="Aptos" w:eastAsia="Aptos"/>
          <w:b w:val="0"/>
          <w:color w:val="202A33"/>
          <w:sz w:val="21"/>
        </w:rPr>
        <w:t>Basic Data Readiness y QRA / Confidence.</w:t>
      </w:r>
    </w:p>
    <w:p>
      <w:pPr>
        <w:pStyle w:val="ListBullet"/>
        <w:spacing w:after="50" w:line="259" w:lineRule="auto"/>
      </w:pPr>
      <w:r>
        <w:rPr>
          <w:rFonts w:ascii="Aptos" w:hAnsi="Aptos" w:eastAsia="Aptos"/>
          <w:b w:val="0"/>
          <w:color w:val="202A33"/>
          <w:sz w:val="21"/>
        </w:rPr>
        <w:t>Owner Capability Readiness.</w:t>
      </w:r>
    </w:p>
    <w:p>
      <w:pPr>
        <w:pStyle w:val="ListBullet"/>
        <w:spacing w:after="50" w:line="259" w:lineRule="auto"/>
      </w:pPr>
      <w:r>
        <w:rPr>
          <w:rFonts w:ascii="Aptos" w:hAnsi="Aptos" w:eastAsia="Aptos"/>
          <w:b w:val="0"/>
          <w:color w:val="202A33"/>
          <w:sz w:val="21"/>
        </w:rPr>
        <w:t>Gate-level evidence policy integration.</w:t>
      </w:r>
    </w:p>
    <w:p>
      <w:pPr>
        <w:pStyle w:val="ListBullet"/>
        <w:spacing w:after="50" w:line="259" w:lineRule="auto"/>
      </w:pPr>
      <w:r>
        <w:rPr>
          <w:rFonts w:ascii="Aptos" w:hAnsi="Aptos" w:eastAsia="Aptos"/>
          <w:b w:val="0"/>
          <w:color w:val="202A33"/>
          <w:sz w:val="21"/>
        </w:rPr>
        <w:t>Operational Readiness y Benefits Realization.</w:t>
      </w:r>
    </w:p>
    <w:p>
      <w:pPr>
        <w:pStyle w:val="Heading2"/>
        <w:keepNext/>
        <w:spacing w:before="120" w:after="80"/>
      </w:pPr>
      <w:r>
        <w:t>14.1 Estado exclusivo</w:t>
      </w:r>
    </w:p>
    <w:p>
      <w:pPr>
        <w:jc w:val="center"/>
      </w:pPr>
      <w:r>
        <w:rPr>
          <w:rFonts w:ascii="Aptos" w:hAnsi="Aptos" w:eastAsia="Aptos"/>
          <w:b/>
          <w:color w:val="18794E"/>
          <w:sz w:val="28"/>
        </w:rPr>
        <w:t>GATE07M_BC_FIVE_CASE_RELEASE_VALIDATED</w:t>
      </w:r>
    </w:p>
    <w:p>
      <w:pPr>
        <w:spacing w:after="100" w:line="259" w:lineRule="auto"/>
      </w:pPr>
      <w:r>
        <w:rPr>
          <w:rFonts w:ascii="Aptos" w:hAnsi="Aptos" w:eastAsia="Aptos"/>
          <w:b w:val="0"/>
          <w:color w:val="202A33"/>
          <w:sz w:val="21"/>
        </w:rPr>
        <w:t>READY_FOR_GOVERNED_FIVE_CASE_BUSINESS_CASE_EVIDENCE. La capacidad quedó implementada, desplegada y validada con evidencia focal, regresión estratégica, frontend integral, navegador y PostgreSQL transaccional.</w:t>
      </w:r>
    </w:p>
    <w:p>
      <w:pPr>
        <w:pStyle w:val="Heading2"/>
        <w:keepNext/>
        <w:spacing w:before="120" w:after="80"/>
      </w:pPr>
      <w:r>
        <w:t>14.2 Recomendación del siguiente incremento</w:t>
      </w:r>
    </w:p>
    <w:p>
      <w:pPr>
        <w:spacing w:after="100" w:line="259" w:lineRule="auto"/>
      </w:pPr>
      <w:r>
        <w:rPr>
          <w:rFonts w:ascii="Aptos" w:hAnsi="Aptos" w:eastAsia="Aptos"/>
          <w:b w:val="0"/>
          <w:color w:val="202A33"/>
          <w:sz w:val="21"/>
        </w:rPr>
        <w:t>El siguiente gap recomendado es Gate-level evidence policy integration, porque conecta el provider ya enriquecido con la evaluación formal sin duplicar evidencia ni anticipar Procurement, Project Delivery u Operational Readiness.</w:t>
      </w:r>
    </w:p>
    <w:p>
      <w:pPr>
        <w:pStyle w:val="Heading2"/>
        <w:keepNext/>
        <w:spacing w:before="120" w:after="80"/>
      </w:pPr>
      <w:r>
        <w:t>14.3 STOP boundary</w:t>
      </w:r>
    </w:p>
    <w:p>
      <w:pPr>
        <w:spacing w:after="100" w:line="259" w:lineRule="auto"/>
      </w:pPr>
      <w:r>
        <w:rPr>
          <w:rFonts w:ascii="Aptos" w:hAnsi="Aptos" w:eastAsia="Aptos"/>
          <w:b w:val="0"/>
          <w:color w:val="202A33"/>
          <w:sz w:val="21"/>
        </w:rPr>
        <w:t>Este trabajo se detiene aquí. No inicia automáticamente Gate07J policy update, Risk Appetite, Basic Data, QRA, Owner Capability, Capital Demand, Procurement execution, Project Delivery, Operational Readiness ni Benefits Realization.</w:t>
      </w:r>
    </w:p>
    <w:sectPr w:rsidR="00FC693F" w:rsidRPr="0006063C" w:rsidSect="00034616">
      <w:headerReference w:type="default" r:id="rId9"/>
      <w:footerReference w:type="default" r:id="rId10"/>
      <w:pgSz w:w="12240" w:h="15840"/>
      <w:pgMar w:top="1037"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53616B"/>
        <w:sz w:val="16"/>
      </w:rPr>
      <w:t xml:space="preserve">Informe técnico controlado  ·  Página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53616B"/>
        <w:sz w:val="16"/>
      </w:rPr>
      <w:t>P&amp;Pmis Construction AI  |  Gate 07M-BC-5C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Gate 07M-BC-5C</dc:title>
  <dc:subject>Five Case Model Integration for Governed Business Case</dc:subject>
  <dc:creator>P&amp;Pmis Construction AI / Codex</dc:creator>
  <cp:keywords>Gate07M-BC-5C, Five Case, Business Case, readiness, CPIG, P&amp;Pmis</cp:keywords>
  <dc:description>Informe técnico de implementación, despliegue y validación</dc:description>
  <cp:lastModifiedBy/>
  <cp:revision>1</cp:revision>
  <dcterms:created xsi:type="dcterms:W3CDTF">2013-12-23T23:15:00Z</dcterms:created>
  <dcterms:modified xsi:type="dcterms:W3CDTF">2013-12-23T23:15:00Z</dcterms:modified>
  <cp:category/>
</cp:coreProperties>
</file>