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864654"/>
            <wp:docPr id="1" name="Picture 1"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11"/>
                    <a:stretch>
                      <a:fillRect/>
                    </a:stretch>
                  </pic:blipFill>
                  <pic:spPr>
                    <a:xfrm>
                      <a:off x="0" y="0"/>
                      <a:ext cx="960120" cy="864654"/>
                    </a:xfrm>
                    <a:prstGeom prst="rect"/>
                  </pic:spPr>
                </pic:pic>
              </a:graphicData>
            </a:graphic>
          </wp:inline>
        </w:drawing>
      </w:r>
    </w:p>
    <w:p>
      <w:pPr>
        <w:spacing w:after="100"/>
        <w:jc w:val="center"/>
      </w:pPr>
      <w:r>
        <w:rPr>
          <w:rFonts w:ascii="Aptos" w:hAnsi="Aptos" w:eastAsia="Aptos"/>
          <w:b/>
          <w:color w:val="000000"/>
          <w:sz w:val="52"/>
        </w:rPr>
        <w:t>Informe técnico Gate 07M-BEN</w:t>
      </w:r>
    </w:p>
    <w:p>
      <w:pPr>
        <w:spacing w:after="280"/>
        <w:jc w:val="center"/>
      </w:pPr>
      <w:r>
        <w:rPr>
          <w:rFonts w:ascii="Aptos" w:hAnsi="Aptos" w:eastAsia="Aptos"/>
          <w:b/>
          <w:color w:val="17324D"/>
          <w:sz w:val="30"/>
        </w:rPr>
        <w:t>Strategic Benefits Plan, Register, Traceability &amp; Readiness</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5112"/>
        <w:gridCol w:w="5112"/>
      </w:tblGrid>
      <w:tr>
        <w:trPr>
          <w:tblHeader/>
          <w:cantSplit/>
        </w:trPr>
        <w:tc>
          <w:tcPr>
            <w:tcW w:type="dxa" w:w="2376"/>
            <w:vAlign w:val="center"/>
            <w:shd w:fill="17324D"/>
            <w:tcMar>
              <w:top w:w="90" w:type="dxa"/>
              <w:start w:w="90" w:type="dxa"/>
              <w:bottom w:w="90" w:type="dxa"/>
              <w:end w:w="90" w:type="dxa"/>
            </w:tcMar>
          </w:tcPr>
          <w:p>
            <w:pPr>
              <w:spacing w:after="0"/>
            </w:pPr>
            <w:r>
              <w:rPr>
                <w:rFonts w:ascii="Aptos" w:hAnsi="Aptos" w:eastAsia="Aptos"/>
                <w:b/>
                <w:color w:val="FFFFFF"/>
                <w:sz w:val="17"/>
              </w:rPr>
              <w:t>Control</w:t>
            </w:r>
          </w:p>
        </w:tc>
        <w:tc>
          <w:tcPr>
            <w:tcW w:type="dxa" w:w="7704"/>
            <w:vAlign w:val="center"/>
            <w:shd w:fill="17324D"/>
            <w:tcMar>
              <w:top w:w="90" w:type="dxa"/>
              <w:start w:w="90" w:type="dxa"/>
              <w:bottom w:w="90" w:type="dxa"/>
              <w:end w:w="90" w:type="dxa"/>
            </w:tcMar>
          </w:tcPr>
          <w:p>
            <w:pPr>
              <w:spacing w:after="0"/>
            </w:pPr>
            <w:r>
              <w:rPr>
                <w:rFonts w:ascii="Aptos" w:hAnsi="Aptos" w:eastAsia="Aptos"/>
                <w:b/>
                <w:color w:val="FFFFFF"/>
                <w:sz w:val="17"/>
              </w:rPr>
              <w:t>Valor</w:t>
            </w:r>
          </w:p>
        </w:tc>
      </w:tr>
      <w:tr>
        <w:trPr>
          <w:cantSplit/>
        </w:trPr>
        <w:tc>
          <w:tcPr>
            <w:tcW w:type="dxa" w:w="237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Aplicación</w:t>
            </w:r>
          </w:p>
        </w:tc>
        <w:tc>
          <w:tcPr>
            <w:tcW w:type="dxa" w:w="770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P&amp;Pmis Construction AI</w:t>
            </w:r>
          </w:p>
        </w:tc>
      </w:tr>
      <w:tr>
        <w:trPr>
          <w:cantSplit/>
        </w:trPr>
        <w:tc>
          <w:tcPr>
            <w:tcW w:type="dxa" w:w="237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Incremento</w:t>
            </w:r>
          </w:p>
        </w:tc>
        <w:tc>
          <w:tcPr>
            <w:tcW w:type="dxa" w:w="770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PROMPT V2 — Gate 07M-BEN</w:t>
            </w:r>
          </w:p>
        </w:tc>
      </w:tr>
      <w:tr>
        <w:trPr>
          <w:cantSplit/>
        </w:trPr>
        <w:tc>
          <w:tcPr>
            <w:tcW w:type="dxa" w:w="237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Fecha de cierre</w:t>
            </w:r>
          </w:p>
        </w:tc>
        <w:tc>
          <w:tcPr>
            <w:tcW w:type="dxa" w:w="770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2026-09-17</w:t>
            </w:r>
          </w:p>
        </w:tc>
      </w:tr>
      <w:tr>
        <w:trPr>
          <w:cantSplit/>
        </w:trPr>
        <w:tc>
          <w:tcPr>
            <w:tcW w:type="dxa" w:w="237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Alembic head</w:t>
            </w:r>
          </w:p>
        </w:tc>
        <w:tc>
          <w:tcPr>
            <w:tcW w:type="dxa" w:w="770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20260916_0061 (single head)</w:t>
            </w:r>
          </w:p>
        </w:tc>
      </w:tr>
      <w:tr>
        <w:trPr>
          <w:cantSplit/>
        </w:trPr>
        <w:tc>
          <w:tcPr>
            <w:tcW w:type="dxa" w:w="237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Estado</w:t>
            </w:r>
          </w:p>
        </w:tc>
        <w:tc>
          <w:tcPr>
            <w:tcW w:type="dxa" w:w="770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GATE07M_BEN_STRATEGIC_BENEFITS_RELEASE_VALIDATED</w:t>
            </w:r>
          </w:p>
        </w:tc>
      </w:tr>
      <w:tr>
        <w:trPr>
          <w:cantSplit/>
        </w:trPr>
        <w:tc>
          <w:tcPr>
            <w:tcW w:type="dxa" w:w="237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Salida</w:t>
            </w:r>
          </w:p>
        </w:tc>
        <w:tc>
          <w:tcPr>
            <w:tcW w:type="dxa" w:w="770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READY_FOR_GOVERNED_BENEFITS_PLAN_EVIDENCE</w:t>
            </w:r>
          </w:p>
        </w:tc>
      </w:tr>
      <w:tr>
        <w:trPr>
          <w:cantSplit/>
        </w:trPr>
        <w:tc>
          <w:tcPr>
            <w:tcW w:type="dxa" w:w="237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Provider</w:t>
            </w:r>
          </w:p>
        </w:tc>
        <w:tc>
          <w:tcPr>
            <w:tcW w:type="dxa" w:w="770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BENEFITS_READINESS_PROVIDER = AVAILABLE</w:t>
            </w:r>
          </w:p>
        </w:tc>
      </w:tr>
    </w:tbl>
    <w:p>
      <w:pPr>
        <w:spacing w:after="40"/>
      </w:pPr>
    </w:p>
    <w:p>
      <w:pPr>
        <w:pStyle w:val="Heading1"/>
        <w:keepNext/>
        <w:spacing w:before="200" w:after="100"/>
      </w:pPr>
      <w:r>
        <w:t>1. Resumen ejecutivo</w:t>
      </w:r>
    </w:p>
    <w:p>
      <w:pPr>
        <w:spacing w:after="120" w:line="269" w:lineRule="auto"/>
      </w:pPr>
      <w:r>
        <w:rPr>
          <w:rFonts w:ascii="Aptos" w:hAnsi="Aptos" w:eastAsia="Aptos"/>
          <w:b w:val="0"/>
          <w:color w:val="202A33"/>
          <w:sz w:val="22"/>
        </w:rPr>
        <w:t>Se implementó una capacidad gobernada pre-FID para definir, revisar, completar, versionar y trazar beneficios estratégicos por Project Workspace. La solución conserva una identidad Benefit estable entre versiones, separa Output, Outcome, Benefit y Value, calcula readiness exclusivamente en backend y deja preparado el contrato de evidencia para una integración Gate07J posterior, sin modificar la política publicada actual.</w:t>
      </w:r>
    </w:p>
    <w:p>
      <w:pPr>
        <w:pStyle w:val="ListBullet"/>
        <w:spacing w:after="60" w:line="269" w:lineRule="auto"/>
      </w:pPr>
      <w:r>
        <w:rPr>
          <w:rFonts w:ascii="Aptos" w:hAnsi="Aptos" w:eastAsia="Aptos"/>
          <w:b w:val="0"/>
          <w:color w:val="202A33"/>
          <w:sz w:val="22"/>
        </w:rPr>
        <w:t>USER MODE opera Plans, Benefits, owners, medidas, baselines, targets, expected value, lifecycle, readiness, traceability e histórico.</w:t>
      </w:r>
    </w:p>
    <w:p>
      <w:pPr>
        <w:pStyle w:val="ListBullet"/>
        <w:spacing w:after="60" w:line="269" w:lineRule="auto"/>
      </w:pPr>
      <w:r>
        <w:rPr>
          <w:rFonts w:ascii="Aptos" w:hAnsi="Aptos" w:eastAsia="Aptos"/>
          <w:b w:val="0"/>
          <w:color w:val="202A33"/>
          <w:sz w:val="22"/>
        </w:rPr>
        <w:t>ADMIN MODE gobierna catálogos, aplicabilidad, requisitos, cobertura, readiness, tailoring, herencia, numeración y segregación de funciones; no opera expedientes vivos.</w:t>
      </w:r>
    </w:p>
    <w:p>
      <w:pPr>
        <w:pStyle w:val="ListBullet"/>
        <w:spacing w:after="60" w:line="269" w:lineRule="auto"/>
      </w:pPr>
      <w:r>
        <w:rPr>
          <w:rFonts w:ascii="Aptos" w:hAnsi="Aptos" w:eastAsia="Aptos"/>
          <w:b w:val="0"/>
          <w:color w:val="202A33"/>
          <w:sz w:val="22"/>
        </w:rPr>
        <w:t>Una versión COMPLETED es inmutable. Un cambio material o fuente obsoleta se recupera mediante Refresh Preview persisted=false y una nueva versión DRAFT.</w:t>
      </w:r>
    </w:p>
    <w:p>
      <w:pPr>
        <w:pStyle w:val="ListBullet"/>
        <w:spacing w:after="60" w:line="269" w:lineRule="auto"/>
      </w:pPr>
      <w:r>
        <w:rPr>
          <w:rFonts w:ascii="Aptos" w:hAnsi="Aptos" w:eastAsia="Aptos"/>
          <w:b w:val="0"/>
          <w:color w:val="202A33"/>
          <w:sz w:val="22"/>
        </w:rPr>
        <w:t>El provider BENEFITS_READINESS_PROVIDER queda AVAILABLE y solo puede suministrar evidencia cuando la versión está COMPLETED, READY, current y sin blockers.</w:t>
      </w:r>
    </w:p>
    <w:p>
      <w:pPr>
        <w:pStyle w:val="ListBullet"/>
        <w:spacing w:after="60" w:line="269" w:lineRule="auto"/>
      </w:pPr>
      <w:r>
        <w:rPr>
          <w:rFonts w:ascii="Aptos" w:hAnsi="Aptos" w:eastAsia="Aptos"/>
          <w:b w:val="0"/>
          <w:color w:val="202A33"/>
          <w:sz w:val="22"/>
        </w:rPr>
        <w:t>No se implementaron Five Case UI, Benefits Realization actuals, ejecución contractual, Project Delivery ni Operational Readiness.</w:t>
      </w:r>
    </w:p>
    <w:p>
      <w:r>
        <w:br w:type="page"/>
      </w:r>
    </w:p>
    <w:p>
      <w:pPr>
        <w:pStyle w:val="Heading1"/>
        <w:keepNext/>
        <w:spacing w:before="200" w:after="100"/>
      </w:pPr>
      <w:r>
        <w:t>2. Posicionamiento CPIG y fronteras</w:t>
      </w:r>
    </w:p>
    <w:p>
      <w:pPr>
        <w:spacing w:after="120" w:line="269" w:lineRule="auto"/>
      </w:pPr>
      <w:r>
        <w:rPr>
          <w:rFonts w:ascii="Aptos" w:hAnsi="Aptos" w:eastAsia="Aptos"/>
          <w:b w:val="0"/>
          <w:color w:val="202A33"/>
          <w:sz w:val="22"/>
        </w:rPr>
        <w:t>La capacidad queda situada conceptualmente dentro de Business Case &amp; Benefits y operativamente en la fase Project Definition &amp; Investment Case. La navegación presenta Business Case Manager ↔ Strategic Benefits Plan &amp; Traceability, seguida por Commercial &amp; Contracting Strategy. Este orden comunica acoplamiento de justificación sin fusionar autoridades.</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3408"/>
        <w:gridCol w:w="3408"/>
        <w:gridCol w:w="3408"/>
      </w:tblGrid>
      <w:tr>
        <w:trPr>
          <w:tblHeader/>
          <w:cantSplit/>
        </w:trPr>
        <w:tc>
          <w:tcPr>
            <w:tcW w:type="dxa" w:w="1584"/>
            <w:vAlign w:val="center"/>
            <w:shd w:fill="17324D"/>
            <w:tcMar>
              <w:top w:w="90" w:type="dxa"/>
              <w:start w:w="90" w:type="dxa"/>
              <w:bottom w:w="90" w:type="dxa"/>
              <w:end w:w="90" w:type="dxa"/>
            </w:tcMar>
          </w:tcPr>
          <w:p>
            <w:pPr>
              <w:spacing w:after="0"/>
            </w:pPr>
            <w:r>
              <w:rPr>
                <w:rFonts w:ascii="Aptos" w:hAnsi="Aptos" w:eastAsia="Aptos"/>
                <w:b/>
                <w:color w:val="FFFFFF"/>
                <w:sz w:val="17"/>
              </w:rPr>
              <w:t>Concepto</w:t>
            </w:r>
          </w:p>
        </w:tc>
        <w:tc>
          <w:tcPr>
            <w:tcW w:type="dxa" w:w="4680"/>
            <w:vAlign w:val="center"/>
            <w:shd w:fill="17324D"/>
            <w:tcMar>
              <w:top w:w="90" w:type="dxa"/>
              <w:start w:w="90" w:type="dxa"/>
              <w:bottom w:w="90" w:type="dxa"/>
              <w:end w:w="90" w:type="dxa"/>
            </w:tcMar>
          </w:tcPr>
          <w:p>
            <w:pPr>
              <w:spacing w:after="0"/>
            </w:pPr>
            <w:r>
              <w:rPr>
                <w:rFonts w:ascii="Aptos" w:hAnsi="Aptos" w:eastAsia="Aptos"/>
                <w:b/>
                <w:color w:val="FFFFFF"/>
                <w:sz w:val="17"/>
              </w:rPr>
              <w:t>Definición preservada</w:t>
            </w:r>
          </w:p>
        </w:tc>
        <w:tc>
          <w:tcPr>
            <w:tcW w:type="dxa" w:w="4392"/>
            <w:vAlign w:val="center"/>
            <w:shd w:fill="17324D"/>
            <w:tcMar>
              <w:top w:w="90" w:type="dxa"/>
              <w:start w:w="90" w:type="dxa"/>
              <w:bottom w:w="90" w:type="dxa"/>
              <w:end w:w="90" w:type="dxa"/>
            </w:tcMar>
          </w:tcPr>
          <w:p>
            <w:pPr>
              <w:spacing w:after="0"/>
            </w:pPr>
            <w:r>
              <w:rPr>
                <w:rFonts w:ascii="Aptos" w:hAnsi="Aptos" w:eastAsia="Aptos"/>
                <w:b/>
                <w:color w:val="FFFFFF"/>
                <w:sz w:val="17"/>
              </w:rPr>
              <w:t>Autoridad</w:t>
            </w:r>
          </w:p>
        </w:tc>
      </w:tr>
      <w:tr>
        <w:trPr>
          <w:cantSplit/>
        </w:trPr>
        <w:tc>
          <w:tcPr>
            <w:tcW w:type="dxa" w:w="158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Output</w:t>
            </w:r>
          </w:p>
        </w:tc>
        <w:tc>
          <w:tcPr>
            <w:tcW w:type="dxa" w:w="468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Lo que entrega el Project</w:t>
            </w:r>
          </w:p>
        </w:tc>
        <w:tc>
          <w:tcPr>
            <w:tcW w:type="dxa" w:w="439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Scope/Project sources; BEN referencia</w:t>
            </w:r>
          </w:p>
        </w:tc>
      </w:tr>
      <w:tr>
        <w:trPr>
          <w:cantSplit/>
        </w:trPr>
        <w:tc>
          <w:tcPr>
            <w:tcW w:type="dxa" w:w="158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Outcome</w:t>
            </w:r>
          </w:p>
        </w:tc>
        <w:tc>
          <w:tcPr>
            <w:tcW w:type="dxa" w:w="468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Cambio producido cuando se usa el output</w:t>
            </w:r>
          </w:p>
        </w:tc>
        <w:tc>
          <w:tcPr>
            <w:tcW w:type="dxa" w:w="4392"/>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BEN modela la expectativa</w:t>
            </w:r>
          </w:p>
        </w:tc>
      </w:tr>
      <w:tr>
        <w:trPr>
          <w:cantSplit/>
        </w:trPr>
        <w:tc>
          <w:tcPr>
            <w:tcW w:type="dxa" w:w="158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Benefit</w:t>
            </w:r>
          </w:p>
        </w:tc>
        <w:tc>
          <w:tcPr>
            <w:tcW w:type="dxa" w:w="468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Cambio positivo medible habilitado por el outcome</w:t>
            </w:r>
          </w:p>
        </w:tc>
        <w:tc>
          <w:tcPr>
            <w:tcW w:type="dxa" w:w="439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Gate07M-BEN</w:t>
            </w:r>
          </w:p>
        </w:tc>
      </w:tr>
      <w:tr>
        <w:trPr>
          <w:cantSplit/>
        </w:trPr>
        <w:tc>
          <w:tcPr>
            <w:tcW w:type="dxa" w:w="158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Value</w:t>
            </w:r>
          </w:p>
        </w:tc>
        <w:tc>
          <w:tcPr>
            <w:tcW w:type="dxa" w:w="468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Significado estratégico, económico o financiero</w:t>
            </w:r>
          </w:p>
        </w:tc>
        <w:tc>
          <w:tcPr>
            <w:tcW w:type="dxa" w:w="4392"/>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BEN referencia FIN cuando aplica</w:t>
            </w:r>
          </w:p>
        </w:tc>
      </w:tr>
    </w:tbl>
    <w:p>
      <w:pPr>
        <w:spacing w:after="40"/>
      </w:pPr>
    </w:p>
    <w:p>
      <w:pPr>
        <w:spacing w:after="120" w:line="269" w:lineRule="auto"/>
      </w:pPr>
      <w:r>
        <w:rPr>
          <w:rFonts w:ascii="Aptos" w:hAnsi="Aptos" w:eastAsia="Aptos"/>
          <w:b w:val="0"/>
          <w:color w:val="202A33"/>
          <w:sz w:val="22"/>
        </w:rPr>
        <w:t>BEN no es autoridad para objetivos estratégicos, Business Analysis, aprobación de Business Case, WBS, cálculos FIN, Risk Register, Commercial Strategy, KPI reales, contabilidad, pagos ni ejecución operacional. Todas esas fuentes se consumen por referencia y hash, sin doble captura.</w:t>
      </w:r>
    </w:p>
    <w:p>
      <w:pPr>
        <w:pStyle w:val="Heading1"/>
        <w:keepNext/>
        <w:spacing w:before="200" w:after="100"/>
      </w:pPr>
      <w:r>
        <w:t>3. Arquitectura del dominio</w:t>
      </w:r>
    </w:p>
    <w:p>
      <w:pPr>
        <w:pStyle w:val="Heading2"/>
        <w:keepNext/>
        <w:spacing w:before="140" w:after="100"/>
      </w:pPr>
      <w:r>
        <w:t>3.1 Aggregate, identidad y lifecycle</w:t>
      </w:r>
    </w:p>
    <w:p>
      <w:pPr>
        <w:pStyle w:val="ListBullet"/>
        <w:spacing w:after="60" w:line="269" w:lineRule="auto"/>
      </w:pPr>
      <w:r>
        <w:rPr>
          <w:rFonts w:ascii="Aptos" w:hAnsi="Aptos" w:eastAsia="Aptos"/>
          <w:b w:val="0"/>
          <w:color w:val="202A33"/>
          <w:sz w:val="22"/>
        </w:rPr>
        <w:t>Relación: 1 Project Workspace → 1 StrategicBenefitsPlan identity → N Plan Versions.</w:t>
      </w:r>
    </w:p>
    <w:p>
      <w:pPr>
        <w:pStyle w:val="ListBullet"/>
        <w:spacing w:after="60" w:line="269" w:lineRule="auto"/>
      </w:pPr>
      <w:r>
        <w:rPr>
          <w:rFonts w:ascii="Aptos" w:hAnsi="Aptos" w:eastAsia="Aptos"/>
          <w:b w:val="0"/>
          <w:color w:val="202A33"/>
          <w:sz w:val="22"/>
        </w:rPr>
        <w:t>StrategicBenefit mantiene un ID y número BEN-* estables; cada Plan Version conserva un snapshot histórico.</w:t>
      </w:r>
    </w:p>
    <w:p>
      <w:pPr>
        <w:pStyle w:val="ListBullet"/>
        <w:spacing w:after="60" w:line="269" w:lineRule="auto"/>
      </w:pPr>
      <w:r>
        <w:rPr>
          <w:rFonts w:ascii="Aptos" w:hAnsi="Aptos" w:eastAsia="Aptos"/>
          <w:b w:val="0"/>
          <w:color w:val="202A33"/>
          <w:sz w:val="22"/>
        </w:rPr>
        <w:t>Lifecycle: DRAFT → IN_REVIEW → COMPLETED; SUPERSEDED y VOIDED son históricos terminales.</w:t>
      </w:r>
    </w:p>
    <w:p>
      <w:pPr>
        <w:pStyle w:val="ListBullet"/>
        <w:spacing w:after="60" w:line="269" w:lineRule="auto"/>
      </w:pPr>
      <w:r>
        <w:rPr>
          <w:rFonts w:ascii="Aptos" w:hAnsi="Aptos" w:eastAsia="Aptos"/>
          <w:b w:val="0"/>
          <w:color w:val="202A33"/>
          <w:sz w:val="22"/>
        </w:rPr>
        <w:t>Propósitos soportados: INITIAL_BENEFITS_PLAN, FEL_1_UPDATE, FEL_2_UPDATE, INVESTMENT_SELECTION_UPDATE, FEL_3_UPDATE, FFA_UPDATE, MATERIAL_CHANGE_UPDATE, REVALIDATION y OTHER.</w:t>
      </w:r>
    </w:p>
    <w:p>
      <w:pPr>
        <w:pStyle w:val="ListBullet"/>
        <w:spacing w:after="60" w:line="269" w:lineRule="auto"/>
      </w:pPr>
      <w:r>
        <w:rPr>
          <w:rFonts w:ascii="Aptos" w:hAnsi="Aptos" w:eastAsia="Aptos"/>
          <w:b w:val="0"/>
          <w:color w:val="202A33"/>
          <w:sz w:val="22"/>
        </w:rPr>
        <w:t>Un Benefit removido de una revisión no se elimina físicamente si tiene trazabilidad histórica.</w:t>
      </w:r>
    </w:p>
    <w:p>
      <w:pPr>
        <w:pStyle w:val="Heading2"/>
        <w:keepNext/>
        <w:spacing w:before="140" w:after="100"/>
      </w:pPr>
      <w:r>
        <w:t>3.2 Benefit, owner y medida</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5112"/>
        <w:gridCol w:w="5112"/>
      </w:tblGrid>
      <w:tr>
        <w:trPr>
          <w:tblHeader/>
          <w:cantSplit/>
        </w:trPr>
        <w:tc>
          <w:tcPr>
            <w:tcW w:type="dxa" w:w="2160"/>
            <w:vAlign w:val="center"/>
            <w:shd w:fill="17324D"/>
            <w:tcMar>
              <w:top w:w="90" w:type="dxa"/>
              <w:start w:w="90" w:type="dxa"/>
              <w:bottom w:w="90" w:type="dxa"/>
              <w:end w:w="90" w:type="dxa"/>
            </w:tcMar>
          </w:tcPr>
          <w:p>
            <w:pPr>
              <w:spacing w:after="0"/>
            </w:pPr>
            <w:r>
              <w:rPr>
                <w:rFonts w:ascii="Aptos" w:hAnsi="Aptos" w:eastAsia="Aptos"/>
                <w:b/>
                <w:color w:val="FFFFFF"/>
                <w:sz w:val="17"/>
              </w:rPr>
              <w:t>Componente</w:t>
            </w:r>
          </w:p>
        </w:tc>
        <w:tc>
          <w:tcPr>
            <w:tcW w:type="dxa" w:w="8496"/>
            <w:vAlign w:val="center"/>
            <w:shd w:fill="17324D"/>
            <w:tcMar>
              <w:top w:w="90" w:type="dxa"/>
              <w:start w:w="90" w:type="dxa"/>
              <w:bottom w:w="90" w:type="dxa"/>
              <w:end w:w="90" w:type="dxa"/>
            </w:tcMar>
          </w:tcPr>
          <w:p>
            <w:pPr>
              <w:spacing w:after="0"/>
            </w:pPr>
            <w:r>
              <w:rPr>
                <w:rFonts w:ascii="Aptos" w:hAnsi="Aptos" w:eastAsia="Aptos"/>
                <w:b/>
                <w:color w:val="FFFFFF"/>
                <w:sz w:val="17"/>
              </w:rPr>
              <w:t>Implementación gobernada</w:t>
            </w:r>
          </w:p>
        </w:tc>
      </w:tr>
      <w:tr>
        <w:trPr>
          <w:cantSplit/>
        </w:trPr>
        <w:tc>
          <w:tcPr>
            <w:tcW w:type="dxa" w:w="216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Benefit</w:t>
            </w:r>
          </w:p>
        </w:tc>
        <w:tc>
          <w:tcPr>
            <w:tcW w:type="dxa" w:w="849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Tipo/categoría, direction BENEFIT o DISBENEFIT, statement, lineage, output/outcome, expected value, dependencias, supuestos, restricciones y risk refs.</w:t>
            </w:r>
          </w:p>
        </w:tc>
      </w:tr>
      <w:tr>
        <w:trPr>
          <w:cantSplit/>
        </w:trPr>
        <w:tc>
          <w:tcPr>
            <w:tcW w:type="dxa" w:w="216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Owner</w:t>
            </w:r>
          </w:p>
        </w:tc>
        <w:tc>
          <w:tcPr>
            <w:tcW w:type="dxa" w:w="849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Referencia a persona/rol/unidad, vigencia, accountability y aceptación; Project Manager no se asume como Benefit Owner.</w:t>
            </w:r>
          </w:p>
        </w:tc>
      </w:tr>
      <w:tr>
        <w:trPr>
          <w:cantSplit/>
        </w:trPr>
        <w:tc>
          <w:tcPr>
            <w:tcW w:type="dxa" w:w="216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Measure</w:t>
            </w:r>
          </w:p>
        </w:tc>
        <w:tc>
          <w:tcPr>
            <w:tcW w:type="dxa" w:w="849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1..N por Benefit, primaria opcional/obligatoria por policy, dirección, método, frecuencia, fuente y measurement owner.</w:t>
            </w:r>
          </w:p>
        </w:tc>
      </w:tr>
      <w:tr>
        <w:trPr>
          <w:cantSplit/>
        </w:trPr>
        <w:tc>
          <w:tcPr>
            <w:tcW w:type="dxa" w:w="216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Baseline</w:t>
            </w:r>
          </w:p>
        </w:tc>
        <w:tc>
          <w:tcPr>
            <w:tcW w:type="dxa" w:w="849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KNOWN exige valor, fecha y fuente; UNKNOWN conserva value=null y nunca se transforma en cero.</w:t>
            </w:r>
          </w:p>
        </w:tc>
      </w:tr>
      <w:tr>
        <w:trPr>
          <w:cantSplit/>
        </w:trPr>
        <w:tc>
          <w:tcPr>
            <w:tcW w:type="dxa" w:w="216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Target</w:t>
            </w:r>
          </w:p>
        </w:tc>
        <w:tc>
          <w:tcPr>
            <w:tcW w:type="dxa" w:w="849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Valor, fecha, basis y tolerance; no se deriva automáticamente.</w:t>
            </w:r>
          </w:p>
        </w:tc>
      </w:tr>
      <w:tr>
        <w:trPr>
          <w:cantSplit/>
        </w:trPr>
        <w:tc>
          <w:tcPr>
            <w:tcW w:type="dxa" w:w="216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Expected Value</w:t>
            </w:r>
          </w:p>
        </w:tc>
        <w:tc>
          <w:tcPr>
            <w:tcW w:type="dxa" w:w="849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Monetizable o no monetizable; FIN se referencia con source/hash/as-of y no se recalcula.</w:t>
            </w:r>
          </w:p>
        </w:tc>
      </w:tr>
    </w:tbl>
    <w:p>
      <w:pPr>
        <w:spacing w:after="40"/>
      </w:pPr>
    </w:p>
    <w:p>
      <w:r>
        <w:br w:type="page"/>
      </w:r>
    </w:p>
    <w:p>
      <w:pPr>
        <w:pStyle w:val="Heading1"/>
        <w:keepNext/>
        <w:spacing w:before="200" w:after="100"/>
      </w:pPr>
      <w:r>
        <w:t>4. Persistencia, migración, hashes y API</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5112"/>
        <w:gridCol w:w="5112"/>
      </w:tblGrid>
      <w:tr>
        <w:trPr>
          <w:tblHeader/>
          <w:cantSplit/>
        </w:trPr>
        <w:tc>
          <w:tcPr>
            <w:tcW w:type="dxa" w:w="3672"/>
            <w:vAlign w:val="center"/>
            <w:shd w:fill="17324D"/>
            <w:tcMar>
              <w:top w:w="90" w:type="dxa"/>
              <w:start w:w="90" w:type="dxa"/>
              <w:bottom w:w="90" w:type="dxa"/>
              <w:end w:w="90" w:type="dxa"/>
            </w:tcMar>
          </w:tcPr>
          <w:p>
            <w:pPr>
              <w:spacing w:after="0"/>
            </w:pPr>
            <w:r>
              <w:rPr>
                <w:rFonts w:ascii="Aptos" w:hAnsi="Aptos" w:eastAsia="Aptos"/>
                <w:b/>
                <w:color w:val="FFFFFF"/>
                <w:sz w:val="17"/>
              </w:rPr>
              <w:t>Objeto</w:t>
            </w:r>
          </w:p>
        </w:tc>
        <w:tc>
          <w:tcPr>
            <w:tcW w:type="dxa" w:w="6984"/>
            <w:vAlign w:val="center"/>
            <w:shd w:fill="17324D"/>
            <w:tcMar>
              <w:top w:w="90" w:type="dxa"/>
              <w:start w:w="90" w:type="dxa"/>
              <w:bottom w:w="90" w:type="dxa"/>
              <w:end w:w="90" w:type="dxa"/>
            </w:tcMar>
          </w:tcPr>
          <w:p>
            <w:pPr>
              <w:spacing w:after="0"/>
            </w:pPr>
            <w:r>
              <w:rPr>
                <w:rFonts w:ascii="Aptos" w:hAnsi="Aptos" w:eastAsia="Aptos"/>
                <w:b/>
                <w:color w:val="FFFFFF"/>
                <w:sz w:val="17"/>
              </w:rPr>
              <w:t>Responsabilidad</w:t>
            </w:r>
          </w:p>
        </w:tc>
      </w:tr>
      <w:tr>
        <w:trPr>
          <w:cantSplit/>
        </w:trPr>
        <w:tc>
          <w:tcPr>
            <w:tcW w:type="dxa" w:w="367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strategic_benefits_plans</w:t>
            </w:r>
          </w:p>
        </w:tc>
        <w:tc>
          <w:tcPr>
            <w:tcW w:type="dxa" w:w="698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Identidad BPL-* única por tenant/Project, puntero a versión actual e idempotencia.</w:t>
            </w:r>
          </w:p>
        </w:tc>
      </w:tr>
      <w:tr>
        <w:trPr>
          <w:cantSplit/>
        </w:trPr>
        <w:tc>
          <w:tcPr>
            <w:tcW w:type="dxa" w:w="3672"/>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strategic_benefits_plan_versions</w:t>
            </w:r>
          </w:p>
        </w:tc>
        <w:tc>
          <w:tcPr>
            <w:tcW w:type="dxa" w:w="698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Contenido versionado, lifecycle, configuración/fuentes congeladas, readiness y hashes.</w:t>
            </w:r>
          </w:p>
        </w:tc>
      </w:tr>
      <w:tr>
        <w:trPr>
          <w:cantSplit/>
        </w:trPr>
        <w:tc>
          <w:tcPr>
            <w:tcW w:type="dxa" w:w="367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strategic_benefits</w:t>
            </w:r>
          </w:p>
        </w:tc>
        <w:tc>
          <w:tcPr>
            <w:tcW w:type="dxa" w:w="698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Identidad estable BEN-* reutilizable por futuras etapas BRM.</w:t>
            </w:r>
          </w:p>
        </w:tc>
      </w:tr>
      <w:tr>
        <w:trPr>
          <w:cantSplit/>
        </w:trPr>
        <w:tc>
          <w:tcPr>
            <w:tcW w:type="dxa" w:w="3672"/>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strategic_benefit_version_snapshots</w:t>
            </w:r>
          </w:p>
        </w:tc>
        <w:tc>
          <w:tcPr>
            <w:tcW w:type="dxa" w:w="698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Estado inmutable del Benefit por Plan Version.</w:t>
            </w:r>
          </w:p>
        </w:tc>
      </w:tr>
      <w:tr>
        <w:trPr>
          <w:cantSplit/>
        </w:trPr>
        <w:tc>
          <w:tcPr>
            <w:tcW w:type="dxa" w:w="367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strategic_benefit_measures</w:t>
            </w:r>
          </w:p>
        </w:tc>
        <w:tc>
          <w:tcPr>
            <w:tcW w:type="dxa" w:w="698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Medidas, baseline, target, método, owner y hash por snapshot.</w:t>
            </w:r>
          </w:p>
        </w:tc>
      </w:tr>
    </w:tbl>
    <w:p>
      <w:pPr>
        <w:spacing w:after="40"/>
      </w:pPr>
    </w:p>
    <w:p>
      <w:pPr>
        <w:spacing w:after="120" w:line="269" w:lineRule="auto"/>
      </w:pPr>
      <w:r>
        <w:rPr>
          <w:rFonts w:ascii="Aptos" w:hAnsi="Aptos" w:eastAsia="Aptos"/>
          <w:b w:val="0"/>
          <w:color w:val="202A33"/>
          <w:sz w:val="22"/>
        </w:rPr>
        <w:t>La migración 20260916_0061 sucede a 0060, mantiene un solo head, es aditiva y reversible. Se validó up/down/up en SQLite y PostgreSQL. Los hashes deterministas cubren contenido, set de Benefits, traceability, configuración, source bundle y Plan.</w:t>
      </w:r>
    </w:p>
    <w:p>
      <w:pPr>
        <w:spacing w:after="120" w:line="269" w:lineRule="auto"/>
      </w:pPr>
      <w:r>
        <w:rPr>
          <w:rFonts w:ascii="Aptos" w:hAnsi="Aptos" w:eastAsia="Aptos"/>
          <w:b w:val="0"/>
          <w:color w:val="202A33"/>
          <w:sz w:val="22"/>
        </w:rPr>
        <w:t>La API expone list/detail/by-project/readiness/traceability/history, creación y actualización de Draft, Benefit/Measure CRUD gobernado, lifecycle, new-revision, refresh-preview/apply y configuración ADMIN clone/edit/publish/archive/effective-preview. Traceability usa un endpoint paginado y carga agregada para evitar N+1.</w:t>
      </w:r>
    </w:p>
    <w:p>
      <w:pPr>
        <w:pStyle w:val="Heading1"/>
        <w:keepNext/>
        <w:spacing w:before="200" w:after="100"/>
      </w:pPr>
      <w:r>
        <w:t>5. Readiness, cobertura y provider</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5112"/>
        <w:gridCol w:w="5112"/>
      </w:tblGrid>
      <w:tr>
        <w:trPr>
          <w:tblHeader/>
          <w:cantSplit/>
        </w:trPr>
        <w:tc>
          <w:tcPr>
            <w:tcW w:type="dxa" w:w="4104"/>
            <w:vAlign w:val="center"/>
            <w:shd w:fill="17324D"/>
            <w:tcMar>
              <w:top w:w="90" w:type="dxa"/>
              <w:start w:w="90" w:type="dxa"/>
              <w:bottom w:w="90" w:type="dxa"/>
              <w:end w:w="90" w:type="dxa"/>
            </w:tcMar>
          </w:tcPr>
          <w:p>
            <w:pPr>
              <w:spacing w:after="0"/>
            </w:pPr>
            <w:r>
              <w:rPr>
                <w:rFonts w:ascii="Aptos" w:hAnsi="Aptos" w:eastAsia="Aptos"/>
                <w:b/>
                <w:color w:val="FFFFFF"/>
                <w:sz w:val="17"/>
              </w:rPr>
              <w:t>Dimensión backend-owned</w:t>
            </w:r>
          </w:p>
        </w:tc>
        <w:tc>
          <w:tcPr>
            <w:tcW w:type="dxa" w:w="6552"/>
            <w:vAlign w:val="center"/>
            <w:shd w:fill="17324D"/>
            <w:tcMar>
              <w:top w:w="90" w:type="dxa"/>
              <w:start w:w="90" w:type="dxa"/>
              <w:bottom w:w="90" w:type="dxa"/>
              <w:end w:w="90" w:type="dxa"/>
            </w:tcMar>
          </w:tcPr>
          <w:p>
            <w:pPr>
              <w:spacing w:after="0"/>
            </w:pPr>
            <w:r>
              <w:rPr>
                <w:rFonts w:ascii="Aptos" w:hAnsi="Aptos" w:eastAsia="Aptos"/>
                <w:b/>
                <w:color w:val="FFFFFF"/>
                <w:sz w:val="17"/>
              </w:rPr>
              <w:t>Criterio resumido</w:t>
            </w:r>
          </w:p>
        </w:tc>
      </w:tr>
      <w:tr>
        <w:trPr>
          <w:cantSplit/>
        </w:trPr>
        <w:tc>
          <w:tcPr>
            <w:tcW w:type="dxa" w:w="410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STRATEGIC_ALIGNMENT_READINESS</w:t>
            </w:r>
          </w:p>
        </w:tc>
        <w:tc>
          <w:tcPr>
            <w:tcW w:type="dxa" w:w="655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Objetivo y lineage estratégico completos</w:t>
            </w:r>
          </w:p>
        </w:tc>
      </w:tr>
      <w:tr>
        <w:trPr>
          <w:cantSplit/>
        </w:trPr>
        <w:tc>
          <w:tcPr>
            <w:tcW w:type="dxa" w:w="410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OUTPUT_READINESS</w:t>
            </w:r>
          </w:p>
        </w:tc>
        <w:tc>
          <w:tcPr>
            <w:tcW w:type="dxa" w:w="6552"/>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Output esperado definido</w:t>
            </w:r>
          </w:p>
        </w:tc>
      </w:tr>
      <w:tr>
        <w:trPr>
          <w:cantSplit/>
        </w:trPr>
        <w:tc>
          <w:tcPr>
            <w:tcW w:type="dxa" w:w="410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OUTCOME_READINESS</w:t>
            </w:r>
          </w:p>
        </w:tc>
        <w:tc>
          <w:tcPr>
            <w:tcW w:type="dxa" w:w="655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Outcome esperado definido</w:t>
            </w:r>
          </w:p>
        </w:tc>
      </w:tr>
      <w:tr>
        <w:trPr>
          <w:cantSplit/>
        </w:trPr>
        <w:tc>
          <w:tcPr>
            <w:tcW w:type="dxa" w:w="410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BENEFIT_DEFINITION_READINESS</w:t>
            </w:r>
          </w:p>
        </w:tc>
        <w:tc>
          <w:tcPr>
            <w:tcW w:type="dxa" w:w="6552"/>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Benefit completo y coherente</w:t>
            </w:r>
          </w:p>
        </w:tc>
      </w:tr>
      <w:tr>
        <w:trPr>
          <w:cantSplit/>
        </w:trPr>
        <w:tc>
          <w:tcPr>
            <w:tcW w:type="dxa" w:w="410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BENEFIT_OWNER_READINESS</w:t>
            </w:r>
          </w:p>
        </w:tc>
        <w:tc>
          <w:tcPr>
            <w:tcW w:type="dxa" w:w="655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Owner requerido y asignación válida</w:t>
            </w:r>
          </w:p>
        </w:tc>
      </w:tr>
      <w:tr>
        <w:trPr>
          <w:cantSplit/>
        </w:trPr>
        <w:tc>
          <w:tcPr>
            <w:tcW w:type="dxa" w:w="410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MEASUREMENT_READINESS</w:t>
            </w:r>
          </w:p>
        </w:tc>
        <w:tc>
          <w:tcPr>
            <w:tcW w:type="dxa" w:w="6552"/>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Medida primaria/método según policy</w:t>
            </w:r>
          </w:p>
        </w:tc>
      </w:tr>
      <w:tr>
        <w:trPr>
          <w:cantSplit/>
        </w:trPr>
        <w:tc>
          <w:tcPr>
            <w:tcW w:type="dxa" w:w="410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BASELINE_READINESS</w:t>
            </w:r>
          </w:p>
        </w:tc>
        <w:tc>
          <w:tcPr>
            <w:tcW w:type="dxa" w:w="655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Baseline conocido o UNKNOWN permitido explícitamente</w:t>
            </w:r>
          </w:p>
        </w:tc>
      </w:tr>
      <w:tr>
        <w:trPr>
          <w:cantSplit/>
        </w:trPr>
        <w:tc>
          <w:tcPr>
            <w:tcW w:type="dxa" w:w="410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TARGET_READINESS</w:t>
            </w:r>
          </w:p>
        </w:tc>
        <w:tc>
          <w:tcPr>
            <w:tcW w:type="dxa" w:w="6552"/>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Target requerido presente</w:t>
            </w:r>
          </w:p>
        </w:tc>
      </w:tr>
      <w:tr>
        <w:trPr>
          <w:cantSplit/>
        </w:trPr>
        <w:tc>
          <w:tcPr>
            <w:tcW w:type="dxa" w:w="410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TARGET_DATE_READINESS</w:t>
            </w:r>
          </w:p>
        </w:tc>
        <w:tc>
          <w:tcPr>
            <w:tcW w:type="dxa" w:w="655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Fecha requerida presente</w:t>
            </w:r>
          </w:p>
        </w:tc>
      </w:tr>
      <w:tr>
        <w:trPr>
          <w:cantSplit/>
        </w:trPr>
        <w:tc>
          <w:tcPr>
            <w:tcW w:type="dxa" w:w="410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VALUE_READINESS</w:t>
            </w:r>
          </w:p>
        </w:tc>
        <w:tc>
          <w:tcPr>
            <w:tcW w:type="dxa" w:w="6552"/>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Expected value completo cuando aplica</w:t>
            </w:r>
          </w:p>
        </w:tc>
      </w:tr>
      <w:tr>
        <w:trPr>
          <w:cantSplit/>
        </w:trPr>
        <w:tc>
          <w:tcPr>
            <w:tcW w:type="dxa" w:w="410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TRACEABILITY_READINESS</w:t>
            </w:r>
          </w:p>
        </w:tc>
        <w:tc>
          <w:tcPr>
            <w:tcW w:type="dxa" w:w="655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Cadena de fuentes, output, outcome, Benefit y medida íntegra</w:t>
            </w:r>
          </w:p>
        </w:tc>
      </w:tr>
      <w:tr>
        <w:trPr>
          <w:cantSplit/>
        </w:trPr>
        <w:tc>
          <w:tcPr>
            <w:tcW w:type="dxa" w:w="410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OVERALL_BENEFITS_READINESS</w:t>
            </w:r>
          </w:p>
        </w:tc>
        <w:tc>
          <w:tcPr>
            <w:tcW w:type="dxa" w:w="6552"/>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READY solo si cobertura y blockers satisfacen policy</w:t>
            </w:r>
          </w:p>
        </w:tc>
      </w:tr>
    </w:tbl>
    <w:p>
      <w:pPr>
        <w:spacing w:after="40"/>
      </w:pPr>
    </w:p>
    <w:p>
      <w:pPr>
        <w:spacing w:after="120" w:line="269" w:lineRule="auto"/>
      </w:pPr>
      <w:r>
        <w:rPr>
          <w:rFonts w:ascii="Aptos" w:hAnsi="Aptos" w:eastAsia="Aptos"/>
          <w:b w:val="0"/>
          <w:color w:val="202A33"/>
          <w:sz w:val="22"/>
        </w:rPr>
        <w:t>La cobertura usa denominador explícito por Benefits requeridos; no promedia para ocultar faltantes. El provider registra provider_key BENEFITS_READINESS_PROVIDER, source_module STRATEGIC_BENEFITS_PLAN, evidence_type BENEFITS_PLAN_READINESS y status AVAILABLE. El contrato incluye IDs, versiones, Benefit snapshots, owners, KPIs, baselines, targets, dates, expected values, hashes, warnings, blockers y source-current.</w:t>
      </w:r>
    </w:p>
    <w:p>
      <w:pPr>
        <w:pStyle w:val="Heading1"/>
        <w:keepNext/>
        <w:spacing w:before="200" w:after="100"/>
      </w:pPr>
      <w:r>
        <w:t>6. Trazabilidad, staleness y revalidación</w:t>
      </w:r>
    </w:p>
    <w:p>
      <w:pPr>
        <w:spacing w:after="120" w:line="269" w:lineRule="auto"/>
      </w:pPr>
      <w:r>
        <w:rPr>
          <w:rFonts w:ascii="Aptos" w:hAnsi="Aptos" w:eastAsia="Aptos"/>
          <w:b w:val="0"/>
          <w:color w:val="202A33"/>
          <w:sz w:val="22"/>
        </w:rPr>
        <w:t>La matriz derivada conserva Strategic Objective → Need/Opportunity → Business Analysis → Recommended Option → Project → Business Case → Expected Output → Expected Outcome → Benefit → KPI → Baseline → Target → Owner → Target Date → Expected Value. Las relaciones many-to-many se representan mediante referencias y colecciones sin imponer 1:1 artificial.</w:t>
      </w:r>
    </w:p>
    <w:p>
      <w:pPr>
        <w:pStyle w:val="ListBullet"/>
        <w:spacing w:after="60" w:line="269" w:lineRule="auto"/>
      </w:pPr>
      <w:r>
        <w:rPr>
          <w:rFonts w:ascii="Aptos" w:hAnsi="Aptos" w:eastAsia="Aptos"/>
          <w:b w:val="0"/>
          <w:color w:val="202A33"/>
          <w:sz w:val="22"/>
        </w:rPr>
        <w:t>Un COMPLETED se reporta STALE cuando cambian materialmente fuentes o configuración; el histórico no se muta.</w:t>
      </w:r>
    </w:p>
    <w:p>
      <w:pPr>
        <w:pStyle w:val="ListBullet"/>
        <w:spacing w:after="60" w:line="269" w:lineRule="auto"/>
      </w:pPr>
      <w:r>
        <w:rPr>
          <w:rFonts w:ascii="Aptos" w:hAnsi="Aptos" w:eastAsia="Aptos"/>
          <w:b w:val="0"/>
          <w:color w:val="202A33"/>
          <w:sz w:val="22"/>
        </w:rPr>
        <w:t>Refresh Preview informa source, Benefit, owner, measure, target, policy y readiness deltas con persisted=false.</w:t>
      </w:r>
    </w:p>
    <w:p>
      <w:pPr>
        <w:pStyle w:val="ListBullet"/>
        <w:spacing w:after="60" w:line="269" w:lineRule="auto"/>
      </w:pPr>
      <w:r>
        <w:rPr>
          <w:rFonts w:ascii="Aptos" w:hAnsi="Aptos" w:eastAsia="Aptos"/>
          <w:b w:val="0"/>
          <w:color w:val="202A33"/>
          <w:sz w:val="22"/>
        </w:rPr>
        <w:t>Refresh Apply crea una nueva DRAFT; los Benefits no removidos conservan la misma identidad BEN-* y reciben nuevos snapshots.</w:t>
      </w:r>
    </w:p>
    <w:p>
      <w:pPr>
        <w:pStyle w:val="ListBullet"/>
        <w:spacing w:after="60" w:line="269" w:lineRule="auto"/>
      </w:pPr>
      <w:r>
        <w:rPr>
          <w:rFonts w:ascii="Aptos" w:hAnsi="Aptos" w:eastAsia="Aptos"/>
          <w:b w:val="0"/>
          <w:color w:val="202A33"/>
          <w:sz w:val="22"/>
        </w:rPr>
        <w:t>La política puede graduar profundidad por tamaño, riesgo, complejidad, Project Type, Governance Model, FEL Stage, Gate Profile y Benefit Type.</w:t>
      </w:r>
    </w:p>
    <w:p>
      <w:pPr>
        <w:pStyle w:val="Heading1"/>
        <w:keepNext/>
        <w:spacing w:before="200" w:after="100"/>
      </w:pPr>
      <w:r>
        <w:t>7. Seguridad, concurrencia y auditoría</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3408"/>
        <w:gridCol w:w="3408"/>
        <w:gridCol w:w="3408"/>
      </w:tblGrid>
      <w:tr>
        <w:trPr>
          <w:tblHeader/>
          <w:cantSplit/>
        </w:trPr>
        <w:tc>
          <w:tcPr>
            <w:tcW w:type="dxa" w:w="1800"/>
            <w:vAlign w:val="center"/>
            <w:shd w:fill="17324D"/>
            <w:tcMar>
              <w:top w:w="90" w:type="dxa"/>
              <w:start w:w="90" w:type="dxa"/>
              <w:bottom w:w="90" w:type="dxa"/>
              <w:end w:w="90" w:type="dxa"/>
            </w:tcMar>
          </w:tcPr>
          <w:p>
            <w:pPr>
              <w:spacing w:after="0"/>
            </w:pPr>
            <w:r>
              <w:rPr>
                <w:rFonts w:ascii="Aptos" w:hAnsi="Aptos" w:eastAsia="Aptos"/>
                <w:b/>
                <w:color w:val="FFFFFF"/>
                <w:sz w:val="17"/>
              </w:rPr>
              <w:t>Control</w:t>
            </w:r>
          </w:p>
        </w:tc>
        <w:tc>
          <w:tcPr>
            <w:tcW w:type="dxa" w:w="7416"/>
            <w:vAlign w:val="center"/>
            <w:shd w:fill="17324D"/>
            <w:tcMar>
              <w:top w:w="90" w:type="dxa"/>
              <w:start w:w="90" w:type="dxa"/>
              <w:bottom w:w="90" w:type="dxa"/>
              <w:end w:w="90" w:type="dxa"/>
            </w:tcMar>
          </w:tcPr>
          <w:p>
            <w:pPr>
              <w:spacing w:after="0"/>
            </w:pPr>
            <w:r>
              <w:rPr>
                <w:rFonts w:ascii="Aptos" w:hAnsi="Aptos" w:eastAsia="Aptos"/>
                <w:b/>
                <w:color w:val="FFFFFF"/>
                <w:sz w:val="17"/>
              </w:rPr>
              <w:t>Implementación</w:t>
            </w:r>
          </w:p>
        </w:tc>
        <w:tc>
          <w:tcPr>
            <w:tcW w:type="dxa" w:w="1440"/>
            <w:vAlign w:val="center"/>
            <w:shd w:fill="17324D"/>
            <w:tcMar>
              <w:top w:w="90" w:type="dxa"/>
              <w:start w:w="90" w:type="dxa"/>
              <w:bottom w:w="90" w:type="dxa"/>
              <w:end w:w="90" w:type="dxa"/>
            </w:tcMar>
          </w:tcPr>
          <w:p>
            <w:pPr>
              <w:spacing w:after="0"/>
            </w:pPr>
            <w:r>
              <w:rPr>
                <w:rFonts w:ascii="Aptos" w:hAnsi="Aptos" w:eastAsia="Aptos"/>
                <w:b/>
                <w:color w:val="FFFFFF"/>
                <w:sz w:val="17"/>
              </w:rPr>
              <w:t>Estado</w:t>
            </w:r>
          </w:p>
        </w:tc>
      </w:tr>
      <w:tr>
        <w:trPr>
          <w:cantSplit/>
        </w:trPr>
        <w:tc>
          <w:tcPr>
            <w:tcW w:type="dxa" w:w="180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RBAC</w:t>
            </w:r>
          </w:p>
        </w:tc>
        <w:tc>
          <w:tcPr>
            <w:tcW w:type="dxa" w:w="741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Roles author, reviewer, viewer y config_admin; permisos USER/ADMIN disjuntos</w:t>
            </w:r>
          </w:p>
        </w:tc>
        <w:tc>
          <w:tcPr>
            <w:tcW w:type="dxa" w:w="1440"/>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180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Scope</w:t>
            </w:r>
          </w:p>
        </w:tc>
        <w:tc>
          <w:tcPr>
            <w:tcW w:type="dxa" w:w="741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Tenant y Project Workspace en expedientes y configuración</w:t>
            </w:r>
          </w:p>
        </w:tc>
        <w:tc>
          <w:tcPr>
            <w:tcW w:type="dxa" w:w="1440"/>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180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SoD</w:t>
            </w:r>
          </w:p>
        </w:tc>
        <w:tc>
          <w:tcPr>
            <w:tcW w:type="dxa" w:w="741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Author distinto del final reviewer cuando policy lo exige</w:t>
            </w:r>
          </w:p>
        </w:tc>
        <w:tc>
          <w:tcPr>
            <w:tcW w:type="dxa" w:w="1440"/>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180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ETag</w:t>
            </w:r>
          </w:p>
        </w:tc>
        <w:tc>
          <w:tcPr>
            <w:tcW w:type="dxa" w:w="741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If-Match/revision_version; stale ETag devuelve 412 ETAG_MISMATCH</w:t>
            </w:r>
          </w:p>
        </w:tc>
        <w:tc>
          <w:tcPr>
            <w:tcW w:type="dxa" w:w="1440"/>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180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Idempotencia</w:t>
            </w:r>
          </w:p>
        </w:tc>
        <w:tc>
          <w:tcPr>
            <w:tcW w:type="dxa" w:w="741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Create Plan/Benefit/revision/submit/complete/void/refresh-apply</w:t>
            </w:r>
          </w:p>
        </w:tc>
        <w:tc>
          <w:tcPr>
            <w:tcW w:type="dxa" w:w="1440"/>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180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Audit</w:t>
            </w:r>
          </w:p>
        </w:tc>
        <w:tc>
          <w:tcPr>
            <w:tcW w:type="dxa" w:w="741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SecurityEvent para lifecycle, configuración y owner assignment</w:t>
            </w:r>
          </w:p>
        </w:tc>
        <w:tc>
          <w:tcPr>
            <w:tcW w:type="dxa" w:w="1440"/>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180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Direct route</w:t>
            </w:r>
          </w:p>
        </w:tc>
        <w:tc>
          <w:tcPr>
            <w:tcW w:type="dxa" w:w="741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StrategicViewOutlet protege configuración ADMIN por can_configure</w:t>
            </w:r>
          </w:p>
        </w:tc>
        <w:tc>
          <w:tcPr>
            <w:tcW w:type="dxa" w:w="1440"/>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bl>
    <w:p>
      <w:pPr>
        <w:spacing w:after="40"/>
      </w:pPr>
    </w:p>
    <w:p>
      <w:pPr>
        <w:pStyle w:val="Heading1"/>
        <w:keepNext/>
        <w:spacing w:before="200" w:after="100"/>
      </w:pPr>
      <w:r>
        <w:t>8. Frontend y navegación</w:t>
      </w:r>
    </w:p>
    <w:p>
      <w:pPr>
        <w:pStyle w:val="ListBullet"/>
        <w:spacing w:after="60" w:line="269" w:lineRule="auto"/>
      </w:pPr>
      <w:r>
        <w:rPr>
          <w:rFonts w:ascii="Aptos" w:hAnsi="Aptos" w:eastAsia="Aptos"/>
          <w:b w:val="0"/>
          <w:color w:val="202A33"/>
          <w:sz w:val="22"/>
        </w:rPr>
        <w:t>USER ofrece My Plans y 15 secciones: Overview, Strategic Alignment, Outputs, Outcomes, Benefits Register, Measures/KPIs, Owners, Baselines &amp; Targets, Expected Value, Dependencies, Assumptions/Constraints, Risk References, Traceability, Readiness e History.</w:t>
      </w:r>
    </w:p>
    <w:p>
      <w:pPr>
        <w:pStyle w:val="ListBullet"/>
        <w:spacing w:after="60" w:line="269" w:lineRule="auto"/>
      </w:pPr>
      <w:r>
        <w:rPr>
          <w:rFonts w:ascii="Aptos" w:hAnsi="Aptos" w:eastAsia="Aptos"/>
          <w:b w:val="0"/>
          <w:color w:val="202A33"/>
          <w:sz w:val="22"/>
        </w:rPr>
        <w:t>Las colas My Plans, Draft, In Review, Returned, Ready, Completed, Stale y All Authorized se consultan desde backend.</w:t>
      </w:r>
    </w:p>
    <w:p>
      <w:pPr>
        <w:pStyle w:val="ListBullet"/>
        <w:spacing w:after="60" w:line="269" w:lineRule="auto"/>
      </w:pPr>
      <w:r>
        <w:rPr>
          <w:rFonts w:ascii="Aptos" w:hAnsi="Aptos" w:eastAsia="Aptos"/>
          <w:b w:val="0"/>
          <w:color w:val="202A33"/>
          <w:sz w:val="22"/>
        </w:rPr>
        <w:t>ADMIN ofrece 23 secciones para General, Applicability, catálogos, requisitos, coverage/readiness, FEL/Gate, overrides, inheritance, numbering, SoD, preview e history.</w:t>
      </w:r>
    </w:p>
    <w:p>
      <w:pPr>
        <w:pStyle w:val="ListBullet"/>
        <w:spacing w:after="60" w:line="269" w:lineRule="auto"/>
      </w:pPr>
      <w:r>
        <w:rPr>
          <w:rFonts w:ascii="Aptos" w:hAnsi="Aptos" w:eastAsia="Aptos"/>
          <w:b w:val="0"/>
          <w:color w:val="202A33"/>
          <w:sz w:val="22"/>
        </w:rPr>
        <w:t>La integración se realizó en strategicNavigationBlueprint.ts y StrategicViewOutlet. App.tsx conserva el routing estratégico genérico sin rutas BEN específicas.</w:t>
      </w:r>
    </w:p>
    <w:p>
      <w:r>
        <w:br w:type="page"/>
      </w:r>
    </w:p>
    <w:p>
      <w:pPr>
        <w:pStyle w:val="Heading1"/>
        <w:keepNext/>
        <w:spacing w:before="200" w:after="100"/>
      </w:pPr>
      <w:r>
        <w:t>9. Evidencia de validación</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2045"/>
        <w:gridCol w:w="2045"/>
        <w:gridCol w:w="2045"/>
        <w:gridCol w:w="2045"/>
        <w:gridCol w:w="2045"/>
      </w:tblGrid>
      <w:tr>
        <w:trPr>
          <w:tblHeader/>
          <w:cantSplit/>
        </w:trPr>
        <w:tc>
          <w:tcPr>
            <w:tcW w:type="dxa" w:w="4824"/>
            <w:vAlign w:val="center"/>
            <w:shd w:fill="17324D"/>
            <w:tcMar>
              <w:top w:w="90" w:type="dxa"/>
              <w:start w:w="90" w:type="dxa"/>
              <w:bottom w:w="90" w:type="dxa"/>
              <w:end w:w="90" w:type="dxa"/>
            </w:tcMar>
          </w:tcPr>
          <w:p>
            <w:pPr>
              <w:spacing w:after="0"/>
            </w:pPr>
            <w:r>
              <w:rPr>
                <w:rFonts w:ascii="Aptos" w:hAnsi="Aptos" w:eastAsia="Aptos"/>
                <w:b/>
                <w:color w:val="FFFFFF"/>
                <w:sz w:val="17"/>
              </w:rPr>
              <w:t>Suite</w:t>
            </w:r>
          </w:p>
        </w:tc>
        <w:tc>
          <w:tcPr>
            <w:tcW w:type="dxa" w:w="1008"/>
            <w:vAlign w:val="center"/>
            <w:shd w:fill="17324D"/>
            <w:tcMar>
              <w:top w:w="90" w:type="dxa"/>
              <w:start w:w="90" w:type="dxa"/>
              <w:bottom w:w="90" w:type="dxa"/>
              <w:end w:w="90" w:type="dxa"/>
            </w:tcMar>
          </w:tcPr>
          <w:p>
            <w:pPr>
              <w:spacing w:after="0"/>
            </w:pPr>
            <w:r>
              <w:rPr>
                <w:rFonts w:ascii="Aptos" w:hAnsi="Aptos" w:eastAsia="Aptos"/>
                <w:b/>
                <w:color w:val="FFFFFF"/>
                <w:sz w:val="17"/>
              </w:rPr>
              <w:t>Casos</w:t>
            </w:r>
          </w:p>
        </w:tc>
        <w:tc>
          <w:tcPr>
            <w:tcW w:type="dxa" w:w="1008"/>
            <w:vAlign w:val="center"/>
            <w:shd w:fill="17324D"/>
            <w:tcMar>
              <w:top w:w="90" w:type="dxa"/>
              <w:start w:w="90" w:type="dxa"/>
              <w:bottom w:w="90" w:type="dxa"/>
              <w:end w:w="90" w:type="dxa"/>
            </w:tcMar>
          </w:tcPr>
          <w:p>
            <w:pPr>
              <w:spacing w:after="0"/>
            </w:pPr>
            <w:r>
              <w:rPr>
                <w:rFonts w:ascii="Aptos" w:hAnsi="Aptos" w:eastAsia="Aptos"/>
                <w:b/>
                <w:color w:val="FFFFFF"/>
                <w:sz w:val="17"/>
              </w:rPr>
              <w:t>Fallos</w:t>
            </w:r>
          </w:p>
        </w:tc>
        <w:tc>
          <w:tcPr>
            <w:tcW w:type="dxa" w:w="936"/>
            <w:vAlign w:val="center"/>
            <w:shd w:fill="17324D"/>
            <w:tcMar>
              <w:top w:w="90" w:type="dxa"/>
              <w:start w:w="90" w:type="dxa"/>
              <w:bottom w:w="90" w:type="dxa"/>
              <w:end w:w="90" w:type="dxa"/>
            </w:tcMar>
          </w:tcPr>
          <w:p>
            <w:pPr>
              <w:spacing w:after="0"/>
            </w:pPr>
            <w:r>
              <w:rPr>
                <w:rFonts w:ascii="Aptos" w:hAnsi="Aptos" w:eastAsia="Aptos"/>
                <w:b/>
                <w:color w:val="FFFFFF"/>
                <w:sz w:val="17"/>
              </w:rPr>
              <w:t>Skip</w:t>
            </w:r>
          </w:p>
        </w:tc>
        <w:tc>
          <w:tcPr>
            <w:tcW w:type="dxa" w:w="2016"/>
            <w:vAlign w:val="center"/>
            <w:shd w:fill="17324D"/>
            <w:tcMar>
              <w:top w:w="90" w:type="dxa"/>
              <w:start w:w="90" w:type="dxa"/>
              <w:bottom w:w="90" w:type="dxa"/>
              <w:end w:w="90" w:type="dxa"/>
            </w:tcMar>
          </w:tcPr>
          <w:p>
            <w:pPr>
              <w:spacing w:after="0"/>
            </w:pPr>
            <w:r>
              <w:rPr>
                <w:rFonts w:ascii="Aptos" w:hAnsi="Aptos" w:eastAsia="Aptos"/>
                <w:b/>
                <w:color w:val="FFFFFF"/>
                <w:sz w:val="17"/>
              </w:rPr>
              <w:t>Estado</w:t>
            </w:r>
          </w:p>
        </w:tc>
      </w:tr>
      <w:tr>
        <w:trPr>
          <w:cantSplit/>
        </w:trPr>
        <w:tc>
          <w:tcPr>
            <w:tcW w:type="dxa" w:w="482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Backend BEN focal</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6</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93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2016"/>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482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Backend estratégica/FID</w:t>
            </w:r>
          </w:p>
        </w:tc>
        <w:tc>
          <w:tcPr>
            <w:tcW w:type="dxa" w:w="100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21</w:t>
            </w:r>
          </w:p>
        </w:tc>
        <w:tc>
          <w:tcPr>
            <w:tcW w:type="dxa" w:w="100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93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2016"/>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482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Backend full</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645</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9</w:t>
            </w:r>
          </w:p>
        </w:tc>
        <w:tc>
          <w:tcPr>
            <w:tcW w:type="dxa" w:w="93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36</w:t>
            </w:r>
          </w:p>
        </w:tc>
        <w:tc>
          <w:tcPr>
            <w:tcW w:type="dxa" w:w="2016"/>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PASS_WITH_8_INHERITED_AND_1_ENVIRONMENTAL_EXCEPTION</w:t>
            </w:r>
          </w:p>
        </w:tc>
      </w:tr>
      <w:tr>
        <w:trPr>
          <w:cantSplit/>
        </w:trPr>
        <w:tc>
          <w:tcPr>
            <w:tcW w:type="dxa" w:w="482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SQLite migration up/down/up</w:t>
            </w:r>
          </w:p>
        </w:tc>
        <w:tc>
          <w:tcPr>
            <w:tcW w:type="dxa" w:w="100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1</w:t>
            </w:r>
          </w:p>
        </w:tc>
        <w:tc>
          <w:tcPr>
            <w:tcW w:type="dxa" w:w="100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93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2016"/>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482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PostgreSQL migration up/down/up</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1</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93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2016"/>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482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PostgreSQL happy path</w:t>
            </w:r>
          </w:p>
        </w:tc>
        <w:tc>
          <w:tcPr>
            <w:tcW w:type="dxa" w:w="100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1</w:t>
            </w:r>
          </w:p>
        </w:tc>
        <w:tc>
          <w:tcPr>
            <w:tcW w:type="dxa" w:w="100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93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2016"/>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482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Frontend focal</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25</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93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2016"/>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482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Frontend full Vitest</w:t>
            </w:r>
          </w:p>
        </w:tc>
        <w:tc>
          <w:tcPr>
            <w:tcW w:type="dxa" w:w="100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272</w:t>
            </w:r>
          </w:p>
        </w:tc>
        <w:tc>
          <w:tcPr>
            <w:tcW w:type="dxa" w:w="100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93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2016"/>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482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Browser Chromium USER/ADMIN</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4</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93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2016"/>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 (split executions; consolidated rerun host-blocked)</w:t>
            </w:r>
          </w:p>
        </w:tc>
      </w:tr>
      <w:tr>
        <w:trPr>
          <w:cantSplit/>
        </w:trPr>
        <w:tc>
          <w:tcPr>
            <w:tcW w:type="dxa" w:w="482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TypeScript / Vite / ESLint / Prettier</w:t>
            </w:r>
          </w:p>
        </w:tc>
        <w:tc>
          <w:tcPr>
            <w:tcW w:type="dxa" w:w="100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4</w:t>
            </w:r>
          </w:p>
        </w:tc>
        <w:tc>
          <w:tcPr>
            <w:tcW w:type="dxa" w:w="100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936"/>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2016"/>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 (9 pre-existing non-blocking BIM viewer warnings)</w:t>
            </w:r>
          </w:p>
        </w:tc>
      </w:tr>
      <w:tr>
        <w:trPr>
          <w:cantSplit/>
        </w:trPr>
        <w:tc>
          <w:tcPr>
            <w:tcW w:type="dxa" w:w="482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Docker health API/frontend</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2</w:t>
            </w:r>
          </w:p>
        </w:tc>
        <w:tc>
          <w:tcPr>
            <w:tcW w:type="dxa" w:w="100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936"/>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0</w:t>
            </w:r>
          </w:p>
        </w:tc>
        <w:tc>
          <w:tcPr>
            <w:tcW w:type="dxa" w:w="2016"/>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bl>
    <w:p>
      <w:pPr>
        <w:spacing w:after="40"/>
      </w:pPr>
    </w:p>
    <w:p>
      <w:pPr>
        <w:spacing w:after="120" w:line="269" w:lineRule="auto"/>
      </w:pPr>
      <w:r>
        <w:rPr>
          <w:rFonts w:ascii="Aptos" w:hAnsi="Aptos" w:eastAsia="Aptos"/>
          <w:b w:val="0"/>
          <w:color w:val="202A33"/>
          <w:sz w:val="22"/>
        </w:rPr>
        <w:t>Las evidencias controladas se conservan en outputs/.qa/gate07m-ben. Los resultados focales incluyen lifecycle, negativos de readiness, baseline UNKNOWN, SoD, ETag, idempotencia, staleness/recovery, continuidad BEN, migración reversible, happy path PostgreSQL, no mutación Gate07J, navegación y navegador Chromium.</w:t>
      </w:r>
    </w:p>
    <w:p>
      <w:r>
        <w:br w:type="page"/>
      </w:r>
    </w:p>
    <w:p>
      <w:pPr>
        <w:pStyle w:val="Heading1"/>
        <w:keepNext/>
        <w:spacing w:before="200" w:after="100"/>
      </w:pPr>
      <w:r>
        <w:t>10. Trazabilidad de los 77 entregables</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2556"/>
        <w:gridCol w:w="2556"/>
        <w:gridCol w:w="2556"/>
        <w:gridCol w:w="2556"/>
      </w:tblGrid>
      <w:tr>
        <w:trPr>
          <w:tblHeader/>
          <w:cantSplit/>
        </w:trPr>
        <w:tc>
          <w:tcPr>
            <w:tcW w:type="dxa" w:w="547"/>
            <w:vAlign w:val="center"/>
            <w:shd w:fill="17324D"/>
            <w:tcMar>
              <w:top w:w="90" w:type="dxa"/>
              <w:start w:w="90" w:type="dxa"/>
              <w:bottom w:w="90" w:type="dxa"/>
              <w:end w:w="90" w:type="dxa"/>
            </w:tcMar>
          </w:tcPr>
          <w:p>
            <w:pPr>
              <w:spacing w:after="0"/>
            </w:pPr>
            <w:r>
              <w:rPr>
                <w:rFonts w:ascii="Aptos" w:hAnsi="Aptos" w:eastAsia="Aptos"/>
                <w:b/>
                <w:color w:val="FFFFFF"/>
                <w:sz w:val="17"/>
              </w:rPr>
              <w:t>#</w:t>
            </w:r>
          </w:p>
        </w:tc>
        <w:tc>
          <w:tcPr>
            <w:tcW w:type="dxa" w:w="3240"/>
            <w:vAlign w:val="center"/>
            <w:shd w:fill="17324D"/>
            <w:tcMar>
              <w:top w:w="90" w:type="dxa"/>
              <w:start w:w="90" w:type="dxa"/>
              <w:bottom w:w="90" w:type="dxa"/>
              <w:end w:w="90" w:type="dxa"/>
            </w:tcMar>
          </w:tcPr>
          <w:p>
            <w:pPr>
              <w:spacing w:after="0"/>
            </w:pPr>
            <w:r>
              <w:rPr>
                <w:rFonts w:ascii="Aptos" w:hAnsi="Aptos" w:eastAsia="Aptos"/>
                <w:b/>
                <w:color w:val="FFFFFF"/>
                <w:sz w:val="17"/>
              </w:rPr>
              <w:t>Entregable</w:t>
            </w:r>
          </w:p>
        </w:tc>
        <w:tc>
          <w:tcPr>
            <w:tcW w:type="dxa" w:w="5688"/>
            <w:vAlign w:val="center"/>
            <w:shd w:fill="17324D"/>
            <w:tcMar>
              <w:top w:w="90" w:type="dxa"/>
              <w:start w:w="90" w:type="dxa"/>
              <w:bottom w:w="90" w:type="dxa"/>
              <w:end w:w="90" w:type="dxa"/>
            </w:tcMar>
          </w:tcPr>
          <w:p>
            <w:pPr>
              <w:spacing w:after="0"/>
            </w:pPr>
            <w:r>
              <w:rPr>
                <w:rFonts w:ascii="Aptos" w:hAnsi="Aptos" w:eastAsia="Aptos"/>
                <w:b/>
                <w:color w:val="FFFFFF"/>
                <w:sz w:val="17"/>
              </w:rPr>
              <w:t>Evidencia</w:t>
            </w:r>
          </w:p>
        </w:tc>
        <w:tc>
          <w:tcPr>
            <w:tcW w:type="dxa" w:w="1181"/>
            <w:vAlign w:val="center"/>
            <w:shd w:fill="17324D"/>
            <w:tcMar>
              <w:top w:w="90" w:type="dxa"/>
              <w:start w:w="90" w:type="dxa"/>
              <w:bottom w:w="90" w:type="dxa"/>
              <w:end w:w="90" w:type="dxa"/>
            </w:tcMar>
          </w:tcPr>
          <w:p>
            <w:pPr>
              <w:spacing w:after="0"/>
            </w:pPr>
            <w:r>
              <w:rPr>
                <w:rFonts w:ascii="Aptos" w:hAnsi="Aptos" w:eastAsia="Aptos"/>
                <w:b/>
                <w:color w:val="FFFFFF"/>
                <w:sz w:val="17"/>
              </w:rPr>
              <w:t>Estado</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1</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Executive summary</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Word report executive section</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2</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ADR Gate07M-BEN</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docs/66-adr-gate07m-ben-strategic-benefits.md</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3</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Actual baseline assessment</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baseline-assessment.md</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4</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CPIG alignment note</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ADR and Word report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5</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Business Case and Benefits positioning</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ADR navigation and UI evidence</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6</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REUSE BEFORE CREATE</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reuse-matrix.csv</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7</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Domain authority matrix</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domain-authority-matrix.csv</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8</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ADMIN and USER responsibility matrix</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admin-user-matrix.csv</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9</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Benefits Plan aggregate</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Models migration and lifecycle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10</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Stable Benefit identity</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Models and V1/V2 continuity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11</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Plan lifecycle</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Service API and lifecycle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12</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Plan version purposes</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Schema catalog and parameterized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13</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Gate-level revalidation model</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Configuration schema and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14</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Future FID evidence contract</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Provider schema ADR and contract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15</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Output Outcome Benefit Value model</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Schemas UI labels ADR and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16</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Benefit Type and Category</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Published ADMIN catalogs and UI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17</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Benefit Owner</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Persistence schemas UI and history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18</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KPI and Measure</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Measure model schemas and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19</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Multiple measures</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One-to-many model and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20</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Baseline</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Schema readiness and negative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bl>
    <w:p>
      <w:pPr>
        <w:spacing w:after="40"/>
      </w:pPr>
    </w:p>
    <w:p>
      <w:r>
        <w:br w:type="page"/>
      </w:r>
    </w:p>
    <w:p>
      <w:pPr>
        <w:pStyle w:val="Heading2"/>
        <w:keepNext/>
        <w:spacing w:before="140" w:after="100"/>
      </w:pPr>
      <w:r>
        <w:t>10.2 Continuación: entregables 21 a 40</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2556"/>
        <w:gridCol w:w="2556"/>
        <w:gridCol w:w="2556"/>
        <w:gridCol w:w="2556"/>
      </w:tblGrid>
      <w:tr>
        <w:trPr>
          <w:tblHeader/>
          <w:cantSplit/>
        </w:trPr>
        <w:tc>
          <w:tcPr>
            <w:tcW w:type="dxa" w:w="547"/>
            <w:vAlign w:val="center"/>
            <w:shd w:fill="17324D"/>
            <w:tcMar>
              <w:top w:w="90" w:type="dxa"/>
              <w:start w:w="90" w:type="dxa"/>
              <w:bottom w:w="90" w:type="dxa"/>
              <w:end w:w="90" w:type="dxa"/>
            </w:tcMar>
          </w:tcPr>
          <w:p>
            <w:pPr>
              <w:spacing w:after="0"/>
            </w:pPr>
            <w:r>
              <w:rPr>
                <w:rFonts w:ascii="Aptos" w:hAnsi="Aptos" w:eastAsia="Aptos"/>
                <w:b/>
                <w:color w:val="FFFFFF"/>
                <w:sz w:val="17"/>
              </w:rPr>
              <w:t>#</w:t>
            </w:r>
          </w:p>
        </w:tc>
        <w:tc>
          <w:tcPr>
            <w:tcW w:type="dxa" w:w="3240"/>
            <w:vAlign w:val="center"/>
            <w:shd w:fill="17324D"/>
            <w:tcMar>
              <w:top w:w="90" w:type="dxa"/>
              <w:start w:w="90" w:type="dxa"/>
              <w:bottom w:w="90" w:type="dxa"/>
              <w:end w:w="90" w:type="dxa"/>
            </w:tcMar>
          </w:tcPr>
          <w:p>
            <w:pPr>
              <w:spacing w:after="0"/>
            </w:pPr>
            <w:r>
              <w:rPr>
                <w:rFonts w:ascii="Aptos" w:hAnsi="Aptos" w:eastAsia="Aptos"/>
                <w:b/>
                <w:color w:val="FFFFFF"/>
                <w:sz w:val="17"/>
              </w:rPr>
              <w:t>Entregable</w:t>
            </w:r>
          </w:p>
        </w:tc>
        <w:tc>
          <w:tcPr>
            <w:tcW w:type="dxa" w:w="5688"/>
            <w:vAlign w:val="center"/>
            <w:shd w:fill="17324D"/>
            <w:tcMar>
              <w:top w:w="90" w:type="dxa"/>
              <w:start w:w="90" w:type="dxa"/>
              <w:bottom w:w="90" w:type="dxa"/>
              <w:end w:w="90" w:type="dxa"/>
            </w:tcMar>
          </w:tcPr>
          <w:p>
            <w:pPr>
              <w:spacing w:after="0"/>
            </w:pPr>
            <w:r>
              <w:rPr>
                <w:rFonts w:ascii="Aptos" w:hAnsi="Aptos" w:eastAsia="Aptos"/>
                <w:b/>
                <w:color w:val="FFFFFF"/>
                <w:sz w:val="17"/>
              </w:rPr>
              <w:t>Evidencia</w:t>
            </w:r>
          </w:p>
        </w:tc>
        <w:tc>
          <w:tcPr>
            <w:tcW w:type="dxa" w:w="1181"/>
            <w:vAlign w:val="center"/>
            <w:shd w:fill="17324D"/>
            <w:tcMar>
              <w:top w:w="90" w:type="dxa"/>
              <w:start w:w="90" w:type="dxa"/>
              <w:bottom w:w="90" w:type="dxa"/>
              <w:end w:w="90" w:type="dxa"/>
            </w:tcMar>
          </w:tcPr>
          <w:p>
            <w:pPr>
              <w:spacing w:after="0"/>
            </w:pPr>
            <w:r>
              <w:rPr>
                <w:rFonts w:ascii="Aptos" w:hAnsi="Aptos" w:eastAsia="Aptos"/>
                <w:b/>
                <w:color w:val="FFFFFF"/>
                <w:sz w:val="17"/>
              </w:rPr>
              <w:t>Estado</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21</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Target</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Schema readiness and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22</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Target date</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Schema readiness and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23</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Measurement method and frequency</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Catalogs schemas and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24</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Expected Value</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Schemas FIN-reference test and UI</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25</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Monetizable and non-monetizable</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Schema and parameterized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26</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Disbenefit decision</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ADR enum/config and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27</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Dependencies</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Dependency model and cycle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28</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Assumptions and constraints</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Version snapshot and UI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29</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Risk references</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Reference schema and non-duplication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30</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Traceability lineage</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Source bundle contract and hash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31</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Benefits Traceability Matrix</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Paged read endpoint and UI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32</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Many-to-many behavior</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Association model and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33</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Readiness dimensions</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Backend evaluator and dimension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34</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Blocker rules</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Negative readiness suite</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35</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Coverage semantics</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Coverage tests and provider payload</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36</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Source-current and staleness</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Hash comparison and staleness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37</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Material-change rules</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Configuration and delta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38</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Refresh Preview and Apply</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API and persistence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39</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Benefits Readiness Provider</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Provider implementation and schema</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40</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Provider registration proof</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Registry API and contract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bl>
    <w:p>
      <w:pPr>
        <w:spacing w:after="40"/>
      </w:pPr>
    </w:p>
    <w:p>
      <w:r>
        <w:br w:type="page"/>
      </w:r>
    </w:p>
    <w:p>
      <w:pPr>
        <w:pStyle w:val="Heading2"/>
        <w:keepNext/>
        <w:spacing w:before="140" w:after="100"/>
      </w:pPr>
      <w:r>
        <w:t>10.3 Continuación: entregables 41 a 60</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2556"/>
        <w:gridCol w:w="2556"/>
        <w:gridCol w:w="2556"/>
        <w:gridCol w:w="2556"/>
      </w:tblGrid>
      <w:tr>
        <w:trPr>
          <w:tblHeader/>
          <w:cantSplit/>
        </w:trPr>
        <w:tc>
          <w:tcPr>
            <w:tcW w:type="dxa" w:w="547"/>
            <w:vAlign w:val="center"/>
            <w:shd w:fill="17324D"/>
            <w:tcMar>
              <w:top w:w="90" w:type="dxa"/>
              <w:start w:w="90" w:type="dxa"/>
              <w:bottom w:w="90" w:type="dxa"/>
              <w:end w:w="90" w:type="dxa"/>
            </w:tcMar>
          </w:tcPr>
          <w:p>
            <w:pPr>
              <w:spacing w:after="0"/>
            </w:pPr>
            <w:r>
              <w:rPr>
                <w:rFonts w:ascii="Aptos" w:hAnsi="Aptos" w:eastAsia="Aptos"/>
                <w:b/>
                <w:color w:val="FFFFFF"/>
                <w:sz w:val="17"/>
              </w:rPr>
              <w:t>#</w:t>
            </w:r>
          </w:p>
        </w:tc>
        <w:tc>
          <w:tcPr>
            <w:tcW w:type="dxa" w:w="3240"/>
            <w:vAlign w:val="center"/>
            <w:shd w:fill="17324D"/>
            <w:tcMar>
              <w:top w:w="90" w:type="dxa"/>
              <w:start w:w="90" w:type="dxa"/>
              <w:bottom w:w="90" w:type="dxa"/>
              <w:end w:w="90" w:type="dxa"/>
            </w:tcMar>
          </w:tcPr>
          <w:p>
            <w:pPr>
              <w:spacing w:after="0"/>
            </w:pPr>
            <w:r>
              <w:rPr>
                <w:rFonts w:ascii="Aptos" w:hAnsi="Aptos" w:eastAsia="Aptos"/>
                <w:b/>
                <w:color w:val="FFFFFF"/>
                <w:sz w:val="17"/>
              </w:rPr>
              <w:t>Entregable</w:t>
            </w:r>
          </w:p>
        </w:tc>
        <w:tc>
          <w:tcPr>
            <w:tcW w:type="dxa" w:w="5688"/>
            <w:vAlign w:val="center"/>
            <w:shd w:fill="17324D"/>
            <w:tcMar>
              <w:top w:w="90" w:type="dxa"/>
              <w:start w:w="90" w:type="dxa"/>
              <w:bottom w:w="90" w:type="dxa"/>
              <w:end w:w="90" w:type="dxa"/>
            </w:tcMar>
          </w:tcPr>
          <w:p>
            <w:pPr>
              <w:spacing w:after="0"/>
            </w:pPr>
            <w:r>
              <w:rPr>
                <w:rFonts w:ascii="Aptos" w:hAnsi="Aptos" w:eastAsia="Aptos"/>
                <w:b/>
                <w:color w:val="FFFFFF"/>
                <w:sz w:val="17"/>
              </w:rPr>
              <w:t>Evidencia</w:t>
            </w:r>
          </w:p>
        </w:tc>
        <w:tc>
          <w:tcPr>
            <w:tcW w:type="dxa" w:w="1181"/>
            <w:vAlign w:val="center"/>
            <w:shd w:fill="17324D"/>
            <w:tcMar>
              <w:top w:w="90" w:type="dxa"/>
              <w:start w:w="90" w:type="dxa"/>
              <w:bottom w:w="90" w:type="dxa"/>
              <w:end w:w="90" w:type="dxa"/>
            </w:tcMar>
          </w:tcPr>
          <w:p>
            <w:pPr>
              <w:spacing w:after="0"/>
            </w:pPr>
            <w:r>
              <w:rPr>
                <w:rFonts w:ascii="Aptos" w:hAnsi="Aptos" w:eastAsia="Aptos"/>
                <w:b/>
                <w:color w:val="FFFFFF"/>
                <w:sz w:val="17"/>
              </w:rPr>
              <w:t>Estado</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41</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Future Five Case source contract</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ADR and provider documentation</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42</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Future BRM continuity contract</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ADR stable-ID test and schemas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43</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Gate07J non-mutation proof</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Before-after policy snapshot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44</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Governance Model applicability</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Configuration and parameterized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45</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Project Type applicability</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Configuration and override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46</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Tailoring</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Rules engine and match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47</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ADMIN configuration</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Admin API lifecycle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48</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ADMIN inheritance</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Resolution-chain and scope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49</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ADMIN UI</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Frontend unit and Chromium ADMIN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50</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USER UI</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Frontend unit and Chromium USER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51</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USER queues</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Cursor API and UI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52</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Roles and permissions</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Constants permissions seed and API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53</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Benefit Owner assignment authorization</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Negative API tests and SecurityEvent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54</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Segregation of duties</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Lifecycle and config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55</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ETag</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API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56</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Idempotency</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Retry and key-reuse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57</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SecurityEvent</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Database assertions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58</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Persistence design</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Models migration ADR and schema inspection</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59</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Migration</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SQLite and PostgreSQL JUnit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60</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API</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OpenAPI route inventory and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bl>
    <w:p>
      <w:pPr>
        <w:spacing w:after="40"/>
      </w:pPr>
    </w:p>
    <w:p>
      <w:r>
        <w:br w:type="page"/>
      </w:r>
    </w:p>
    <w:p>
      <w:pPr>
        <w:pStyle w:val="Heading2"/>
        <w:keepNext/>
        <w:spacing w:before="140" w:after="100"/>
      </w:pPr>
      <w:r>
        <w:t>10.4 Continuación: entregables 61 a 77</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2556"/>
        <w:gridCol w:w="2556"/>
        <w:gridCol w:w="2556"/>
        <w:gridCol w:w="2556"/>
      </w:tblGrid>
      <w:tr>
        <w:trPr>
          <w:tblHeader/>
          <w:cantSplit/>
        </w:trPr>
        <w:tc>
          <w:tcPr>
            <w:tcW w:type="dxa" w:w="547"/>
            <w:vAlign w:val="center"/>
            <w:shd w:fill="17324D"/>
            <w:tcMar>
              <w:top w:w="90" w:type="dxa"/>
              <w:start w:w="90" w:type="dxa"/>
              <w:bottom w:w="90" w:type="dxa"/>
              <w:end w:w="90" w:type="dxa"/>
            </w:tcMar>
          </w:tcPr>
          <w:p>
            <w:pPr>
              <w:spacing w:after="0"/>
            </w:pPr>
            <w:r>
              <w:rPr>
                <w:rFonts w:ascii="Aptos" w:hAnsi="Aptos" w:eastAsia="Aptos"/>
                <w:b/>
                <w:color w:val="FFFFFF"/>
                <w:sz w:val="17"/>
              </w:rPr>
              <w:t>#</w:t>
            </w:r>
          </w:p>
        </w:tc>
        <w:tc>
          <w:tcPr>
            <w:tcW w:type="dxa" w:w="3240"/>
            <w:vAlign w:val="center"/>
            <w:shd w:fill="17324D"/>
            <w:tcMar>
              <w:top w:w="90" w:type="dxa"/>
              <w:start w:w="90" w:type="dxa"/>
              <w:bottom w:w="90" w:type="dxa"/>
              <w:end w:w="90" w:type="dxa"/>
            </w:tcMar>
          </w:tcPr>
          <w:p>
            <w:pPr>
              <w:spacing w:after="0"/>
            </w:pPr>
            <w:r>
              <w:rPr>
                <w:rFonts w:ascii="Aptos" w:hAnsi="Aptos" w:eastAsia="Aptos"/>
                <w:b/>
                <w:color w:val="FFFFFF"/>
                <w:sz w:val="17"/>
              </w:rPr>
              <w:t>Entregable</w:t>
            </w:r>
          </w:p>
        </w:tc>
        <w:tc>
          <w:tcPr>
            <w:tcW w:type="dxa" w:w="5688"/>
            <w:vAlign w:val="center"/>
            <w:shd w:fill="17324D"/>
            <w:tcMar>
              <w:top w:w="90" w:type="dxa"/>
              <w:start w:w="90" w:type="dxa"/>
              <w:bottom w:w="90" w:type="dxa"/>
              <w:end w:w="90" w:type="dxa"/>
            </w:tcMar>
          </w:tcPr>
          <w:p>
            <w:pPr>
              <w:spacing w:after="0"/>
            </w:pPr>
            <w:r>
              <w:rPr>
                <w:rFonts w:ascii="Aptos" w:hAnsi="Aptos" w:eastAsia="Aptos"/>
                <w:b/>
                <w:color w:val="FFFFFF"/>
                <w:sz w:val="17"/>
              </w:rPr>
              <w:t>Evidencia</w:t>
            </w:r>
          </w:p>
        </w:tc>
        <w:tc>
          <w:tcPr>
            <w:tcW w:type="dxa" w:w="1181"/>
            <w:vAlign w:val="center"/>
            <w:shd w:fill="17324D"/>
            <w:tcMar>
              <w:top w:w="90" w:type="dxa"/>
              <w:start w:w="90" w:type="dxa"/>
              <w:bottom w:w="90" w:type="dxa"/>
              <w:end w:w="90" w:type="dxa"/>
            </w:tcMar>
          </w:tcPr>
          <w:p>
            <w:pPr>
              <w:spacing w:after="0"/>
            </w:pPr>
            <w:r>
              <w:rPr>
                <w:rFonts w:ascii="Aptos" w:hAnsi="Aptos" w:eastAsia="Aptos"/>
                <w:b/>
                <w:color w:val="FFFFFF"/>
                <w:sz w:val="17"/>
              </w:rPr>
              <w:t>Estado</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61</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PostgreSQL happy path</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PostgreSQL JUnit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62</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Negative readiness tests</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Backend JUnit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63</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Staleness and recovery</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Backend PostgreSQL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64</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Benefit continuity</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Backend continuity test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65</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Historical compatibility</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Regression and before-after hashes/counts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66</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Governance Model regression</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Parameterized backend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67</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Browser USER</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Playwright Chromium JUnit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68</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Browser ADMIN</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Playwright Chromium JUnit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69</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Direct-route security</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API and Playwright negative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70</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Traceability endpoint performance</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Benchmark/query-count evidence</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71</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Navigation integration</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Blueprint and outlet unit tests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72</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Full regression</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Backend frontend and E2E reports</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73</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Technical debt</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Word report section</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74</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CPIG strategic gap analysis</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ADR and Word report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75</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Updated technical report</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Final DOCX render and accessibility evidence</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76</w:t>
            </w:r>
          </w:p>
        </w:tc>
        <w:tc>
          <w:tcPr>
            <w:tcW w:type="dxa" w:w="324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Final exclusive state</w:t>
            </w:r>
          </w:p>
        </w:tc>
        <w:tc>
          <w:tcPr>
            <w:tcW w:type="dxa" w:w="5688"/>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release-validation.json and report</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r>
        <w:trPr>
          <w:cantSplit/>
        </w:trPr>
        <w:tc>
          <w:tcPr>
            <w:tcW w:type="dxa" w:w="547"/>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77</w:t>
            </w:r>
          </w:p>
        </w:tc>
        <w:tc>
          <w:tcPr>
            <w:tcW w:type="dxa" w:w="324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Recommendation for next increment</w:t>
            </w:r>
          </w:p>
        </w:tc>
        <w:tc>
          <w:tcPr>
            <w:tcW w:type="dxa" w:w="5688"/>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Report recommendation</w:t>
            </w:r>
          </w:p>
        </w:tc>
        <w:tc>
          <w:tcPr>
            <w:tcW w:type="dxa" w:w="1181"/>
            <w:vAlign w:val="top"/>
            <w:shd w:fill="E9F5EE"/>
            <w:tcMar>
              <w:top w:w="90" w:type="dxa"/>
              <w:start w:w="90" w:type="dxa"/>
              <w:bottom w:w="90" w:type="dxa"/>
              <w:end w:w="90" w:type="dxa"/>
            </w:tcMar>
          </w:tcPr>
          <w:p>
            <w:pPr>
              <w:spacing w:after="0" w:line="252" w:lineRule="auto"/>
            </w:pPr>
            <w:r>
              <w:rPr>
                <w:rFonts w:ascii="Aptos" w:hAnsi="Aptos" w:eastAsia="Aptos"/>
                <w:b/>
                <w:color w:val="18794E"/>
                <w:sz w:val="16"/>
              </w:rPr>
              <w:t>PASS</w:t>
            </w:r>
          </w:p>
        </w:tc>
      </w:tr>
    </w:tbl>
    <w:p>
      <w:pPr>
        <w:spacing w:after="40"/>
      </w:pPr>
    </w:p>
    <w:p>
      <w:r>
        <w:br w:type="page"/>
      </w:r>
    </w:p>
    <w:p>
      <w:pPr>
        <w:pStyle w:val="Heading1"/>
        <w:keepNext/>
        <w:spacing w:before="200" w:after="100"/>
      </w:pPr>
      <w:r>
        <w:t>11. Deuda técnica y análisis de gaps CPIG</w:t>
      </w:r>
    </w:p>
    <w:tbl>
      <w:tblPr>
        <w:tblW w:type="auto" w:w="0"/>
        <w:tblLayout w:type="fixed"/>
        <w:tblLook w:firstColumn="1" w:firstRow="1" w:lastColumn="0" w:lastRow="0" w:noHBand="0" w:noVBand="1" w:val="04A0"/>
        <w:tblBorders>
          <w:top w:val="single" w:sz="4" w:color="D7DEE3"/>
          <w:left w:val="single" w:sz="4" w:color="D7DEE3"/>
          <w:bottom w:val="single" w:sz="4" w:color="D7DEE3"/>
          <w:right w:val="single" w:sz="4" w:color="D7DEE3"/>
          <w:insideH w:val="single" w:sz="4" w:color="D7DEE3"/>
          <w:insideV w:val="single" w:sz="4" w:color="D7DEE3"/>
        </w:tblBorders>
      </w:tblPr>
      <w:tblGrid>
        <w:gridCol w:w="3408"/>
        <w:gridCol w:w="3408"/>
        <w:gridCol w:w="3408"/>
      </w:tblGrid>
      <w:tr>
        <w:trPr>
          <w:tblHeader/>
          <w:cantSplit/>
        </w:trPr>
        <w:tc>
          <w:tcPr>
            <w:tcW w:type="dxa" w:w="2160"/>
            <w:vAlign w:val="center"/>
            <w:shd w:fill="17324D"/>
            <w:tcMar>
              <w:top w:w="90" w:type="dxa"/>
              <w:start w:w="90" w:type="dxa"/>
              <w:bottom w:w="90" w:type="dxa"/>
              <w:end w:w="90" w:type="dxa"/>
            </w:tcMar>
          </w:tcPr>
          <w:p>
            <w:pPr>
              <w:spacing w:after="0"/>
            </w:pPr>
            <w:r>
              <w:rPr>
                <w:rFonts w:ascii="Aptos" w:hAnsi="Aptos" w:eastAsia="Aptos"/>
                <w:b/>
                <w:color w:val="FFFFFF"/>
                <w:sz w:val="17"/>
              </w:rPr>
              <w:t>Tema</w:t>
            </w:r>
          </w:p>
        </w:tc>
        <w:tc>
          <w:tcPr>
            <w:tcW w:type="dxa" w:w="1152"/>
            <w:vAlign w:val="center"/>
            <w:shd w:fill="17324D"/>
            <w:tcMar>
              <w:top w:w="90" w:type="dxa"/>
              <w:start w:w="90" w:type="dxa"/>
              <w:bottom w:w="90" w:type="dxa"/>
              <w:end w:w="90" w:type="dxa"/>
            </w:tcMar>
          </w:tcPr>
          <w:p>
            <w:pPr>
              <w:spacing w:after="0"/>
            </w:pPr>
            <w:r>
              <w:rPr>
                <w:rFonts w:ascii="Aptos" w:hAnsi="Aptos" w:eastAsia="Aptos"/>
                <w:b/>
                <w:color w:val="FFFFFF"/>
                <w:sz w:val="17"/>
              </w:rPr>
              <w:t>Estado</w:t>
            </w:r>
          </w:p>
        </w:tc>
        <w:tc>
          <w:tcPr>
            <w:tcW w:type="dxa" w:w="7344"/>
            <w:vAlign w:val="center"/>
            <w:shd w:fill="17324D"/>
            <w:tcMar>
              <w:top w:w="90" w:type="dxa"/>
              <w:start w:w="90" w:type="dxa"/>
              <w:bottom w:w="90" w:type="dxa"/>
              <w:end w:w="90" w:type="dxa"/>
            </w:tcMar>
          </w:tcPr>
          <w:p>
            <w:pPr>
              <w:spacing w:after="0"/>
            </w:pPr>
            <w:r>
              <w:rPr>
                <w:rFonts w:ascii="Aptos" w:hAnsi="Aptos" w:eastAsia="Aptos"/>
                <w:b/>
                <w:color w:val="FFFFFF"/>
                <w:sz w:val="17"/>
              </w:rPr>
              <w:t>Tratamiento</w:t>
            </w:r>
          </w:p>
        </w:tc>
      </w:tr>
      <w:tr>
        <w:trPr>
          <w:cantSplit/>
        </w:trPr>
        <w:tc>
          <w:tcPr>
            <w:tcW w:type="dxa" w:w="216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Projection de readiness</w:t>
            </w:r>
          </w:p>
        </w:tc>
        <w:tc>
          <w:tcPr>
            <w:tcW w:type="dxa" w:w="1152"/>
            <w:vAlign w:val="top"/>
            <w:shd w:fill="FFF4E5"/>
            <w:tcMar>
              <w:top w:w="90" w:type="dxa"/>
              <w:start w:w="90" w:type="dxa"/>
              <w:bottom w:w="90" w:type="dxa"/>
              <w:end w:w="90" w:type="dxa"/>
            </w:tcMar>
          </w:tcPr>
          <w:p>
            <w:pPr>
              <w:spacing w:after="0" w:line="252" w:lineRule="auto"/>
            </w:pPr>
            <w:r>
              <w:rPr>
                <w:rFonts w:ascii="Aptos" w:hAnsi="Aptos" w:eastAsia="Aptos"/>
                <w:b/>
                <w:color w:val="8A5700"/>
                <w:sz w:val="16"/>
              </w:rPr>
              <w:t>DEUDA</w:t>
            </w:r>
          </w:p>
        </w:tc>
        <w:tc>
          <w:tcPr>
            <w:tcW w:type="dxa" w:w="734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Evaluar materialización/cache cuando crezca el volumen de Plans; hoy el backend recalcula para preservar vigencia.</w:t>
            </w:r>
          </w:p>
        </w:tc>
      </w:tr>
      <w:tr>
        <w:trPr>
          <w:cantSplit/>
        </w:trPr>
        <w:tc>
          <w:tcPr>
            <w:tcW w:type="dxa" w:w="216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Catálogos JSON</w:t>
            </w:r>
          </w:p>
        </w:tc>
        <w:tc>
          <w:tcPr>
            <w:tcW w:type="dxa" w:w="1152"/>
            <w:vAlign w:val="top"/>
            <w:shd w:fill="FFF4E5"/>
            <w:tcMar>
              <w:top w:w="90" w:type="dxa"/>
              <w:start w:w="90" w:type="dxa"/>
              <w:bottom w:w="90" w:type="dxa"/>
              <w:end w:w="90" w:type="dxa"/>
            </w:tcMar>
          </w:tcPr>
          <w:p>
            <w:pPr>
              <w:spacing w:after="0" w:line="252" w:lineRule="auto"/>
            </w:pPr>
            <w:r>
              <w:rPr>
                <w:rFonts w:ascii="Aptos" w:hAnsi="Aptos" w:eastAsia="Aptos"/>
                <w:b/>
                <w:color w:val="8A5700"/>
                <w:sz w:val="16"/>
              </w:rPr>
              <w:t>DEUDA</w:t>
            </w:r>
          </w:p>
        </w:tc>
        <w:tc>
          <w:tcPr>
            <w:tcW w:type="dxa" w:w="734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Normalizar solo si reporting transversal justifica nuevas tablas; la configuración actual permanece versionada y validada.</w:t>
            </w:r>
          </w:p>
        </w:tc>
      </w:tr>
      <w:tr>
        <w:trPr>
          <w:cantSplit/>
        </w:trPr>
        <w:tc>
          <w:tcPr>
            <w:tcW w:type="dxa" w:w="216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Benefit actuals</w:t>
            </w:r>
          </w:p>
        </w:tc>
        <w:tc>
          <w:tcPr>
            <w:tcW w:type="dxa" w:w="115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FUERA</w:t>
            </w:r>
          </w:p>
        </w:tc>
        <w:tc>
          <w:tcPr>
            <w:tcW w:type="dxa" w:w="734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La futura Benefits Realization reutilizará BEN-*; no se añadieron KPI/benefit/value actual ni variance.</w:t>
            </w:r>
          </w:p>
        </w:tc>
      </w:tr>
      <w:tr>
        <w:trPr>
          <w:cantSplit/>
        </w:trPr>
        <w:tc>
          <w:tcPr>
            <w:tcW w:type="dxa" w:w="2160"/>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Five Case</w:t>
            </w:r>
          </w:p>
        </w:tc>
        <w:tc>
          <w:tcPr>
            <w:tcW w:type="dxa" w:w="1152"/>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FUERA</w:t>
            </w:r>
          </w:p>
        </w:tc>
        <w:tc>
          <w:tcPr>
            <w:tcW w:type="dxa" w:w="7344"/>
            <w:vAlign w:val="top"/>
            <w:shd w:fill="F5F7F8"/>
            <w:tcMar>
              <w:top w:w="90" w:type="dxa"/>
              <w:start w:w="90" w:type="dxa"/>
              <w:bottom w:w="90" w:type="dxa"/>
              <w:end w:w="90" w:type="dxa"/>
            </w:tcMar>
          </w:tcPr>
          <w:p>
            <w:pPr>
              <w:spacing w:after="0" w:line="252" w:lineRule="auto"/>
            </w:pPr>
            <w:r>
              <w:rPr>
                <w:rFonts w:ascii="Aptos" w:hAnsi="Aptos" w:eastAsia="Aptos"/>
                <w:b w:val="0"/>
                <w:color w:val="202A33"/>
                <w:sz w:val="16"/>
              </w:rPr>
              <w:t>El contrato fuente está preparado, pero no se creó UI ni se cambió Business Case.</w:t>
            </w:r>
          </w:p>
        </w:tc>
      </w:tr>
      <w:tr>
        <w:trPr>
          <w:cantSplit/>
        </w:trPr>
        <w:tc>
          <w:tcPr>
            <w:tcW w:type="dxa" w:w="2160"/>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Gate07J policy</w:t>
            </w:r>
          </w:p>
        </w:tc>
        <w:tc>
          <w:tcPr>
            <w:tcW w:type="dxa" w:w="1152"/>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FUERA</w:t>
            </w:r>
          </w:p>
        </w:tc>
        <w:tc>
          <w:tcPr>
            <w:tcW w:type="dxa" w:w="7344"/>
            <w:vAlign w:val="top"/>
            <w:shd w:fill="FFFFFF"/>
            <w:tcMar>
              <w:top w:w="90" w:type="dxa"/>
              <w:start w:w="90" w:type="dxa"/>
              <w:bottom w:w="90" w:type="dxa"/>
              <w:end w:w="90" w:type="dxa"/>
            </w:tcMar>
          </w:tcPr>
          <w:p>
            <w:pPr>
              <w:spacing w:after="0" w:line="252" w:lineRule="auto"/>
            </w:pPr>
            <w:r>
              <w:rPr>
                <w:rFonts w:ascii="Aptos" w:hAnsi="Aptos" w:eastAsia="Aptos"/>
                <w:b w:val="0"/>
                <w:color w:val="202A33"/>
                <w:sz w:val="16"/>
              </w:rPr>
              <w:t>Provider AVAILABLE; ninguna policy publicada o default fue reinterpretada.</w:t>
            </w:r>
          </w:p>
        </w:tc>
      </w:tr>
    </w:tbl>
    <w:p>
      <w:pPr>
        <w:spacing w:after="40"/>
      </w:pPr>
    </w:p>
    <w:p>
      <w:pPr>
        <w:spacing w:after="120" w:line="269" w:lineRule="auto"/>
      </w:pPr>
      <w:r>
        <w:rPr>
          <w:rFonts w:ascii="Aptos" w:hAnsi="Aptos" w:eastAsia="Aptos"/>
          <w:b w:val="0"/>
          <w:color w:val="202A33"/>
          <w:sz w:val="22"/>
        </w:rPr>
        <w:t>El roadmap CPIG conserva explícitamente ocho gaps no implementados en este incremento:</w:t>
      </w:r>
    </w:p>
    <w:p>
      <w:pPr>
        <w:pStyle w:val="ListBullet"/>
        <w:spacing w:after="60" w:line="269" w:lineRule="auto"/>
      </w:pPr>
      <w:r>
        <w:rPr>
          <w:rFonts w:ascii="Aptos" w:hAnsi="Aptos" w:eastAsia="Aptos"/>
          <w:b w:val="0"/>
          <w:color w:val="202A33"/>
          <w:sz w:val="22"/>
        </w:rPr>
        <w:t>Risk Appetite / Risk Capacity / Risk Thresholds.</w:t>
      </w:r>
    </w:p>
    <w:p>
      <w:pPr>
        <w:pStyle w:val="ListBullet"/>
        <w:spacing w:after="60" w:line="269" w:lineRule="auto"/>
      </w:pPr>
      <w:r>
        <w:rPr>
          <w:rFonts w:ascii="Aptos" w:hAnsi="Aptos" w:eastAsia="Aptos"/>
          <w:b w:val="0"/>
          <w:color w:val="202A33"/>
          <w:sz w:val="22"/>
        </w:rPr>
        <w:t>Strategic Capital Demand / Capital Planning enhancement.</w:t>
      </w:r>
    </w:p>
    <w:p>
      <w:pPr>
        <w:pStyle w:val="ListBullet"/>
        <w:spacing w:after="60" w:line="269" w:lineRule="auto"/>
      </w:pPr>
      <w:r>
        <w:rPr>
          <w:rFonts w:ascii="Aptos" w:hAnsi="Aptos" w:eastAsia="Aptos"/>
          <w:b w:val="0"/>
          <w:color w:val="202A33"/>
          <w:sz w:val="22"/>
        </w:rPr>
        <w:t>Basic Data Readiness.</w:t>
      </w:r>
    </w:p>
    <w:p>
      <w:pPr>
        <w:pStyle w:val="ListBullet"/>
        <w:spacing w:after="60" w:line="269" w:lineRule="auto"/>
      </w:pPr>
      <w:r>
        <w:rPr>
          <w:rFonts w:ascii="Aptos" w:hAnsi="Aptos" w:eastAsia="Aptos"/>
          <w:b w:val="0"/>
          <w:color w:val="202A33"/>
          <w:sz w:val="22"/>
        </w:rPr>
        <w:t>QRA / Confidence.</w:t>
      </w:r>
    </w:p>
    <w:p>
      <w:pPr>
        <w:pStyle w:val="ListBullet"/>
        <w:spacing w:after="60" w:line="269" w:lineRule="auto"/>
      </w:pPr>
      <w:r>
        <w:rPr>
          <w:rFonts w:ascii="Aptos" w:hAnsi="Aptos" w:eastAsia="Aptos"/>
          <w:b w:val="0"/>
          <w:color w:val="202A33"/>
          <w:sz w:val="22"/>
        </w:rPr>
        <w:t>Owner Capability Readiness.</w:t>
      </w:r>
    </w:p>
    <w:p>
      <w:pPr>
        <w:pStyle w:val="ListBullet"/>
        <w:spacing w:after="60" w:line="269" w:lineRule="auto"/>
      </w:pPr>
      <w:r>
        <w:rPr>
          <w:rFonts w:ascii="Aptos" w:hAnsi="Aptos" w:eastAsia="Aptos"/>
          <w:b w:val="0"/>
          <w:color w:val="202A33"/>
          <w:sz w:val="22"/>
        </w:rPr>
        <w:t>Gate-level evidence revalidation policy.</w:t>
      </w:r>
    </w:p>
    <w:p>
      <w:pPr>
        <w:pStyle w:val="ListBullet"/>
        <w:spacing w:after="60" w:line="269" w:lineRule="auto"/>
      </w:pPr>
      <w:r>
        <w:rPr>
          <w:rFonts w:ascii="Aptos" w:hAnsi="Aptos" w:eastAsia="Aptos"/>
          <w:b w:val="0"/>
          <w:color w:val="202A33"/>
          <w:sz w:val="22"/>
        </w:rPr>
        <w:t>Operational Readiness.</w:t>
      </w:r>
    </w:p>
    <w:p>
      <w:pPr>
        <w:pStyle w:val="ListBullet"/>
        <w:spacing w:after="60" w:line="269" w:lineRule="auto"/>
      </w:pPr>
      <w:r>
        <w:rPr>
          <w:rFonts w:ascii="Aptos" w:hAnsi="Aptos" w:eastAsia="Aptos"/>
          <w:b w:val="0"/>
          <w:color w:val="202A33"/>
          <w:sz w:val="22"/>
        </w:rPr>
        <w:t>Benefits Realization.</w:t>
      </w:r>
    </w:p>
    <w:p>
      <w:pPr>
        <w:pStyle w:val="Heading1"/>
        <w:keepNext/>
        <w:spacing w:before="200" w:after="100"/>
      </w:pPr>
      <w:r>
        <w:t>12. Estado final y recomendación</w:t>
      </w:r>
    </w:p>
    <w:p>
      <w:pPr>
        <w:spacing w:after="120"/>
        <w:jc w:val="center"/>
      </w:pPr>
      <w:r>
        <w:rPr>
          <w:rFonts w:ascii="Aptos" w:hAnsi="Aptos" w:eastAsia="Aptos"/>
          <w:b/>
          <w:color w:val="18794E"/>
          <w:sz w:val="26"/>
        </w:rPr>
        <w:t>GATE07M_BEN_STRATEGIC_BENEFITS_RELEASE_VALIDATED</w:t>
      </w:r>
    </w:p>
    <w:p>
      <w:pPr>
        <w:spacing w:after="120"/>
        <w:jc w:val="center"/>
      </w:pPr>
      <w:r>
        <w:rPr>
          <w:rFonts w:ascii="Aptos" w:hAnsi="Aptos" w:eastAsia="Aptos"/>
          <w:b/>
          <w:color w:val="17324D"/>
          <w:sz w:val="24"/>
        </w:rPr>
        <w:t>READY_FOR_GOVERNED_BENEFITS_PLAN_EVIDENCE</w:t>
      </w:r>
    </w:p>
    <w:p>
      <w:pPr>
        <w:spacing w:after="120"/>
        <w:jc w:val="center"/>
      </w:pPr>
      <w:r>
        <w:rPr>
          <w:rFonts w:ascii="Aptos" w:hAnsi="Aptos" w:eastAsia="Aptos"/>
          <w:b/>
          <w:color w:val="127A78"/>
          <w:sz w:val="22"/>
        </w:rPr>
        <w:t>BENEFITS_READINESS_PROVIDER = AVAILABLE</w:t>
      </w:r>
    </w:p>
    <w:p>
      <w:pPr>
        <w:spacing w:after="120" w:line="269" w:lineRule="auto"/>
      </w:pPr>
      <w:r>
        <w:rPr>
          <w:rFonts w:ascii="Aptos" w:hAnsi="Aptos" w:eastAsia="Aptos"/>
          <w:b w:val="0"/>
          <w:color w:val="202A33"/>
          <w:sz w:val="22"/>
        </w:rPr>
        <w:t>Siguiente incremento recomendado: ENHANCE_GATE07M_BC_WITH_FIVE_CASE_MODEL. El futuro Five Case Business Case podrá consumir Business Analysis, Strategic Benefits Plan, Commercial &amp; Contracting Strategy, FEL, Budget, Funding, FIN, Risk y Permit sin duplicar autoridad.</w:t>
      </w:r>
    </w:p>
    <w:p>
      <w:pPr>
        <w:spacing w:after="120" w:line="269" w:lineRule="auto"/>
      </w:pPr>
      <w:r>
        <w:rPr>
          <w:rFonts w:ascii="Aptos" w:hAnsi="Aptos" w:eastAsia="Aptos"/>
          <w:b w:val="0"/>
          <w:color w:val="202A33"/>
          <w:sz w:val="22"/>
        </w:rPr>
        <w:t>STOP boundary: este cierre no inicia Five Case, integración obligatoria Gate07J Benefits, Risk Appetite, Basic Data, QRA, Owner Capability, Benefits Realization, Procurement, Project Delivery ni Operational Readiness.</w:t>
      </w:r>
    </w:p>
    <w:sectPr w:rsidR="00FC693F" w:rsidRPr="0006063C" w:rsidSect="00034616">
      <w:headerReference w:type="default" r:id="rId9"/>
      <w:footerReference w:type="default" r:id="rId10"/>
      <w:pgSz w:w="12240" w:h="15840"/>
      <w:pgMar w:top="1152" w:right="1008" w:bottom="979"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53616B"/>
        <w:sz w:val="17"/>
      </w:rPr>
      <w:t xml:space="preserve">Informe técnico controlado  ·  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3616B"/>
        <w:sz w:val="17"/>
      </w:rPr>
      <w:t>P&amp;Pmis Construction AI  |  Gate 07M-BEN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Gate 07M-BEN</dc:title>
  <dc:subject>Strategic Benefits Plan, Register, Traceability &amp; Readiness</dc:subject>
  <dc:creator>P&amp;Pmis Construction AI / Codex</dc:creator>
  <cp:keywords>Gate07M-BEN, Strategic Benefits, Benefits Readiness, Traceability, P&amp;Pmis</cp:keywords>
  <dc:description>Informe técnico de implementación y validación</dc:description>
  <cp:lastModifiedBy/>
  <cp:revision>1</cp:revision>
  <dcterms:created xsi:type="dcterms:W3CDTF">2013-12-23T23:15:00Z</dcterms:created>
  <dcterms:modified xsi:type="dcterms:W3CDTF">2013-12-23T23:15:00Z</dcterms:modified>
  <cp:category/>
</cp:coreProperties>
</file>