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960120" cy="864654"/>
            <wp:docPr id="1" name="Picture 1" descr="Logotipo de P&amp;Pmis Construction AI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ypmis-construction-ai-log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960120" cy="8646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Aptos" w:hAnsi="Aptos" w:eastAsia="Aptos"/>
          <w:b/>
          <w:color w:val="000000"/>
          <w:sz w:val="52"/>
        </w:rPr>
        <w:t>Informe técnico Gate 07M-COMM</w:t>
      </w:r>
    </w:p>
    <w:p>
      <w:pPr>
        <w:spacing w:after="280"/>
        <w:jc w:val="center"/>
      </w:pPr>
      <w:r>
        <w:rPr>
          <w:rFonts w:ascii="Aptos" w:hAnsi="Aptos" w:eastAsia="Aptos"/>
          <w:b/>
          <w:color w:val="17324D"/>
          <w:sz w:val="30"/>
        </w:rPr>
        <w:t>Commercial &amp; Contracting Strategy y Commercial Readiness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37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770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Valor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Aplicación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P&amp;Pmis Construction AI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Incremento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PROMPT 07M-COMM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Fecha de cierre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2026-09-16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Alembic head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20260915_0060 (single head)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Estado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GATE07M_COMM_COMMERCIAL_STRATEGY_RELEASE_VALIDATED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Salida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READY_FOR_GOVERNED_COMMERCIAL_READINESS_EVIDENCE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1. Resumen ejecutivo</w:t>
      </w: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Se implementó una capacidad estratégica gobernada para definir, revisar, completar y versionar la estrategia comercial de un Project Workspace sin ejecutar procurement operacional. La solución reutiliza la identidad canónica del Project, congela configuración y fuentes por versión, calcula readiness exclusivamente en backend y registra un proveedor de evidencia desacoplado de la política Gate07J existente.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USER MODE opera el expediente comercial vivo; ADMIN MODE configura y publica catálogos, reglas, tailoring, herencia, numeración y segregación de funciones.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Un Project Workspace admite una sola identidad CommercialContractingStrategy y múltiples versiones controladas DRAFT, IN_REVIEW, COMPLETED, SUPERSEDED o VOIDED.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COMPLETED es inmutable. Cambios materiales o staleness se recuperan mediante una nueva versión DRAFT, preservando el histórico.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COMMERCIAL_READINESS_PROVIDER queda AVAILABLE, pero no modifica ni reclasifica automáticamente la policy publicada Gate07J-EVID.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No se introdujeron Vendor Master, Tender, Bid, Contract, Purchase Order, Payment ni Five Case UI.</w:t>
      </w:r>
    </w:p>
    <w:p>
      <w:pPr>
        <w:pStyle w:val="Heading1"/>
        <w:keepNext/>
        <w:spacing w:before="200" w:after="100"/>
      </w:pPr>
      <w:r>
        <w:t>2. Baseline, reutilización y frontera de dominio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244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Fuente reutilizada</w:t>
            </w:r>
          </w:p>
        </w:tc>
        <w:tc>
          <w:tcPr>
            <w:tcW w:type="dxa" w:w="396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Uso en COMM</w:t>
            </w:r>
          </w:p>
        </w:tc>
        <w:tc>
          <w:tcPr>
            <w:tcW w:type="dxa" w:w="367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Autoridad preservada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EnterpriseWorkspace PROJECT</w:t>
            </w:r>
          </w:p>
        </w:tc>
        <w:tc>
          <w:tcPr>
            <w:tcW w:type="dxa" w:w="396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Identidad y alcance del Project</w:t>
            </w:r>
          </w:p>
        </w:tc>
        <w:tc>
          <w:tcPr>
            <w:tcW w:type="dxa" w:w="36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Enterprise Foundation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Business Analysis / Project Proposal</w:t>
            </w:r>
          </w:p>
        </w:tc>
        <w:tc>
          <w:tcPr>
            <w:tcW w:type="dxa" w:w="396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Contexto, opción y supuestos por referencia</w:t>
            </w:r>
          </w:p>
        </w:tc>
        <w:tc>
          <w:tcPr>
            <w:tcW w:type="dxa" w:w="36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Módulos fuente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FEL / Project Definition</w:t>
            </w:r>
          </w:p>
        </w:tc>
        <w:tc>
          <w:tcPr>
            <w:tcW w:type="dxa" w:w="396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Etapa de madurez y tailoring</w:t>
            </w:r>
          </w:p>
        </w:tc>
        <w:tc>
          <w:tcPr>
            <w:tcW w:type="dxa" w:w="36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Project Definition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Budget / Funding / FIN</w:t>
            </w:r>
          </w:p>
        </w:tc>
        <w:tc>
          <w:tcPr>
            <w:tcW w:type="dxa" w:w="396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Referencias de escenario y supuestos</w:t>
            </w:r>
          </w:p>
        </w:tc>
        <w:tc>
          <w:tcPr>
            <w:tcW w:type="dxa" w:w="36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Dominios financieros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Risk / Permit</w:t>
            </w:r>
          </w:p>
        </w:tc>
        <w:tc>
          <w:tcPr>
            <w:tcW w:type="dxa" w:w="396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Bases y referencias; sin duplicar registros</w:t>
            </w:r>
          </w:p>
        </w:tc>
        <w:tc>
          <w:tcPr>
            <w:tcW w:type="dxa" w:w="36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Risk y Permit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AdminConfiguration</w:t>
            </w:r>
          </w:p>
        </w:tc>
        <w:tc>
          <w:tcPr>
            <w:tcW w:type="dxa" w:w="396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Herencia Tenant → Enterprise → BU → Portfolio</w:t>
            </w:r>
          </w:p>
        </w:tc>
        <w:tc>
          <w:tcPr>
            <w:tcW w:type="dxa" w:w="36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Enterprise configuration</w:t>
            </w:r>
          </w:p>
        </w:tc>
      </w:tr>
      <w:tr>
        <w:trPr>
          <w:cantSplit/>
        </w:trPr>
        <w:tc>
          <w:tcPr>
            <w:tcW w:type="dxa" w:w="244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Gate07J provider registry</w:t>
            </w:r>
          </w:p>
        </w:tc>
        <w:tc>
          <w:tcPr>
            <w:tcW w:type="dxa" w:w="396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Registro del proveedor COMM</w:t>
            </w:r>
          </w:p>
        </w:tc>
        <w:tc>
          <w:tcPr>
            <w:tcW w:type="dxa" w:w="36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Investment Evidence Policy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La autoridad de COMM se limita al delivery comercial, procurement approach estratégico, packaging, contracting model, market/supply-chain assessment, risk allocation comercial, payment/incentive strategy, recomendación y readiness. No aprueba presupuesto, no calcula FIN, no reemplaza el Risk Register y no ejecuta contratación.</w:t>
      </w:r>
    </w:p>
    <w:p>
      <w:pPr>
        <w:pStyle w:val="Heading1"/>
        <w:keepNext/>
        <w:spacing w:before="200" w:after="100"/>
      </w:pPr>
      <w:r>
        <w:t>3. Diseño implementado</w:t>
      </w:r>
    </w:p>
    <w:p>
      <w:pPr>
        <w:pStyle w:val="Heading2"/>
        <w:keepNext/>
        <w:spacing w:before="140" w:after="100"/>
      </w:pPr>
      <w:r>
        <w:t>3.1 Persistencia, versionado e inmutabilidad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Tablas aditivas: commercial_contracting_strategies y commercial_strategy_versions.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Unicidad por tenant/Project, número CCS e idempotency keys; índices de cola e histórico.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Payload JSON versionado para secciones, readiness, fuentes y hashes; evita una tabla por sección y N+1 para paquetes/riesgos/mercado.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Cada versión congela configuration_id, configuration_revision, configuration_hash, source_bundle_hash, content_hash y commercial_strategy_hash.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Listeners ORM bloquean la modificación o eliminación física de estados terminales.</w:t>
      </w:r>
    </w:p>
    <w:p>
      <w:pPr>
        <w:pStyle w:val="Heading2"/>
        <w:keepNext/>
        <w:spacing w:before="140" w:after="100"/>
      </w:pPr>
      <w:r>
        <w:t>3.2 Contenido comercial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37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Componente</w:t>
            </w:r>
          </w:p>
        </w:tc>
        <w:tc>
          <w:tcPr>
            <w:tcW w:type="dxa" w:w="770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Capacidad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Contexto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Necesidad, alcance, supuestos y restricciones comerciales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Procurement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Enfoque gobernado por catálogo y rationale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Packaging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Paquetes conceptuales independientes de WBS/RFQ/Contract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Contracting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Modelo contractual estratégico gobernado por catálogo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Market y supply chain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Criterios, score, restricciones críticas y mitigación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Risk allocation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Categoría, owner, rationale, tratamiento y preocupación residual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Payment e incentives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Mecanismo, rationale, filosofía e instrumentos estratégicos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Alternativas</w:t>
            </w:r>
          </w:p>
        </w:tc>
        <w:tc>
          <w:tcPr>
            <w:tcW w:type="dxa" w:w="770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Comparación homogénea y rating cuando la policy lo exige</w:t>
            </w:r>
          </w:p>
        </w:tc>
      </w:tr>
      <w:tr>
        <w:trPr>
          <w:cantSplit/>
        </w:trPr>
        <w:tc>
          <w:tcPr>
            <w:tcW w:type="dxa" w:w="237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Recomendación</w:t>
            </w:r>
          </w:p>
        </w:tc>
        <w:tc>
          <w:tcPr>
            <w:tcW w:type="dxa" w:w="770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Procurement, packaging, contract, payment, incentive, rationale, tradeoffs y condiciones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4. Readiness, staleness y proveedor</w:t>
      </w: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El evaluador backend aplica reglas deterministas y catálogos efectivos. El frontend representa el resultado y no decide READY/BLOCKED/STALE.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5112"/>
        <w:gridCol w:w="5112"/>
      </w:tblGrid>
      <w:tr>
        <w:trPr>
          <w:tblHeader/>
          <w:cantSplit/>
        </w:trPr>
        <w:tc>
          <w:tcPr>
            <w:tcW w:type="dxa" w:w="28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Dimensión</w:t>
            </w:r>
          </w:p>
        </w:tc>
        <w:tc>
          <w:tcPr>
            <w:tcW w:type="dxa" w:w="720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Regla principal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COMMERCIAL_CONTEXT</w:t>
            </w:r>
          </w:p>
        </w:tc>
        <w:tc>
          <w:tcPr>
            <w:tcW w:type="dxa" w:w="720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Contexto obligatorio presente según policy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PROCUREMENT_APPROACH</w:t>
            </w:r>
          </w:p>
        </w:tc>
        <w:tc>
          <w:tcPr>
            <w:tcW w:type="dxa" w:w="720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Código publicado y selección/recomendación coherentes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PACKAGING</w:t>
            </w:r>
          </w:p>
        </w:tc>
        <w:tc>
          <w:tcPr>
            <w:tcW w:type="dxa" w:w="720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Paquetes y campos obligatorios completos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CONTRACTING_MODEL</w:t>
            </w:r>
          </w:p>
        </w:tc>
        <w:tc>
          <w:tcPr>
            <w:tcW w:type="dxa" w:w="720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Modelo publicado y consistente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MARKET</w:t>
            </w:r>
          </w:p>
        </w:tc>
        <w:tc>
          <w:tcPr>
            <w:tcW w:type="dxa" w:w="720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Assessment completo y score sobre umbral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SUPPLY_CHAIN</w:t>
            </w:r>
          </w:p>
        </w:tc>
        <w:tc>
          <w:tcPr>
            <w:tcW w:type="dxa" w:w="720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Restricciones críticas resueltas o mitigadas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RISK_ALLOCATION</w:t>
            </w:r>
          </w:p>
        </w:tc>
        <w:tc>
          <w:tcPr>
            <w:tcW w:type="dxa" w:w="720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Riesgos obligatorios completos y asignados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PAYMENT_MECHANISM</w:t>
            </w:r>
          </w:p>
        </w:tc>
        <w:tc>
          <w:tcPr>
            <w:tcW w:type="dxa" w:w="720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Mecanismo publicado y requerido presente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RECOMMENDATION</w:t>
            </w:r>
          </w:p>
        </w:tc>
        <w:tc>
          <w:tcPr>
            <w:tcW w:type="dxa" w:w="720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Recomendación formal y alternativas cuando corresponda</w:t>
            </w:r>
          </w:p>
        </w:tc>
      </w:tr>
      <w:tr>
        <w:trPr>
          <w:cantSplit/>
        </w:trPr>
        <w:tc>
          <w:tcPr>
            <w:tcW w:type="dxa" w:w="28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OVERALL</w:t>
            </w:r>
          </w:p>
        </w:tc>
        <w:tc>
          <w:tcPr>
            <w:tcW w:type="dxa" w:w="720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READY solo sin blockers, fuentes/configuración vigentes y contexto aplicable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Un COMPLETED se presenta como STALE cuando cambia materialmente el Project o una fuente gobernada. Refresh Preview es persisted=false y muestra source/policy/readiness delta; Refresh Apply crea una nueva DRAFT. El proveedor solo entrega evidencia cuando la versión está COMPLETED, READY, current y sin blockers.</w:t>
      </w:r>
    </w:p>
    <w:p>
      <w:pPr>
        <w:pStyle w:val="Heading1"/>
        <w:keepNext/>
        <w:spacing w:before="200" w:after="100"/>
      </w:pPr>
      <w:r>
        <w:t>5. Seguridad, gobernanza y concurrencia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187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676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Implementación</w:t>
            </w:r>
          </w:p>
        </w:tc>
        <w:tc>
          <w:tcPr>
            <w:tcW w:type="dxa" w:w="144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Resultado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RBAC</w:t>
            </w:r>
          </w:p>
        </w:tc>
        <w:tc>
          <w:tcPr>
            <w:tcW w:type="dxa" w:w="676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Roles author, reviewer, viewer y config_admin; permisos USER/ADMIN separados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Scope</w:t>
            </w:r>
          </w:p>
        </w:tc>
        <w:tc>
          <w:tcPr>
            <w:tcW w:type="dxa" w:w="676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Tenant y workspace scope en expedientes y configuraciones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SoD</w:t>
            </w:r>
          </w:p>
        </w:tc>
        <w:tc>
          <w:tcPr>
            <w:tcW w:type="dxa" w:w="676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Author distinto del final reviewer cuando la policy lo exige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ETag</w:t>
            </w:r>
          </w:p>
        </w:tc>
        <w:tc>
          <w:tcPr>
            <w:tcW w:type="dxa" w:w="676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If-Match/revision_version; mismatch devuelve 412 ETAG_MISMATCH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Idempotencia</w:t>
            </w:r>
          </w:p>
        </w:tc>
        <w:tc>
          <w:tcPr>
            <w:tcW w:type="dxa" w:w="676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Create/revision/submit/review/return/complete/void/refresh-apply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Payload reuse</w:t>
            </w:r>
          </w:p>
        </w:tc>
        <w:tc>
          <w:tcPr>
            <w:tcW w:type="dxa" w:w="676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Misma key con target o payload distinto devuelve IDEMPOTENCY_KEY_REUSED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Audit</w:t>
            </w:r>
          </w:p>
        </w:tc>
        <w:tc>
          <w:tcPr>
            <w:tcW w:type="dxa" w:w="676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SecurityEvent para lifecycle y configuración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187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Direct route</w:t>
            </w:r>
          </w:p>
        </w:tc>
        <w:tc>
          <w:tcPr>
            <w:tcW w:type="dxa" w:w="676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StrategicViewOutlet protege rutas ADMIN/USER</w:t>
            </w:r>
          </w:p>
        </w:tc>
        <w:tc>
          <w:tcPr>
            <w:tcW w:type="dxa" w:w="1440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6. API e interfaces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USER: list/detail/by-project/readiness/history/options; create, update, submit, start-review, return, complete, void, new-revision, refresh-preview y refresh-apply.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ADMIN: configurations, clone, update, publish, archive y effective-preview persisted=false.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USER UI: 14 vistas funcionales y 8 colas paginadas desde release.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ADMIN UI: 20 secciones, editores de catálogos, project/governance applicability, FEL/Gate, required fields, tailoring JSON validado, inheritance, numbering, SoD, preview e history.</w:t>
      </w:r>
    </w:p>
    <w:p>
      <w:pPr>
        <w:pStyle w:val="ListBullet"/>
        <w:spacing w:after="60" w:line="269" w:lineRule="auto"/>
      </w:pPr>
      <w:r>
        <w:rPr>
          <w:rFonts w:ascii="Aptos" w:hAnsi="Aptos" w:eastAsia="Aptos"/>
          <w:b w:val="0"/>
          <w:color w:val="202A33"/>
          <w:sz w:val="22"/>
        </w:rPr>
        <w:t>Navegación registrada únicamente en strategicNavigationBlueprint.ts y resuelta por StrategicViewOutlet; App.tsx no contiene routing específico COMM.</w:t>
      </w:r>
    </w:p>
    <w:p>
      <w:pPr>
        <w:pStyle w:val="Heading1"/>
        <w:keepNext/>
        <w:spacing w:before="200" w:after="100"/>
      </w:pPr>
      <w:r>
        <w:t>7. Migración y compatibilidad</w:t>
      </w: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La revisión 20260915_0060 sucede a 20260910_0059, mantiene un solo head y es aditiva/reversible. Se validó up/down/up tanto en SQLite como en PostgreSQL 16 sobre base temporal aislada. Los objetos históricos de Business Case, FIN, Gate07J, Gate07K, Project Proposal y Business Analysis no se modifican de forma retroactiva.</w:t>
      </w:r>
    </w:p>
    <w:p>
      <w:pPr>
        <w:pStyle w:val="Heading1"/>
        <w:keepNext/>
        <w:spacing w:before="200" w:after="100"/>
      </w:pPr>
      <w:r>
        <w:t>8. Evidencia de validación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2045"/>
        <w:gridCol w:w="2045"/>
        <w:gridCol w:w="2045"/>
        <w:gridCol w:w="2045"/>
        <w:gridCol w:w="2045"/>
      </w:tblGrid>
      <w:tr>
        <w:trPr>
          <w:tblHeader/>
          <w:cantSplit/>
        </w:trPr>
        <w:tc>
          <w:tcPr>
            <w:tcW w:type="dxa" w:w="475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Suite</w:t>
            </w:r>
          </w:p>
        </w:tc>
        <w:tc>
          <w:tcPr>
            <w:tcW w:type="dxa" w:w="10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Casos</w:t>
            </w:r>
          </w:p>
        </w:tc>
        <w:tc>
          <w:tcPr>
            <w:tcW w:type="dxa" w:w="108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Fallos</w:t>
            </w:r>
          </w:p>
        </w:tc>
        <w:tc>
          <w:tcPr>
            <w:tcW w:type="dxa" w:w="936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Skip</w:t>
            </w:r>
          </w:p>
        </w:tc>
        <w:tc>
          <w:tcPr>
            <w:tcW w:type="dxa" w:w="223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Backend COMM focal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8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SQLite migration up/down/up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PostgreSQL migration up/down/up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PostgreSQL COMM lifecycle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8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Gate07J EVID regression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13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Backend full regression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634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8 heredados + 30 infra</w:t>
            </w:r>
          </w:p>
        </w:tc>
        <w:tc>
          <w:tcPr>
            <w:tcW w:type="dxa" w:w="93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34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 DIFERENCIAL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Retest aislamiento temporal Windows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50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Frontend Vitest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260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Browser Playwright COMM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</w:t>
            </w:r>
          </w:p>
        </w:tc>
        <w:tc>
          <w:tcPr>
            <w:tcW w:type="dxa" w:w="108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4752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TypeScript / Vite / ESLint / Prettier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</w:t>
            </w:r>
          </w:p>
        </w:tc>
        <w:tc>
          <w:tcPr>
            <w:tcW w:type="dxa" w:w="108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936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</w:t>
            </w:r>
          </w:p>
        </w:tc>
        <w:tc>
          <w:tcPr>
            <w:tcW w:type="dxa" w:w="223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Los JUnit controlados se almacenan en C:\Users\Ricardo\Documents\GitHub\pypmis-ia-sas\outputs\.qa\gate07m-comm. El full backend reprodujo los 8 fallos heredados del baseline y detectó 30 errores de limpieza de tmp_path sobre una SQLite abierta en Windows. Tras separar basetemp y runtime, los 50 casos de los archivos afectados aprobaron 50/50. Los casos focales COMM, PostgreSQL y la regresión EVID permanecen en cero fallos.</w:t>
      </w:r>
    </w:p>
    <w:p>
      <w:pPr>
        <w:pStyle w:val="Heading1"/>
        <w:keepNext/>
        <w:spacing w:before="200" w:after="100"/>
      </w:pPr>
      <w:r>
        <w:t>9. Trazabilidad de los 60 entregables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547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0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5357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Evidencia / implementación</w:t>
            </w:r>
          </w:p>
        </w:tc>
        <w:tc>
          <w:tcPr>
            <w:tcW w:type="dxa" w:w="115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Executive summary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Resumen, señales finales y alcance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ADR Gate07M-COMM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docs/65-adr-gate07m-comm-commercial-strategy-readiness.md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Actual baseline assessment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outputs/.qa/gate07m-comm/baseline-assessment.md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Reuse before create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Matriz de reutilización y referencias de fuentes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Domain authority matrix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Autoridad COMM y dominios preservados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6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USER/ADMIN responsibility matrix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Separación de expedientes y configuración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7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Aggregate design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 Project → 1 strategy → N versions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8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Lifecycle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DRAFT → IN_REVIEW → COMPLETED; históricos terminales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9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Versioning and immutability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Hashes congelados y listeners ORM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10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Procurement Approach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Catálogo ADMIN y selección USER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11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Packaging Strategy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Paquetes conceptuales independientes de WBS/RFQ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12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Contracting Model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Catálogo y recomendación gobernados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13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Market Capability Assessment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Score, criterios y umbral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14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Supply Chain model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Restricciones, criticidad y mitigación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15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Risk Allocation Strategy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Matriz comercial sin duplicar Risk Register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16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Payment Mechanism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Catálogo y selección estratégica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17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Incentive Strategy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Mecanismos y filosofía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18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Assumptions/constraints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Colecciones separadas y versionadas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19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Strategy Alternatives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Campos comparables y policy por FEL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20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Recommendation model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Recomendación formal completa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21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Commercial Readiness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10 dimensiones backend-owned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22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Blocker rules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Códigos deterministas y pruebas negativas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23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Source-current/staleness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Source bundle/hash y STALE no destructivo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24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Refresh Preview/Apply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Preview no persistente y nueva revisión DRAFT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25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Provider contract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Contrato COMMERCIAL_READINESS_PROVIDER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26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Provider registration proof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AVAILABLE en registry y prueba focal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27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Future Five Case mapping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Referencia futura; sin Five Case UI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28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Gate07J non-mutation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Regresión EVID y snapshot de policy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29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Governance Model applicability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CAPITAL_OWNER default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30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Project Type applicability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Códigos publicados y wildcard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31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Tailoring/proportionality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Size/risk/complexity/type/governance/gate/FEL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32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ADMIN configuration design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AdminConfiguration y 20 secciones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33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ADMIN inheritance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Tenant/Enterprise/BU/Portfolio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34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ADMIN UI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Catálogos, reglas, preview y lifecycle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35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USER UI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14 vistas del expediente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36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USER queues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8 colas cursor-paginadas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37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Roles/permissions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 roles y 8 permisos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38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SoD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Author ≠ final reviewer según policy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39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ETag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If-Match y 412 exacto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40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Idempotency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Keys, retry y payload conflict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41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SecurityEvent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Lifecycle y configuración auditados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42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Persistence design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Dos tablas versionadas, sin tabla por sección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43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Migration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0060 reversible SQLite/PostgreSQL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2"/>
        <w:keepNext/>
        <w:spacing w:before="140" w:after="100"/>
      </w:pPr>
      <w:r>
        <w:t>9.1 Continuación: entregables 44 a 60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2556"/>
        <w:gridCol w:w="2556"/>
        <w:gridCol w:w="2556"/>
        <w:gridCol w:w="2556"/>
      </w:tblGrid>
      <w:tr>
        <w:trPr>
          <w:tblHeader/>
          <w:cantSplit/>
        </w:trPr>
        <w:tc>
          <w:tcPr>
            <w:tcW w:type="dxa" w:w="547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3024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Entregable</w:t>
            </w:r>
          </w:p>
        </w:tc>
        <w:tc>
          <w:tcPr>
            <w:tcW w:type="dxa" w:w="5357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Evidencia / implementación</w:t>
            </w:r>
          </w:p>
        </w:tc>
        <w:tc>
          <w:tcPr>
            <w:tcW w:type="dxa" w:w="115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44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API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USER y ADMIN completas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45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PostgreSQL happy path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Create→complete→provider en base temporal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46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Negative readiness tests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Market/risk/payment/source/SoD/ETag/idempotency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47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Staleness/recovery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Nueva DRAFT e histórico preservado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48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Historical compatibility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Sin cambios retroactivos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49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Governance Model regression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Modelos no-owner no afectados por default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50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Browser USER E2E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Navegación, vistas y ausencia ADMIN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51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Browser ADMIN E2E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Configuración y ausencia de transacciones live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52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Direct-route security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Guard can_configure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53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Navigation integration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Blueprint canónico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54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Performance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Paginación por cursor; medición local documentada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55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Full regression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Comparación diferencial contra baseline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56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Technical debt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Projection de readiness y E2E actor-switch mejorables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57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Final Gap Analysis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Sin brecha crítica COMM; deuda no bloqueante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58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Updated technical report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Este documento Word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59</w:t>
            </w:r>
          </w:p>
        </w:tc>
        <w:tc>
          <w:tcPr>
            <w:tcW w:type="dxa" w:w="3024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Final exclusive state</w:t>
            </w:r>
          </w:p>
        </w:tc>
        <w:tc>
          <w:tcPr>
            <w:tcW w:type="dxa" w:w="5357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GATE07M_COMM_COMMERCIAL_STRATEGY_RELEASE_VALIDATED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  <w:tr>
        <w:trPr>
          <w:cantSplit/>
        </w:trPr>
        <w:tc>
          <w:tcPr>
            <w:tcW w:type="dxa" w:w="54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60</w:t>
            </w:r>
          </w:p>
        </w:tc>
        <w:tc>
          <w:tcPr>
            <w:tcW w:type="dxa" w:w="3024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Recommendation next increment</w:t>
            </w:r>
          </w:p>
        </w:tc>
        <w:tc>
          <w:tcPr>
            <w:tcW w:type="dxa" w:w="5357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Benefits Plan and Benefits Traceability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</w:tr>
    </w:tbl>
    <w:p>
      <w:pPr>
        <w:spacing w:after="40"/>
      </w:pPr>
    </w:p>
    <w:p>
      <w:pPr>
        <w:pStyle w:val="Heading1"/>
        <w:keepNext/>
        <w:spacing w:before="200" w:after="100"/>
      </w:pPr>
      <w:r>
        <w:t>10. Rendimiento, deuda técnica y Gap Analysis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7DEE3"/>
          <w:left w:val="single" w:sz="4" w:color="D7DEE3"/>
          <w:bottom w:val="single" w:sz="4" w:color="D7DEE3"/>
          <w:right w:val="single" w:sz="4" w:color="D7DEE3"/>
          <w:insideH w:val="single" w:sz="4" w:color="D7DEE3"/>
          <w:insideV w:val="single" w:sz="4" w:color="D7DEE3"/>
        </w:tblBorders>
      </w:tblPr>
      <w:tblGrid>
        <w:gridCol w:w="3408"/>
        <w:gridCol w:w="3408"/>
        <w:gridCol w:w="3408"/>
      </w:tblGrid>
      <w:tr>
        <w:trPr>
          <w:tblHeader/>
          <w:cantSplit/>
        </w:trPr>
        <w:tc>
          <w:tcPr>
            <w:tcW w:type="dxa" w:w="2088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Tema</w:t>
            </w:r>
          </w:p>
        </w:tc>
        <w:tc>
          <w:tcPr>
            <w:tcW w:type="dxa" w:w="1152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Estado</w:t>
            </w:r>
          </w:p>
        </w:tc>
        <w:tc>
          <w:tcPr>
            <w:tcW w:type="dxa" w:w="6840"/>
            <w:vAlign w:val="center"/>
            <w:shd w:fill="17324D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/>
            </w:pPr>
            <w:r>
              <w:rPr>
                <w:rFonts w:ascii="Aptos" w:hAnsi="Aptos" w:eastAsia="Aptos"/>
                <w:b/>
                <w:color w:val="FFFFFF"/>
                <w:sz w:val="17"/>
              </w:rPr>
              <w:t>Evaluación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List/detail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684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Cursor limit 50; medición local list=24.94 ms y detail=24.35 ms.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Ready/Stale queues</w:t>
            </w:r>
          </w:p>
        </w:tc>
        <w:tc>
          <w:tcPr>
            <w:tcW w:type="dxa" w:w="1152"/>
            <w:vAlign w:val="top"/>
            <w:shd w:fill="FFF4E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8A5700"/>
                <w:sz w:val="16"/>
              </w:rPr>
              <w:t>DEUDA</w:t>
            </w:r>
          </w:p>
        </w:tc>
        <w:tc>
          <w:tcPr>
            <w:tcW w:type="dxa" w:w="684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Readiness se recalcula por candidato para preservar vigencia. Conviene una proyección/materialized status al crecer el volumen.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current_version_id</w:t>
            </w:r>
          </w:p>
        </w:tc>
        <w:tc>
          <w:tcPr>
            <w:tcW w:type="dxa" w:w="1152"/>
            <w:vAlign w:val="top"/>
            <w:shd w:fill="FFF4E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8A5700"/>
                <w:sz w:val="16"/>
              </w:rPr>
              <w:t>DEUDA</w:t>
            </w:r>
          </w:p>
        </w:tc>
        <w:tc>
          <w:tcPr>
            <w:tcW w:type="dxa" w:w="684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La circularidad se resuelve por validación de servicio; evaluar FK diferida en una migración futura.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Browser actor switch</w:t>
            </w:r>
          </w:p>
        </w:tc>
        <w:tc>
          <w:tcPr>
            <w:tcW w:type="dxa" w:w="1152"/>
            <w:vAlign w:val="top"/>
            <w:shd w:fill="FFF4E5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8A5700"/>
                <w:sz w:val="16"/>
              </w:rPr>
              <w:t>DEUDA</w:t>
            </w:r>
          </w:p>
        </w:tc>
        <w:tc>
          <w:tcPr>
            <w:tcW w:type="dxa" w:w="6840"/>
            <w:vAlign w:val="top"/>
            <w:shd w:fill="F5F7F8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El lifecycle completo multi-actor está cubierto en backend; el E2E navegador se concentra en navegación y separación de modos.</w:t>
            </w:r>
          </w:p>
        </w:tc>
      </w:tr>
      <w:tr>
        <w:trPr>
          <w:cantSplit/>
        </w:trPr>
        <w:tc>
          <w:tcPr>
            <w:tcW w:type="dxa" w:w="2088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Procurement/Five Case</w:t>
            </w:r>
          </w:p>
        </w:tc>
        <w:tc>
          <w:tcPr>
            <w:tcW w:type="dxa" w:w="1152"/>
            <w:vAlign w:val="top"/>
            <w:shd w:fill="E9F5EE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/>
                <w:color w:val="18794E"/>
                <w:sz w:val="16"/>
              </w:rPr>
              <w:t>PASS</w:t>
            </w:r>
          </w:p>
        </w:tc>
        <w:tc>
          <w:tcPr>
            <w:tcW w:type="dxa" w:w="6840"/>
            <w:vAlign w:val="top"/>
            <w:shd w:fill="FFFFFF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spacing w:after="0" w:line="252" w:lineRule="auto"/>
            </w:pPr>
            <w:r>
              <w:rPr>
                <w:rFonts w:ascii="Aptos" w:hAnsi="Aptos" w:eastAsia="Aptos"/>
                <w:b w:val="0"/>
                <w:color w:val="202A33"/>
                <w:sz w:val="16"/>
              </w:rPr>
              <w:t>Permanecen fuera de alcance y no fueron implementados.</w:t>
            </w:r>
          </w:p>
        </w:tc>
      </w:tr>
    </w:tbl>
    <w:p>
      <w:pPr>
        <w:spacing w:after="40"/>
      </w:pP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Gap final: no queda una brecha crítica conocida dentro del alcance Gate07M-COMM. La deuda señalada es evolutiva y no compromete integridad, seguridad, inmutabilidad ni evidencia gobernada del release.</w:t>
      </w:r>
    </w:p>
    <w:p>
      <w:pPr>
        <w:pStyle w:val="Heading1"/>
        <w:keepNext/>
        <w:spacing w:before="200" w:after="100"/>
      </w:pPr>
      <w:r>
        <w:t>11. Estado final y recomendación</w:t>
      </w:r>
    </w:p>
    <w:p>
      <w:pPr>
        <w:spacing w:before="200" w:after="160"/>
        <w:jc w:val="center"/>
      </w:pPr>
      <w:r>
        <w:rPr>
          <w:rFonts w:ascii="Aptos" w:hAnsi="Aptos" w:eastAsia="Aptos"/>
          <w:b/>
          <w:color w:val="18794E"/>
          <w:sz w:val="26"/>
        </w:rPr>
        <w:t>GATE07M_COMM_COMMERCIAL_STRATEGY_RELEASE_VALIDATED</w:t>
      </w:r>
    </w:p>
    <w:p>
      <w:pPr>
        <w:jc w:val="center"/>
      </w:pPr>
      <w:r>
        <w:rPr>
          <w:rFonts w:ascii="Aptos" w:hAnsi="Aptos" w:eastAsia="Aptos"/>
          <w:b/>
          <w:color w:val="17324D"/>
          <w:sz w:val="24"/>
        </w:rPr>
        <w:t>READY_FOR_GOVERNED_COMMERCIAL_READINESS_EVIDENCE</w:t>
      </w:r>
    </w:p>
    <w:p>
      <w:pPr>
        <w:jc w:val="center"/>
      </w:pPr>
      <w:r>
        <w:rPr>
          <w:rFonts w:ascii="Aptos" w:hAnsi="Aptos" w:eastAsia="Aptos"/>
          <w:b/>
          <w:color w:val="127A78"/>
          <w:sz w:val="22"/>
        </w:rPr>
        <w:t>COMMERCIAL_READINESS_PROVIDER = AVAILABLE</w:t>
      </w:r>
    </w:p>
    <w:p>
      <w:pPr>
        <w:spacing w:after="120" w:line="269" w:lineRule="auto"/>
      </w:pPr>
      <w:r>
        <w:rPr>
          <w:rFonts w:ascii="Aptos" w:hAnsi="Aptos" w:eastAsia="Aptos"/>
          <w:b w:val="0"/>
          <w:color w:val="202A33"/>
          <w:sz w:val="22"/>
        </w:rPr>
        <w:t>Siguiente incremento recomendado: BUILD_STRATEGIC_BENEFITS_PLAN_AND_BENEFITS_TRACEABILITY. Este cierre no inicia Five Case Business Case, procurement execution, tendering, vendor management, contract administration, commitments, purchase orders, payments, operational readiness ni benefits realization.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893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 w:eastAsia="Aptos"/>
        <w:b w:val="0"/>
        <w:color w:val="53616B"/>
        <w:sz w:val="17"/>
      </w:rPr>
      <w:t xml:space="preserve">Informe técnico controlado  ·  Página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 w:eastAsia="Aptos"/>
        <w:b/>
        <w:color w:val="53616B"/>
        <w:sz w:val="17"/>
      </w:rPr>
      <w:t>P&amp;Pmis Construction AI  |  Gate 07M-COMM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00000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Gate 07M-COMM</dc:title>
  <dc:subject>Commercial &amp; Contracting Strategy y Commercial Readiness</dc:subject>
  <dc:creator>P&amp;Pmis Construction AI / Codex</dc:creator>
  <cp:keywords>Gate07M-COMM, Commercial Strategy, Commercial Readiness, P&amp;Pmis</cp:keywords>
  <dc:description>Informe técnico de implementación y validación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