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731520" cy="658784"/>
            <wp:docPr id="1" name="Picture 1" descr="Log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10"/>
                    <a:stretch>
                      <a:fillRect/>
                    </a:stretch>
                  </pic:blipFill>
                  <pic:spPr>
                    <a:xfrm>
                      <a:off x="0" y="0"/>
                      <a:ext cx="731520" cy="658784"/>
                    </a:xfrm>
                    <a:prstGeom prst="rect"/>
                  </pic:spPr>
                </pic:pic>
              </a:graphicData>
            </a:graphic>
          </wp:inline>
        </w:drawing>
      </w:r>
    </w:p>
    <w:p>
      <w:pPr>
        <w:spacing w:after="280"/>
      </w:pPr>
    </w:p>
    <w:p>
      <w:pPr>
        <w:pStyle w:val="Title"/>
      </w:pPr>
      <w:r>
        <w:t>Informe técnico de hardening del macroproceso estratégico</w:t>
      </w:r>
    </w:p>
    <w:p>
      <w:pPr>
        <w:spacing w:after="440"/>
      </w:pPr>
      <w:r>
        <w:rPr>
          <w:rFonts w:ascii="Aptos Display" w:hAnsi="Aptos Display" w:eastAsia="Aptos Display"/>
          <w:b/>
          <w:color w:val="000000"/>
          <w:sz w:val="34"/>
        </w:rPr>
        <w:t>Separación de responsabilidades ADMIN USER optimización de código y validación de release</w:t>
      </w:r>
    </w:p>
    <w:p>
      <w:pPr>
        <w:spacing w:after="120" w:line="269" w:lineRule="auto"/>
      </w:pPr>
      <w:r>
        <w:rPr>
          <w:rFonts w:ascii="Aptos" w:hAnsi="Aptos" w:eastAsia="Aptos"/>
          <w:b/>
          <w:color w:val="1F2933"/>
          <w:sz w:val="22"/>
        </w:rPr>
        <w:t>Producto:</w:t>
      </w:r>
      <w:r>
        <w:rPr>
          <w:rFonts w:ascii="Aptos" w:hAnsi="Aptos" w:eastAsia="Aptos"/>
          <w:b w:val="0"/>
          <w:color w:val="1F2933"/>
          <w:sz w:val="22"/>
        </w:rPr>
        <w:t xml:space="preserve"> P&amp;Pmis Construction AI</w:t>
      </w:r>
    </w:p>
    <w:p>
      <w:pPr>
        <w:spacing w:after="120" w:line="269" w:lineRule="auto"/>
      </w:pPr>
      <w:r>
        <w:rPr>
          <w:rFonts w:ascii="Aptos" w:hAnsi="Aptos" w:eastAsia="Aptos"/>
          <w:b/>
          <w:color w:val="1F2933"/>
          <w:sz w:val="22"/>
        </w:rPr>
        <w:t>Repositorio:</w:t>
      </w:r>
      <w:r>
        <w:rPr>
          <w:rFonts w:ascii="Aptos" w:hAnsi="Aptos" w:eastAsia="Aptos"/>
          <w:b w:val="0"/>
          <w:color w:val="1F2933"/>
          <w:sz w:val="22"/>
        </w:rPr>
        <w:t xml:space="preserve"> pypmis-ia-sas</w:t>
      </w:r>
    </w:p>
    <w:p>
      <w:pPr>
        <w:spacing w:after="120" w:line="269" w:lineRule="auto"/>
      </w:pPr>
      <w:r>
        <w:rPr>
          <w:rFonts w:ascii="Aptos" w:hAnsi="Aptos" w:eastAsia="Aptos"/>
          <w:b/>
          <w:color w:val="1F2933"/>
          <w:sz w:val="22"/>
        </w:rPr>
        <w:t>Rama:</w:t>
      </w:r>
      <w:r>
        <w:rPr>
          <w:rFonts w:ascii="Aptos" w:hAnsi="Aptos" w:eastAsia="Aptos"/>
          <w:b w:val="0"/>
          <w:color w:val="1F2933"/>
          <w:sz w:val="22"/>
        </w:rPr>
        <w:t xml:space="preserve"> main con cambios locales no confirmados</w:t>
      </w:r>
    </w:p>
    <w:p>
      <w:pPr>
        <w:spacing w:after="120" w:line="269" w:lineRule="auto"/>
      </w:pPr>
      <w:r>
        <w:rPr>
          <w:rFonts w:ascii="Aptos" w:hAnsi="Aptos" w:eastAsia="Aptos"/>
          <w:b/>
          <w:color w:val="1F2933"/>
          <w:sz w:val="22"/>
        </w:rPr>
        <w:t>Línea base de regresión:</w:t>
      </w:r>
      <w:r>
        <w:rPr>
          <w:rFonts w:ascii="Aptos" w:hAnsi="Aptos" w:eastAsia="Aptos"/>
          <w:b w:val="0"/>
          <w:color w:val="1F2933"/>
          <w:sz w:val="22"/>
        </w:rPr>
        <w:t xml:space="preserve"> 9cb0969</w:t>
      </w:r>
    </w:p>
    <w:p>
      <w:pPr>
        <w:spacing w:after="120" w:line="269" w:lineRule="auto"/>
      </w:pPr>
      <w:r>
        <w:rPr>
          <w:rFonts w:ascii="Aptos" w:hAnsi="Aptos" w:eastAsia="Aptos"/>
          <w:b/>
          <w:color w:val="1F2933"/>
          <w:sz w:val="22"/>
        </w:rPr>
        <w:t>Fecha de cierre:</w:t>
      </w:r>
      <w:r>
        <w:rPr>
          <w:rFonts w:ascii="Aptos" w:hAnsi="Aptos" w:eastAsia="Aptos"/>
          <w:b w:val="0"/>
          <w:color w:val="1F2933"/>
          <w:sz w:val="22"/>
        </w:rPr>
        <w:t xml:space="preserve"> 15/09/2026</w:t>
      </w:r>
    </w:p>
    <w:p>
      <w:pPr>
        <w:spacing w:after="360"/>
      </w:pPr>
    </w:p>
    <w:p>
      <w:pPr>
        <w:spacing w:line="288" w:lineRule="auto" w:after="200"/>
      </w:pPr>
      <w:r>
        <w:rPr>
          <w:rFonts w:ascii="Aptos" w:hAnsi="Aptos" w:eastAsia="Aptos"/>
          <w:b w:val="0"/>
          <w:color w:val="1F2933"/>
          <w:sz w:val="25"/>
        </w:rPr>
        <w:t>El hardening consolidó una fuente única de navegación estratégica, separó configuración ADMIN de transacciones USER y mantuvo los contratos históricos y los modelos de gobierno alternativos. Los gates focales, PostgreSQL, frontend, navegador y rendimiento permiten declarar el release validado.</w:t>
      </w:r>
    </w:p>
    <w:p>
      <w:r>
        <w:br w:type="page"/>
      </w:r>
    </w:p>
    <w:p>
      <w:pPr>
        <w:pStyle w:val="Heading1"/>
        <w:keepNext/>
      </w:pPr>
      <w:r>
        <w:t>Contenido</w:t>
      </w:r>
    </w:p>
    <w:p>
      <w:pPr>
        <w:pStyle w:val="ListNumber"/>
        <w:spacing w:after="60" w:line="269" w:lineRule="auto"/>
      </w:pPr>
      <w:r>
        <w:rPr>
          <w:rFonts w:ascii="Aptos" w:hAnsi="Aptos" w:eastAsia="Aptos"/>
          <w:b w:val="0"/>
          <w:color w:val="1F2933"/>
          <w:sz w:val="22"/>
        </w:rPr>
        <w:t>Resumen ejecutivo y decisión</w:t>
      </w:r>
    </w:p>
    <w:p>
      <w:pPr>
        <w:pStyle w:val="ListNumber"/>
        <w:spacing w:after="60" w:line="269" w:lineRule="auto"/>
      </w:pPr>
      <w:r>
        <w:rPr>
          <w:rFonts w:ascii="Aptos" w:hAnsi="Aptos" w:eastAsia="Aptos"/>
          <w:b w:val="0"/>
          <w:color w:val="1F2933"/>
          <w:sz w:val="22"/>
        </w:rPr>
        <w:t>Alcance y protección del repositorio</w:t>
      </w:r>
    </w:p>
    <w:p>
      <w:pPr>
        <w:pStyle w:val="ListNumber"/>
        <w:spacing w:after="60" w:line="269" w:lineRule="auto"/>
      </w:pPr>
      <w:r>
        <w:rPr>
          <w:rFonts w:ascii="Aptos" w:hAnsi="Aptos" w:eastAsia="Aptos"/>
          <w:b w:val="0"/>
          <w:color w:val="1F2933"/>
          <w:sz w:val="22"/>
        </w:rPr>
        <w:t>Arquitectura de responsabilidades ADMIN USER</w:t>
      </w:r>
    </w:p>
    <w:p>
      <w:pPr>
        <w:pStyle w:val="ListNumber"/>
        <w:spacing w:after="60" w:line="269" w:lineRule="auto"/>
      </w:pPr>
      <w:r>
        <w:rPr>
          <w:rFonts w:ascii="Aptos" w:hAnsi="Aptos" w:eastAsia="Aptos"/>
          <w:b w:val="0"/>
          <w:color w:val="1F2933"/>
          <w:sz w:val="22"/>
        </w:rPr>
        <w:t>Inventario del flujo estratégico</w:t>
      </w:r>
    </w:p>
    <w:p>
      <w:pPr>
        <w:pStyle w:val="ListNumber"/>
        <w:spacing w:after="60" w:line="269" w:lineRule="auto"/>
      </w:pPr>
      <w:r>
        <w:rPr>
          <w:rFonts w:ascii="Aptos" w:hAnsi="Aptos" w:eastAsia="Aptos"/>
          <w:b w:val="0"/>
          <w:color w:val="1F2933"/>
          <w:sz w:val="22"/>
        </w:rPr>
        <w:t>Hallazgos y correcciones de contaminación</w:t>
      </w:r>
    </w:p>
    <w:p>
      <w:pPr>
        <w:pStyle w:val="ListNumber"/>
        <w:spacing w:after="60" w:line="269" w:lineRule="auto"/>
      </w:pPr>
      <w:r>
        <w:rPr>
          <w:rFonts w:ascii="Aptos" w:hAnsi="Aptos" w:eastAsia="Aptos"/>
          <w:b w:val="0"/>
          <w:color w:val="1F2933"/>
          <w:sz w:val="22"/>
        </w:rPr>
        <w:t>Limpieza de navegación y código</w:t>
      </w:r>
    </w:p>
    <w:p>
      <w:pPr>
        <w:pStyle w:val="ListNumber"/>
        <w:spacing w:after="60" w:line="269" w:lineRule="auto"/>
      </w:pPr>
      <w:r>
        <w:rPr>
          <w:rFonts w:ascii="Aptos" w:hAnsi="Aptos" w:eastAsia="Aptos"/>
          <w:b w:val="0"/>
          <w:color w:val="1F2933"/>
          <w:sz w:val="22"/>
        </w:rPr>
        <w:t>Hardening de Business Analysis</w:t>
      </w:r>
    </w:p>
    <w:p>
      <w:pPr>
        <w:pStyle w:val="ListNumber"/>
        <w:spacing w:after="60" w:line="269" w:lineRule="auto"/>
      </w:pPr>
      <w:r>
        <w:rPr>
          <w:rFonts w:ascii="Aptos" w:hAnsi="Aptos" w:eastAsia="Aptos"/>
          <w:b w:val="0"/>
          <w:color w:val="1F2933"/>
          <w:sz w:val="22"/>
        </w:rPr>
        <w:t>Seguridad compatibilidad e historial</w:t>
      </w:r>
    </w:p>
    <w:p>
      <w:pPr>
        <w:pStyle w:val="ListNumber"/>
        <w:spacing w:after="60" w:line="269" w:lineRule="auto"/>
      </w:pPr>
      <w:r>
        <w:rPr>
          <w:rFonts w:ascii="Aptos" w:hAnsi="Aptos" w:eastAsia="Aptos"/>
          <w:b w:val="0"/>
          <w:color w:val="1F2933"/>
          <w:sz w:val="22"/>
        </w:rPr>
        <w:t>Validación técnica</w:t>
      </w:r>
    </w:p>
    <w:p>
      <w:pPr>
        <w:pStyle w:val="ListNumber"/>
        <w:spacing w:after="60" w:line="269" w:lineRule="auto"/>
      </w:pPr>
      <w:r>
        <w:rPr>
          <w:rFonts w:ascii="Aptos" w:hAnsi="Aptos" w:eastAsia="Aptos"/>
          <w:b w:val="0"/>
          <w:color w:val="1F2933"/>
          <w:sz w:val="22"/>
        </w:rPr>
        <w:t>Métricas de código bundle y rendimiento</w:t>
      </w:r>
    </w:p>
    <w:p>
      <w:pPr>
        <w:pStyle w:val="ListNumber"/>
        <w:spacing w:after="60" w:line="269" w:lineRule="auto"/>
      </w:pPr>
      <w:r>
        <w:rPr>
          <w:rFonts w:ascii="Aptos" w:hAnsi="Aptos" w:eastAsia="Aptos"/>
          <w:b w:val="0"/>
          <w:color w:val="1F2933"/>
          <w:sz w:val="22"/>
        </w:rPr>
        <w:t>Riesgos residuales y decisión de migración</w:t>
      </w:r>
    </w:p>
    <w:p>
      <w:pPr>
        <w:pStyle w:val="ListNumber"/>
        <w:spacing w:after="60" w:line="269" w:lineRule="auto"/>
      </w:pPr>
      <w:r>
        <w:rPr>
          <w:rFonts w:ascii="Aptos" w:hAnsi="Aptos" w:eastAsia="Aptos"/>
          <w:b w:val="0"/>
          <w:color w:val="1F2933"/>
          <w:sz w:val="22"/>
        </w:rPr>
        <w:t>Estado de release y siguiente incremento</w:t>
      </w:r>
    </w:p>
    <w:p>
      <w:pPr>
        <w:pStyle w:val="ListNumber"/>
        <w:spacing w:after="60" w:line="269" w:lineRule="auto"/>
      </w:pPr>
      <w:r>
        <w:rPr>
          <w:rFonts w:ascii="Aptos" w:hAnsi="Aptos" w:eastAsia="Aptos"/>
          <w:b w:val="0"/>
          <w:color w:val="1F2933"/>
          <w:sz w:val="22"/>
        </w:rPr>
        <w:t>Anexos de trazabilidad</w:t>
      </w:r>
    </w:p>
    <w:p>
      <w:pPr>
        <w:pStyle w:val="Heading2"/>
        <w:keepNext/>
      </w:pPr>
      <w:r>
        <w:t>Datos de control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237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Elemento</w:t>
            </w:r>
          </w:p>
        </w:tc>
        <w:tc>
          <w:tcPr>
            <w:tcW w:type="dxa" w:w="727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Valor</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Autor técnico</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Equipo P&amp;Pmis Construction AI</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Destinatario</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Propietario del producto y responsables de arquitectura y QA</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Objeto</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Hardening del macroproceso estratégico posterior a Frontend V2 y Gate07A BA</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Estado</w:t>
            </w:r>
          </w:p>
        </w:tc>
        <w:tc>
          <w:tcPr>
            <w:tcW w:type="dxa" w:w="7272"/>
            <w:vAlign w:val="center"/>
            <w:shd w:fill="E9F5EE"/>
            <w:tcMar>
              <w:top w:w="105" w:type="dxa"/>
              <w:start w:w="105" w:type="dxa"/>
              <w:bottom w:w="105" w:type="dxa"/>
              <w:end w:w="105" w:type="dxa"/>
            </w:tcMar>
          </w:tcPr>
          <w:p>
            <w:pPr>
              <w:spacing w:after="0" w:line="259" w:lineRule="auto"/>
              <w:jc w:val="left"/>
            </w:pPr>
            <w:r>
              <w:rPr>
                <w:rFonts w:ascii="Aptos" w:hAnsi="Aptos" w:eastAsia="Aptos"/>
                <w:b/>
                <w:color w:val="18794E"/>
                <w:sz w:val="17"/>
              </w:rPr>
              <w:t>VALIDADO</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STOP boundary</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Five Case Model y sin implementación de macroprocesos operacionales</w:t>
            </w:r>
          </w:p>
        </w:tc>
      </w:tr>
    </w:tbl>
    <w:p>
      <w:pPr>
        <w:spacing w:after="80"/>
      </w:pPr>
    </w:p>
    <w:p>
      <w:r>
        <w:br w:type="page"/>
      </w:r>
    </w:p>
    <w:p>
      <w:pPr>
        <w:pStyle w:val="Heading1"/>
        <w:keepNext/>
      </w:pPr>
      <w:r>
        <w:t>1 Resumen ejecutivo y decisión</w:t>
      </w:r>
    </w:p>
    <w:p>
      <w:pPr>
        <w:spacing w:after="120" w:line="269" w:lineRule="auto"/>
      </w:pPr>
      <w:r>
        <w:rPr>
          <w:rFonts w:ascii="Aptos" w:hAnsi="Aptos" w:eastAsia="Aptos"/>
          <w:b w:val="0"/>
          <w:color w:val="1F2933"/>
          <w:sz w:val="22"/>
        </w:rPr>
        <w:t>La implementación reduce el acoplamiento del shell, clasifica las 128 rutas estratégicas y aplica la misma regla de acceso en navegación y deep links. USER MODE conserva operaciones vivas. ADMIN MODE conserva publicación y mantenimiento de políticas. Las lecturas compartidas permanecen sin mutación.</w:t>
      </w:r>
    </w:p>
    <w:p>
      <w:pPr>
        <w:pStyle w:val="ListBullet"/>
        <w:spacing w:after="60" w:line="269" w:lineRule="auto"/>
      </w:pPr>
      <w:r>
        <w:rPr>
          <w:rFonts w:ascii="Aptos" w:hAnsi="Aptos" w:eastAsia="Aptos"/>
          <w:b w:val="0"/>
          <w:color w:val="1F2933"/>
          <w:sz w:val="22"/>
        </w:rPr>
        <w:t>La matriz canónica contiene 128 rutas: 100 USER y 28 ADMIN.</w:t>
      </w:r>
    </w:p>
    <w:p>
      <w:pPr>
        <w:pStyle w:val="ListBullet"/>
        <w:spacing w:after="60" w:line="269" w:lineRule="auto"/>
      </w:pPr>
      <w:r>
        <w:rPr>
          <w:rFonts w:ascii="Aptos" w:hAnsi="Aptos" w:eastAsia="Aptos"/>
          <w:b w:val="0"/>
          <w:color w:val="1F2933"/>
          <w:sz w:val="22"/>
        </w:rPr>
        <w:t>La clasificación cerrada contiene 92 USER_TRANSACTION, 27 ADMIN_CONFIGURATION y 9 READ_ONLY_SHARED.</w:t>
      </w:r>
    </w:p>
    <w:p>
      <w:pPr>
        <w:pStyle w:val="ListBullet"/>
        <w:spacing w:after="60" w:line="269" w:lineRule="auto"/>
      </w:pPr>
      <w:r>
        <w:rPr>
          <w:rFonts w:ascii="Aptos" w:hAnsi="Aptos" w:eastAsia="Aptos"/>
          <w:b w:val="0"/>
          <w:color w:val="1F2933"/>
          <w:sz w:val="22"/>
        </w:rPr>
        <w:t>El diferencial backend pasó de 10 a 8 fallas, con cero fallas nuevas y 17 casos adicionales.</w:t>
      </w:r>
    </w:p>
    <w:p>
      <w:pPr>
        <w:pStyle w:val="ListBullet"/>
        <w:spacing w:after="60" w:line="269" w:lineRule="auto"/>
      </w:pPr>
      <w:r>
        <w:rPr>
          <w:rFonts w:ascii="Aptos" w:hAnsi="Aptos" w:eastAsia="Aptos"/>
          <w:b w:val="0"/>
          <w:color w:val="1F2933"/>
          <w:sz w:val="22"/>
        </w:rPr>
        <w:t>Los gates PostgreSQL aprobaron 6 de 6 casos, incluidas migración Gate07A BA, constraints, lineage, Permit y Risk.</w:t>
      </w:r>
    </w:p>
    <w:p>
      <w:pPr>
        <w:pStyle w:val="ListBullet"/>
        <w:spacing w:after="60" w:line="269" w:lineRule="auto"/>
      </w:pPr>
      <w:r>
        <w:rPr>
          <w:rFonts w:ascii="Aptos" w:hAnsi="Aptos" w:eastAsia="Aptos"/>
          <w:b w:val="0"/>
          <w:color w:val="1F2933"/>
          <w:sz w:val="22"/>
        </w:rPr>
        <w:t>Vitest reporta 244 aprobados de 244; Browser E2E reporta 7 aprobados y 0 fallidos.</w:t>
      </w:r>
    </w:p>
    <w:p>
      <w:pPr>
        <w:pStyle w:val="Heading2"/>
        <w:keepNext/>
      </w:pPr>
      <w:r>
        <w:t>Decisión técnica</w:t>
      </w:r>
    </w:p>
    <w:p>
      <w:pPr>
        <w:spacing w:after="120" w:line="269" w:lineRule="auto"/>
      </w:pPr>
      <w:r>
        <w:rPr>
          <w:rFonts w:ascii="Aptos" w:hAnsi="Aptos" w:eastAsia="Aptos"/>
          <w:b w:val="0"/>
          <w:color w:val="1F2933"/>
          <w:sz w:val="22"/>
        </w:rPr>
        <w:t>Se emiten las señales de hardening y limpieza porque no hay contaminación entre modos, no existe regresión nueva frente a 9cb0969 y los gates de navegador y rendimiento están documentados.</w:t>
      </w:r>
    </w:p>
    <w:p>
      <w:pPr>
        <w:pStyle w:val="Heading2"/>
        <w:keepNext/>
      </w:pPr>
      <w:r>
        <w:t>Alcance excluido</w:t>
      </w:r>
    </w:p>
    <w:p>
      <w:pPr>
        <w:spacing w:after="120" w:line="269" w:lineRule="auto"/>
      </w:pPr>
      <w:r>
        <w:rPr>
          <w:rFonts w:ascii="Aptos" w:hAnsi="Aptos" w:eastAsia="Aptos"/>
          <w:b w:val="0"/>
          <w:color w:val="1F2933"/>
          <w:sz w:val="22"/>
        </w:rPr>
        <w:t>No se implementó Strategic Case, Economic Case, Commercial Case, Financial Case ni Management Case. Tampoco se iniciaron compras, contratos, compromisos, órdenes de compra, control de ejecución, Asset Management, Facilities Management o Benefits Realization.</w:t>
      </w:r>
    </w:p>
    <w:p>
      <w:pPr>
        <w:pStyle w:val="Heading1"/>
        <w:keepNext/>
      </w:pPr>
      <w:r>
        <w:t>2 Alcance y protección del repositorio</w:t>
      </w:r>
    </w:p>
    <w:p>
      <w:pPr>
        <w:spacing w:after="120" w:line="269" w:lineRule="auto"/>
      </w:pPr>
      <w:r>
        <w:rPr>
          <w:rFonts w:ascii="Aptos" w:hAnsi="Aptos" w:eastAsia="Aptos"/>
          <w:b w:val="0"/>
          <w:color w:val="1F2933"/>
          <w:sz w:val="22"/>
        </w:rPr>
        <w:t>El trabajo se realizó sobre main con un árbol de trabajo previamente modificado por incrementos anteriores. No se ejecutaron reset, checkout destructivo ni reescritura de historia. Las modificaciones ajenas al hardening se conservaron y las comparaciones contra 9cb0969 fueron de solo lectura.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Control</w:t>
            </w:r>
          </w:p>
        </w:tc>
        <w:tc>
          <w:tcPr>
            <w:tcW w:type="dxa" w:w="482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Aplicación</w:t>
            </w:r>
          </w:p>
        </w:tc>
        <w:tc>
          <w:tcPr>
            <w:tcW w:type="dxa" w:w="259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Git</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Commit 9cb0969 extraído en un área de QA</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Sin alterar main</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Árbol sucio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Cambios existentes preservados</w:t>
            </w:r>
          </w:p>
        </w:tc>
        <w:tc>
          <w:tcPr>
            <w:tcW w:type="dxa" w:w="259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Sin descartes</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Migración aplicada</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0059 se mantuvo intacta</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Sin nueva migración</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TMP TEMP TMPDIR SQLite y documentos por ejecución</w:t>
            </w:r>
          </w:p>
        </w:tc>
        <w:tc>
          <w:tcPr>
            <w:tcW w:type="dxa" w:w="259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Sin errores ACL</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Artefactos generados</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JUnit JSON capturas y métricas bajo outputs o docs validation</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Trazabilidad local</w:t>
            </w:r>
          </w:p>
        </w:tc>
      </w:tr>
    </w:tbl>
    <w:p>
      <w:pPr>
        <w:spacing w:after="80"/>
      </w:pPr>
    </w:p>
    <w:p>
      <w:pPr>
        <w:pStyle w:val="Heading2"/>
        <w:keepNext/>
      </w:pPr>
      <w:r>
        <w:t>Baseline real</w:t>
      </w:r>
    </w:p>
    <w:p>
      <w:pPr>
        <w:spacing w:after="120" w:line="269" w:lineRule="auto"/>
      </w:pPr>
      <w:r>
        <w:rPr>
          <w:rFonts w:ascii="Aptos" w:hAnsi="Aptos" w:eastAsia="Aptos"/>
          <w:b w:val="0"/>
          <w:color w:val="1F2933"/>
          <w:sz w:val="22"/>
        </w:rPr>
        <w:t>El baseline ejecutó 609 casos en 2517.723 segundos: 572 aprobados, 27 omitidos y 10 fallidos. El working tree actual ejecutó 626 casos en 2510.651 segundos: 585 aprobados, 33 omitidos y 8 fallidos.</w:t>
      </w:r>
    </w:p>
    <w:p>
      <w:r>
        <w:br w:type="page"/>
      </w:r>
    </w:p>
    <w:p>
      <w:pPr>
        <w:pStyle w:val="Heading1"/>
        <w:keepNext/>
      </w:pPr>
      <w:r>
        <w:t>3 Arquitectura de responsabilidades ADMIN USER</w:t>
      </w:r>
    </w:p>
    <w:p>
      <w:pPr>
        <w:pStyle w:val="Heading2"/>
        <w:keepNext/>
      </w:pPr>
      <w:r>
        <w:t>Clasificación cerrada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Clasificación</w:t>
            </w:r>
          </w:p>
        </w:tc>
        <w:tc>
          <w:tcPr>
            <w:tcW w:type="dxa" w:w="35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Responsabilidad</w:t>
            </w:r>
          </w:p>
        </w:tc>
        <w:tc>
          <w:tcPr>
            <w:tcW w:type="dxa" w:w="288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Acceso mínimo</w:t>
            </w:r>
          </w:p>
        </w:tc>
        <w:tc>
          <w:tcPr>
            <w:tcW w:type="dxa" w:w="1008"/>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Controles</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USER_TRANSACTION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Operación viva del ciclo de inversión</w:t>
            </w:r>
          </w:p>
        </w:tc>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Usuario autenticado y permiso de dominio</w:t>
            </w:r>
          </w:p>
        </w:tc>
        <w:tc>
          <w:tcPr>
            <w:tcW w:type="dxa" w:w="100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92</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ADMIN_CONFIGURATION</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Configuración clonación preview publicación y archivo</w:t>
            </w:r>
          </w:p>
        </w:tc>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can_configure y permiso admin de dominio</w:t>
            </w:r>
          </w:p>
        </w:tc>
        <w:tc>
          <w:tcPr>
            <w:tcW w:type="dxa" w:w="100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READ_ONLY_SHARED</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Consulta sin mutación</w:t>
            </w:r>
          </w:p>
        </w:tc>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Usuario autenticado y contexto autorizado</w:t>
            </w:r>
          </w:p>
        </w:tc>
        <w:tc>
          <w:tcPr>
            <w:tcW w:type="dxa" w:w="100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r>
    </w:tbl>
    <w:p>
      <w:pPr>
        <w:spacing w:after="80"/>
      </w:pPr>
    </w:p>
    <w:p>
      <w:pPr>
        <w:pStyle w:val="Heading2"/>
        <w:keepNext/>
      </w:pPr>
      <w:r>
        <w:t>Fuente única de verdad</w:t>
      </w:r>
    </w:p>
    <w:p>
      <w:pPr>
        <w:spacing w:after="120" w:line="269" w:lineRule="auto"/>
      </w:pPr>
      <w:r>
        <w:rPr>
          <w:rFonts w:ascii="Aptos" w:hAnsi="Aptos" w:eastAsia="Aptos"/>
          <w:b w:val="0"/>
          <w:color w:val="1F2933"/>
          <w:sz w:val="22"/>
        </w:rPr>
        <w:t>strategicNavigationBlueprint.ts define fases, módulos, submódulos, orden, rutas, permisos, contexto y aplicabilidad. applicationNavigation.ts deriva ambos árboles mediante buildStrategicMacroprocess. StrategicViewOutlet.tsx resuelve el componente y evalúa canAccessStrategicNode antes de renderizar una ruta directa.</w:t>
      </w:r>
    </w:p>
    <w:p>
      <w:pPr>
        <w:pStyle w:val="Heading2"/>
        <w:keepNext/>
      </w:pPr>
      <w:r>
        <w:t>Defensa en profundidad</w:t>
      </w:r>
    </w:p>
    <w:p>
      <w:pPr>
        <w:pStyle w:val="ListBullet"/>
        <w:spacing w:after="60" w:line="269" w:lineRule="auto"/>
      </w:pPr>
      <w:r>
        <w:rPr>
          <w:rFonts w:ascii="Aptos" w:hAnsi="Aptos" w:eastAsia="Aptos"/>
          <w:b w:val="0"/>
          <w:color w:val="1F2933"/>
          <w:sz w:val="22"/>
        </w:rPr>
        <w:t>El botón de cambio a ADMIN queda deshabilitado cuando la membresía no contiene can_configure.</w:t>
      </w:r>
    </w:p>
    <w:p>
      <w:pPr>
        <w:pStyle w:val="ListBullet"/>
        <w:spacing w:after="60" w:line="269" w:lineRule="auto"/>
      </w:pPr>
      <w:r>
        <w:rPr>
          <w:rFonts w:ascii="Aptos" w:hAnsi="Aptos" w:eastAsia="Aptos"/>
          <w:b w:val="0"/>
          <w:color w:val="1F2933"/>
          <w:sz w:val="22"/>
        </w:rPr>
        <w:t>Una URL ADMIN directa vuelve a consultar la clasificación y niega el render a un usuario no configurador.</w:t>
      </w:r>
    </w:p>
    <w:p>
      <w:pPr>
        <w:pStyle w:val="ListBullet"/>
        <w:spacing w:after="60" w:line="269" w:lineRule="auto"/>
      </w:pPr>
      <w:r>
        <w:rPr>
          <w:rFonts w:ascii="Aptos" w:hAnsi="Aptos" w:eastAsia="Aptos"/>
          <w:b w:val="0"/>
          <w:color w:val="1F2933"/>
          <w:sz w:val="22"/>
        </w:rPr>
        <w:t>La API mantiene permisos separados para lectura y transacción frente a configure y publish.</w:t>
      </w:r>
    </w:p>
    <w:p>
      <w:pPr>
        <w:pStyle w:val="ListBullet"/>
        <w:spacing w:after="60" w:line="269" w:lineRule="auto"/>
      </w:pPr>
      <w:r>
        <w:rPr>
          <w:rFonts w:ascii="Aptos" w:hAnsi="Aptos" w:eastAsia="Aptos"/>
          <w:b w:val="0"/>
          <w:color w:val="1F2933"/>
          <w:sz w:val="22"/>
        </w:rPr>
        <w:t>Ocultar un control no reemplaza las verificaciones de tenant rol y permiso del backend.</w:t>
      </w:r>
    </w:p>
    <w:p>
      <w:pPr>
        <w:pStyle w:val="Heading2"/>
        <w:keepNext/>
      </w:pPr>
      <w:r>
        <w:t>ADR de responsabilidad</w:t>
      </w:r>
    </w:p>
    <w:p>
      <w:pPr>
        <w:spacing w:after="120" w:line="269" w:lineRule="auto"/>
      </w:pPr>
      <w:r>
        <w:rPr>
          <w:rFonts w:ascii="Aptos" w:hAnsi="Aptos" w:eastAsia="Aptos"/>
          <w:b w:val="0"/>
          <w:color w:val="1F2933"/>
          <w:sz w:val="22"/>
        </w:rPr>
        <w:t>La decisión se conserva en docs/64-adr-strategic-admin-user-code-hardening.md. El ADR fija las invariantes, el tratamiento de modelos alternativos, la compatibilidad HTTP y el criterio de cierre.</w:t>
      </w:r>
    </w:p>
    <w:p>
      <w:pPr>
        <w:pStyle w:val="Heading1"/>
        <w:keepNext/>
      </w:pPr>
      <w:r>
        <w:t>4 Inventario del flujo estratégico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648"/>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Fase</w:t>
            </w:r>
          </w:p>
        </w:tc>
        <w:tc>
          <w:tcPr>
            <w:tcW w:type="dxa" w:w="244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Módulo</w:t>
            </w:r>
          </w:p>
        </w:tc>
        <w:tc>
          <w:tcPr>
            <w:tcW w:type="dxa" w:w="331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USER</w:t>
            </w:r>
          </w:p>
        </w:tc>
        <w:tc>
          <w:tcPr>
            <w:tcW w:type="dxa" w:w="324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ADMIN</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Enterprise Foundation</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Status Enterprise Explorer Workspace Context</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y objetivos configurables</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Idea and Demand</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Idea Lifecycle Business Analysis and Options</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Políticas de Idea y Business Analysis</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Project Proposal</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Proposal lifecycle y readiness</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Plantillas matriz y reglas de Proposal</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Gate</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Revisión y decisión estratégica</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Perfiles autoridad outcomes y checklist</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Planning</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Intake evaluation analysis scorecard</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Matrices y políticas de Portfolio</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Scenario Planning</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Budget Resources y Convergence</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Políticas de escenarios y recomendación</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Project Definition and Investment Case</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FEL Business Case Funding FIN Risk Permit</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Configuración de cada proveedor de evidencia</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Investment Governance</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Gate07J Gate07K y Gate07L</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Evidence Policy preparación decisión y post FID</w:t>
            </w:r>
          </w:p>
        </w:tc>
      </w:tr>
    </w:tbl>
    <w:p>
      <w:pPr>
        <w:spacing w:after="80"/>
      </w:pPr>
    </w:p>
    <w:p>
      <w:pPr>
        <w:pStyle w:val="Heading2"/>
        <w:keepNext/>
      </w:pPr>
      <w:r>
        <w:t>Orden y convergencia preservados</w:t>
      </w:r>
    </w:p>
    <w:p>
      <w:pPr>
        <w:spacing w:after="120" w:line="269" w:lineRule="auto"/>
      </w:pPr>
      <w:r>
        <w:rPr>
          <w:rFonts w:ascii="Aptos" w:hAnsi="Aptos" w:eastAsia="Aptos"/>
          <w:b w:val="0"/>
          <w:color w:val="1F2933"/>
          <w:sz w:val="22"/>
        </w:rPr>
        <w:t>Business Analysis permanece entre Idea y Project Proposal. Budget y Resources se ejecutan como ramas paralelas antes de Convergence. FEL, Business Case, Funding, FIN, Risk y Permit aportan evidencia a Gate07J; Gate07K registra la decisión y Gate07L evalúa la elegibilidad posterior sin activar un proyecto.</w:t>
      </w:r>
    </w:p>
    <w:p>
      <w:pPr>
        <w:pStyle w:val="Heading1"/>
        <w:keepNext/>
      </w:pPr>
      <w:r>
        <w:t>5 Hallazgos y correcciones de contaminación</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280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Hallazgo</w:t>
            </w:r>
          </w:p>
        </w:tc>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Riesgo</w:t>
            </w:r>
          </w:p>
        </w:tc>
        <w:tc>
          <w:tcPr>
            <w:tcW w:type="dxa" w:w="345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Corrección</w:t>
            </w:r>
          </w:p>
        </w:tc>
        <w:tc>
          <w:tcPr>
            <w:tcW w:type="dxa" w:w="115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Listas USER y ADMIN duplicadas</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 de orden rutas y permisos</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Derivación exclusiva desde el blueprint</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Render estratégico disperso en App</w:t>
            </w:r>
          </w:p>
        </w:tc>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Guardas inconsistentes y shell sobredimensionado</w:t>
            </w:r>
          </w:p>
        </w:tc>
        <w:tc>
          <w:tcPr>
            <w:tcW w:type="dxa" w:w="34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StrategicViewOutlet central</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Cambio a ADMIN sin condición visible</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Exposición de navegación de configuración</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Toggle deshabilitado sin can_configure</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Carrera de ruta al cambiar USER a ADMIN</w:t>
            </w:r>
          </w:p>
        </w:tc>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Una navegación USER pendiente podía restaurar la vista anterior</w:t>
            </w:r>
          </w:p>
        </w:tc>
        <w:tc>
          <w:tcPr>
            <w:tcW w:type="dxa" w:w="34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Cambio de modo y reemplazo de /app sincronizados con flushSync</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Deep links con reglas parciales</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Acceso directo distinto de navegación</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Registro y guarda canónica</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Editor BA basado en JSON</w:t>
            </w:r>
          </w:p>
        </w:tc>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Errores de estructura y poca gobernanza</w:t>
            </w:r>
          </w:p>
        </w:tc>
        <w:tc>
          <w:tcPr>
            <w:tcW w:type="dxa" w:w="34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Formulario estructurado y JSON avanzado de solo lectura</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Cola BA sin cota</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Latencia y carga crecientes</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Cursor estable y límite 50 con máximo 100</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Ratings BA confiados al cliente</w:t>
            </w:r>
          </w:p>
        </w:tc>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Resultados fuera de escala</w:t>
            </w:r>
          </w:p>
        </w:tc>
        <w:tc>
          <w:tcPr>
            <w:tcW w:type="dxa" w:w="34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Validación backend de finitud rango y allowed values</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Seed susceptible a concurrencia</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Duplicados o IntegrityError</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Upsert específico por dialecto e idempotencia</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 globales de pytest</w:t>
            </w:r>
          </w:p>
        </w:tc>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ACL de Windows contaminaba suites</w:t>
            </w:r>
          </w:p>
        </w:tc>
        <w:tc>
          <w:tcPr>
            <w:tcW w:type="dxa" w:w="34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Basetemp y storage por proceso dentro del repositorio</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0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AppFlow estructural con eventos de puntero</w:t>
            </w:r>
          </w:p>
        </w:tc>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Timeout bajo concurrencia en una prueba de 36 transiciones</w:t>
            </w:r>
          </w:p>
        </w:tc>
        <w:tc>
          <w:tcPr>
            <w:tcW w:type="dxa" w:w="34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Eventos DOM síncronos; interacción real conservada en Playwright</w:t>
            </w:r>
          </w:p>
        </w:tc>
        <w:tc>
          <w:tcPr>
            <w:tcW w:type="dxa" w:w="1152"/>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bl>
    <w:p>
      <w:pPr>
        <w:spacing w:after="80"/>
      </w:pPr>
    </w:p>
    <w:p>
      <w:pPr>
        <w:pStyle w:val="Heading1"/>
        <w:keepNext/>
      </w:pPr>
      <w:r>
        <w:t>6 Limpieza de navegación y código</w:t>
      </w:r>
    </w:p>
    <w:p>
      <w:pPr>
        <w:spacing w:after="120" w:line="269" w:lineRule="auto"/>
      </w:pPr>
      <w:r>
        <w:rPr>
          <w:rFonts w:ascii="Aptos" w:hAnsi="Aptos" w:eastAsia="Aptos"/>
          <w:b w:val="0"/>
          <w:color w:val="1F2933"/>
          <w:sz w:val="22"/>
        </w:rPr>
        <w:t>La limpieza eliminó duplicación demostrada y conservó rutas alternativas con uso vigente. No se borraron endpoints ni archivos de producto por inferencia. Las capacidades Project Control Facility Property y Workspace Governance permanecen fuera del flujo estratégico canónico.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15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Acción</w:t>
            </w:r>
          </w:p>
        </w:tc>
        <w:tc>
          <w:tcPr>
            <w:tcW w:type="dxa" w:w="115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Elementos</w:t>
            </w:r>
          </w:p>
        </w:tc>
        <w:tc>
          <w:tcPr>
            <w:tcW w:type="dxa" w:w="705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Lectura</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ADD</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EXTEND</w:t>
            </w:r>
          </w:p>
        </w:tc>
        <w:tc>
          <w:tcPr>
            <w:tcW w:type="dxa" w:w="115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70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KEEP</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REFACTOR</w:t>
            </w:r>
          </w:p>
        </w:tc>
        <w:tc>
          <w:tcPr>
            <w:tcW w:type="dxa" w:w="115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70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REMOVE</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bl>
    <w:p>
      <w:pPr>
        <w:spacing w:after="80"/>
      </w:pPr>
    </w:p>
    <w:p>
      <w:pPr>
        <w:pStyle w:val="Heading2"/>
        <w:keepNext/>
      </w:pPr>
      <w:r>
        <w:t>Eliminaciones seguras</w:t>
      </w:r>
    </w:p>
    <w:p>
      <w:pPr>
        <w:pStyle w:val="ListBullet"/>
        <w:spacing w:after="60" w:line="269" w:lineRule="auto"/>
      </w:pPr>
      <w:r>
        <w:rPr>
          <w:rFonts w:ascii="Aptos" w:hAnsi="Aptos" w:eastAsia="Aptos"/>
          <w:b w:val="0"/>
          <w:color w:val="1F2933"/>
          <w:sz w:val="22"/>
        </w:rPr>
        <w:t>Se retiraron las listas estratégicas USER y ADMIN duplicadas de applicationNavigation.ts. El reemplazo es buildStrategicMacroprocess.</w:t>
      </w:r>
    </w:p>
    <w:p>
      <w:pPr>
        <w:pStyle w:val="ListBullet"/>
        <w:spacing w:after="60" w:line="269" w:lineRule="auto"/>
      </w:pPr>
      <w:r>
        <w:rPr>
          <w:rFonts w:ascii="Aptos" w:hAnsi="Aptos" w:eastAsia="Aptos"/>
          <w:b w:val="0"/>
          <w:color w:val="1F2933"/>
          <w:sz w:val="22"/>
        </w:rPr>
        <w:t>Se retiró la cadena de imports y condiciones estratégicas de App.tsx. El reemplazo es StrategicViewOutlet.</w:t>
      </w:r>
    </w:p>
    <w:p>
      <w:pPr>
        <w:pStyle w:val="ListBullet"/>
        <w:spacing w:after="60" w:line="269" w:lineRule="auto"/>
      </w:pPr>
      <w:r>
        <w:rPr>
          <w:rFonts w:ascii="Aptos" w:hAnsi="Aptos" w:eastAsia="Aptos"/>
          <w:b w:val="0"/>
          <w:color w:val="1F2933"/>
          <w:sz w:val="22"/>
        </w:rPr>
        <w:t>Se eliminaron doce archivos de fixtures pytest rastreados por error en .tmp y backend/.tmp. No tenían consumidor de runtime y las suites recrean sus datos.</w:t>
      </w:r>
    </w:p>
    <w:p>
      <w:pPr>
        <w:pStyle w:val="ListBullet"/>
        <w:spacing w:after="60" w:line="269" w:lineRule="auto"/>
      </w:pPr>
      <w:r>
        <w:rPr>
          <w:rFonts w:ascii="Aptos" w:hAnsi="Aptos" w:eastAsia="Aptos"/>
          <w:b w:val="0"/>
          <w:color w:val="1F2933"/>
          <w:sz w:val="22"/>
        </w:rPr>
        <w:t>No se eliminaron rutas canónicas, endpoints, historias, snapshots, modelos o CSS funcional.</w:t>
      </w:r>
    </w:p>
    <w:p>
      <w:pPr>
        <w:pStyle w:val="Heading2"/>
        <w:keepNext/>
      </w:pPr>
      <w:r>
        <w:t>Compatibilidad de rutas</w:t>
      </w:r>
    </w:p>
    <w:p>
      <w:pPr>
        <w:spacing w:after="120" w:line="269" w:lineRule="auto"/>
      </w:pPr>
      <w:r>
        <w:rPr>
          <w:rFonts w:ascii="Aptos" w:hAnsi="Aptos" w:eastAsia="Aptos"/>
          <w:b w:val="0"/>
          <w:color w:val="1F2933"/>
          <w:sz w:val="22"/>
        </w:rPr>
        <w:t>La matriz registra 27 familias. Todas se clasifican KEEP porque el hardening consolida su resolución sin retirar deep links. No se requirieron REDIRECT, ALIAS ni REMOVE.</w:t>
      </w:r>
    </w:p>
    <w:p>
      <w:pPr>
        <w:pStyle w:val="Heading1"/>
        <w:keepNext/>
      </w:pPr>
      <w:r>
        <w:t>7 Hardening de Business Analysis</w:t>
      </w:r>
    </w:p>
    <w:p>
      <w:pPr>
        <w:pStyle w:val="Heading2"/>
        <w:keepNext/>
      </w:pPr>
      <w:r>
        <w:t>Paginación de la cola</w:t>
      </w:r>
    </w:p>
    <w:p>
      <w:pPr>
        <w:spacing w:after="120" w:line="269" w:lineRule="auto"/>
      </w:pPr>
      <w:r>
        <w:rPr>
          <w:rFonts w:ascii="Aptos" w:hAnsi="Aptos" w:eastAsia="Aptos"/>
          <w:b w:val="0"/>
          <w:color w:val="1F2933"/>
          <w:sz w:val="22"/>
        </w:rPr>
        <w:t>GET /api/v1/business-analyses acepta limit y cursor. El orden estable usa updated_at descendente e id descendente. El límite predeterminado es 50 y el máximo es 100. X-Next-Cursor permite cargar la página siguiente sin cambiar el esquema de cada elemento; el frontend concatena y elimina duplicados por id.</w:t>
      </w:r>
    </w:p>
    <w:p>
      <w:pPr>
        <w:pStyle w:val="Heading2"/>
        <w:keepNext/>
      </w:pPr>
      <w:r>
        <w:t>Editor ADMIN estructurado</w:t>
      </w:r>
    </w:p>
    <w:p>
      <w:pPr>
        <w:spacing w:after="120" w:line="269" w:lineRule="auto"/>
      </w:pPr>
      <w:r>
        <w:rPr>
          <w:rFonts w:ascii="Aptos" w:hAnsi="Aptos" w:eastAsia="Aptos"/>
          <w:b w:val="0"/>
          <w:color w:val="1F2933"/>
          <w:sz w:val="22"/>
        </w:rPr>
        <w:t>La edición se organiza por modelos de gobierno, reglas de opciones, escalas, criterios con pesos, campos requeridos y reglas de readiness. El JSON resultante se presenta como evidencia avanzada de solo lectura. Preview permanece no persistente y Publish conserva If-Match.</w:t>
      </w:r>
    </w:p>
    <w:p>
      <w:pPr>
        <w:pStyle w:val="Heading2"/>
        <w:keepNext/>
      </w:pPr>
      <w:r>
        <w:t>Validación de ratings</w:t>
      </w:r>
    </w:p>
    <w:p>
      <w:pPr>
        <w:pStyle w:val="ListBullet"/>
        <w:spacing w:after="60" w:line="269" w:lineRule="auto"/>
      </w:pPr>
      <w:r>
        <w:rPr>
          <w:rFonts w:ascii="Aptos" w:hAnsi="Aptos" w:eastAsia="Aptos"/>
          <w:b w:val="0"/>
          <w:color w:val="1F2933"/>
          <w:sz w:val="22"/>
        </w:rPr>
        <w:t>El backend rechaza NaN e infinitos.</w:t>
      </w:r>
    </w:p>
    <w:p>
      <w:pPr>
        <w:pStyle w:val="ListBullet"/>
        <w:spacing w:after="60" w:line="269" w:lineRule="auto"/>
      </w:pPr>
      <w:r>
        <w:rPr>
          <w:rFonts w:ascii="Aptos" w:hAnsi="Aptos" w:eastAsia="Aptos"/>
          <w:b w:val="0"/>
          <w:color w:val="1F2933"/>
          <w:sz w:val="22"/>
        </w:rPr>
        <w:t>Cada rating debe respetar el rango publicado y los valores permitidos cuando están definidos.</w:t>
      </w:r>
    </w:p>
    <w:p>
      <w:pPr>
        <w:pStyle w:val="ListBullet"/>
        <w:spacing w:after="60" w:line="269" w:lineRule="auto"/>
      </w:pPr>
      <w:r>
        <w:rPr>
          <w:rFonts w:ascii="Aptos" w:hAnsi="Aptos" w:eastAsia="Aptos"/>
          <w:b w:val="0"/>
          <w:color w:val="1F2933"/>
          <w:sz w:val="22"/>
        </w:rPr>
        <w:t>Los códigos de criterio deben existir y los pesos deben cumplir las reglas de la configuración efectiva.</w:t>
      </w:r>
    </w:p>
    <w:p>
      <w:pPr>
        <w:pStyle w:val="ListBullet"/>
        <w:spacing w:after="60" w:line="269" w:lineRule="auto"/>
      </w:pPr>
      <w:r>
        <w:rPr>
          <w:rFonts w:ascii="Aptos" w:hAnsi="Aptos" w:eastAsia="Aptos"/>
          <w:b w:val="0"/>
          <w:color w:val="1F2933"/>
          <w:sz w:val="22"/>
        </w:rPr>
        <w:t>La validación no depende de controles HTML ni de la forma del cliente.</w:t>
      </w:r>
    </w:p>
    <w:p>
      <w:pPr>
        <w:pStyle w:val="Heading2"/>
        <w:keepNext/>
      </w:pPr>
      <w:r>
        <w:t>Concurrencia del seed</w:t>
      </w:r>
    </w:p>
    <w:p>
      <w:pPr>
        <w:spacing w:after="120" w:line="269" w:lineRule="auto"/>
      </w:pPr>
      <w:r>
        <w:rPr>
          <w:rFonts w:ascii="Aptos" w:hAnsi="Aptos" w:eastAsia="Aptos"/>
          <w:b w:val="0"/>
          <w:color w:val="1F2933"/>
          <w:sz w:val="22"/>
        </w:rPr>
        <w:t>ensure_seed usa inserción idempotente y comportamiento específico por dialecto. Ocho invocaciones concurrentes fueron cubiertas por la prueba focal y produjeron una sola configuración gobernada.</w:t>
      </w:r>
    </w:p>
    <w:p>
      <w:pPr>
        <w:pStyle w:val="Heading2"/>
        <w:keepNext/>
      </w:pPr>
      <w:r>
        <w:t>Decisión de índice</w:t>
      </w:r>
    </w:p>
    <w:p>
      <w:pPr>
        <w:spacing w:after="120" w:line="269" w:lineRule="auto"/>
      </w:pPr>
      <w:r>
        <w:rPr>
          <w:rFonts w:ascii="Aptos" w:hAnsi="Aptos" w:eastAsia="Aptos"/>
          <w:b w:val="0"/>
          <w:color w:val="1F2933"/>
          <w:sz w:val="22"/>
        </w:rPr>
        <w:t>No se añadió una migración sucesora. La paginación quedó acotada y estable, y la medición disponible no demostró un índice adicional necesario. La migración 20260910_0059 no fue reescrita.</w:t>
      </w:r>
    </w:p>
    <w:p>
      <w:pPr>
        <w:pStyle w:val="Heading1"/>
        <w:keepNext/>
      </w:pPr>
      <w:r>
        <w:t>8 Seguridad compatibilidad e historial</w:t>
      </w:r>
    </w:p>
    <w:p>
      <w:pPr>
        <w:pStyle w:val="Heading2"/>
        <w:keepNext/>
      </w:pPr>
      <w:r>
        <w:t>Autorización de ruta directa</w:t>
      </w:r>
    </w:p>
    <w:p>
      <w:pPr>
        <w:spacing w:after="120" w:line="269" w:lineRule="auto"/>
      </w:pPr>
      <w:r>
        <w:rPr>
          <w:rFonts w:ascii="Aptos" w:hAnsi="Aptos" w:eastAsia="Aptos"/>
          <w:b w:val="0"/>
          <w:color w:val="1F2933"/>
          <w:sz w:val="22"/>
        </w:rPr>
        <w:t>StrategicViewOutlet identifica el nodo por modo y view. Un ADMIN_CONFIGURATION exige can_configure aunque la URL se escriba directamente. La prueba unitaria valida denegación y autorización; Playwright valida que camila.cost@demo.local no puede habilitar ADMIN ni abrir Business Analysis Configuration.</w:t>
      </w:r>
    </w:p>
    <w:p>
      <w:pPr>
        <w:pStyle w:val="Heading2"/>
        <w:keepNext/>
      </w:pPr>
      <w:r>
        <w:t>Separación de permisos API</w:t>
      </w:r>
    </w:p>
    <w:p>
      <w:pPr>
        <w:spacing w:after="120" w:line="269" w:lineRule="auto"/>
      </w:pPr>
      <w:r>
        <w:rPr>
          <w:rFonts w:ascii="Aptos" w:hAnsi="Aptos" w:eastAsia="Aptos"/>
          <w:b w:val="0"/>
          <w:color w:val="1F2933"/>
          <w:sz w:val="22"/>
        </w:rPr>
        <w:t>La matriz API cubre 24 familias. USER conserva permisos read create edit y transiciones de cada dominio. ADMIN conserva configure y publish. No se eliminaron contratos: OpenAPI publica 681 rutas y 787 operaciones tras el despliegue.</w:t>
      </w:r>
    </w:p>
    <w:p>
      <w:pPr>
        <w:pStyle w:val="Heading2"/>
        <w:keepNext/>
      </w:pPr>
      <w:r>
        <w:t>Compatibilidad histórica</w:t>
      </w:r>
    </w:p>
    <w:p>
      <w:pPr>
        <w:pStyle w:val="ListBullet"/>
        <w:spacing w:after="60" w:line="269" w:lineRule="auto"/>
      </w:pPr>
      <w:r>
        <w:rPr>
          <w:rFonts w:ascii="Aptos" w:hAnsi="Aptos" w:eastAsia="Aptos"/>
          <w:b w:val="0"/>
          <w:color w:val="1F2933"/>
          <w:sz w:val="22"/>
        </w:rPr>
        <w:t>Project Proposal legado sin Business Analysis sigue siendo legible mediante lineage opcional.</w:t>
      </w:r>
    </w:p>
    <w:p>
      <w:pPr>
        <w:pStyle w:val="ListBullet"/>
        <w:spacing w:after="60" w:line="269" w:lineRule="auto"/>
      </w:pPr>
      <w:r>
        <w:rPr>
          <w:rFonts w:ascii="Aptos" w:hAnsi="Aptos" w:eastAsia="Aptos"/>
          <w:b w:val="0"/>
          <w:color w:val="1F2933"/>
          <w:sz w:val="22"/>
        </w:rPr>
        <w:t>Business Analysis COMPLETED mantiene inmutabilidad y crea una nueva revisión material en lugar de sobrescribir.</w:t>
      </w:r>
    </w:p>
    <w:p>
      <w:pPr>
        <w:pStyle w:val="ListBullet"/>
        <w:spacing w:after="60" w:line="269" w:lineRule="auto"/>
      </w:pPr>
      <w:r>
        <w:rPr>
          <w:rFonts w:ascii="Aptos" w:hAnsi="Aptos" w:eastAsia="Aptos"/>
          <w:b w:val="0"/>
          <w:color w:val="1F2933"/>
          <w:sz w:val="22"/>
        </w:rPr>
        <w:t>Business Case conserva revisiones y snapshots; FIN conserva versiones y hashes de fuente.</w:t>
      </w:r>
    </w:p>
    <w:p>
      <w:pPr>
        <w:pStyle w:val="ListBullet"/>
        <w:spacing w:after="60" w:line="269" w:lineRule="auto"/>
      </w:pPr>
      <w:r>
        <w:rPr>
          <w:rFonts w:ascii="Aptos" w:hAnsi="Aptos" w:eastAsia="Aptos"/>
          <w:b w:val="0"/>
          <w:color w:val="1F2933"/>
          <w:sz w:val="22"/>
        </w:rPr>
        <w:t>Gate07J conserva paquetes congelados; Gate07K conserva decisión FID y Authorization Output; Gate07L conserva evaluaciones posteriores.</w:t>
      </w:r>
    </w:p>
    <w:p>
      <w:pPr>
        <w:pStyle w:val="Heading2"/>
        <w:keepNext/>
      </w:pPr>
      <w:r>
        <w:t>Modelos de gobierno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237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Modelo</w:t>
            </w:r>
          </w:p>
        </w:tc>
        <w:tc>
          <w:tcPr>
            <w:tcW w:type="dxa" w:w="727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Tratamiento</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CAPITAL_OWNER</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Fases 0 a 7 y superficies owner only según contexto</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CONTRACTOR_DELIVERY</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y flujo temprano sin forzar Portfolio y FID de Capital Owner</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DIRECT_INTERNAL</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Ruta alternativa preservada sin reinterpretación automática</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LEGACY_UNCLASSIFIED</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Lectura histórica y navegación básica mientras se reconcilia el contexto</w:t>
            </w:r>
          </w:p>
        </w:tc>
      </w:tr>
    </w:tbl>
    <w:p>
      <w:pPr>
        <w:spacing w:after="80"/>
      </w:pPr>
    </w:p>
    <w:p>
      <w:pPr>
        <w:pStyle w:val="Heading1"/>
        <w:keepNext/>
      </w:pPr>
      <w:r>
        <w:t>9 Validación técnica</w:t>
      </w:r>
    </w:p>
    <w:p>
      <w:pPr>
        <w:pStyle w:val="Heading2"/>
        <w:keepNext/>
      </w:pPr>
      <w:r>
        <w:t>Diferencial backend completo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75"/>
        <w:gridCol w:w="1675"/>
        <w:gridCol w:w="1675"/>
        <w:gridCol w:w="1675"/>
        <w:gridCol w:w="1675"/>
        <w:gridCol w:w="1675"/>
      </w:tblGrid>
      <w:tr>
        <w:trPr>
          <w:tblHeader w:val="true"/>
          <w:cantSplit/>
        </w:trPr>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Ejecución</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Total</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Pass</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Skip</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Fail</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Tiempo</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9cb0969</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609</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572</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2517.7 s</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Working tree</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626</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585</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33</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2510.7 s</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Diferencia</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17</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-7.1 s</w:t>
            </w:r>
          </w:p>
        </w:tc>
      </w:tr>
    </w:tbl>
    <w:p>
      <w:pPr>
        <w:spacing w:after="80"/>
      </w:pPr>
    </w:p>
    <w:p>
      <w:pPr>
        <w:spacing w:after="120" w:line="269" w:lineRule="auto"/>
      </w:pPr>
      <w:r>
        <w:rPr>
          <w:rFonts w:ascii="Aptos" w:hAnsi="Aptos" w:eastAsia="Aptos"/>
          <w:b w:val="0"/>
          <w:color w:val="1F2933"/>
          <w:sz w:val="22"/>
        </w:rPr>
        <w:t>Los 609 identificadores del baseline siguen presentes. Las ocho fallas actuales son el mismo caso de validación de Enterprise Structure y los mismos siete casos Gate07K con MANUAL_REFERENCE_NOT_ALLOWED. No existe una falla nueva atribuible al hardening. Permit y Risk pasaron de fallo erróneo en SQLite a skip explícito y aprobaron en PostgreSQL.</w:t>
      </w:r>
    </w:p>
    <w:p>
      <w:pPr>
        <w:pStyle w:val="Heading2"/>
        <w:keepNext/>
      </w:pPr>
      <w:r>
        <w:t>Gates focales y PostgreSQL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316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Gate</w:t>
            </w:r>
          </w:p>
        </w:tc>
        <w:tc>
          <w:tcPr>
            <w:tcW w:type="dxa" w:w="129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c>
          <w:tcPr>
            <w:tcW w:type="dxa" w:w="51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Evidencia</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Ruff backend</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 y tests sin errores</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Python compileall</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app compilado</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SQLite</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16 focales más 4 hardening</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y migración global</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13 pass y 4 skips de dialecto</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PostgreSQL limpio</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6 pass en 253.5 s</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 y storage</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4 pruebas smoke sin PermissionError</w:t>
            </w:r>
          </w:p>
        </w:tc>
      </w:tr>
    </w:tbl>
    <w:p>
      <w:pPr>
        <w:spacing w:after="80"/>
      </w:pPr>
    </w:p>
    <w:p>
      <w:pPr>
        <w:pStyle w:val="Heading2"/>
        <w:keepNext/>
      </w:pPr>
      <w:r>
        <w:t>Frontend</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88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Gate</w:t>
            </w:r>
          </w:p>
        </w:tc>
        <w:tc>
          <w:tcPr>
            <w:tcW w:type="dxa" w:w="144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c>
          <w:tcPr>
            <w:tcW w:type="dxa" w:w="53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Detalle</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TypeScript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 errores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Build Vite</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Build de producción</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ESLint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 errores y 9 advertencias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Prettier</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src verificado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Vitest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244/244 pruebas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USER ADMIN</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7 pass 0 skip 0 fail</w:t>
            </w:r>
          </w:p>
        </w:tc>
      </w:tr>
    </w:tbl>
    <w:p>
      <w:pPr>
        <w:spacing w:after="80"/>
      </w:pPr>
    </w:p>
    <w:p>
      <w:pPr>
        <w:pStyle w:val="Heading2"/>
        <w:keepNext/>
      </w:pPr>
      <w:r>
        <w:t>Evidencia visual del navegador</w:t>
      </w:r>
    </w:p>
    <w:p>
      <w:pPr>
        <w:jc w:val="center"/>
      </w:pPr>
      <w:r>
        <w:drawing>
          <wp:inline xmlns:a="http://schemas.openxmlformats.org/drawingml/2006/main" xmlns:pic="http://schemas.openxmlformats.org/drawingml/2006/picture">
            <wp:extent cx="6080760" cy="3800475"/>
            <wp:docPr id="2" name="Picture 2" descr="Business Analysis en USER MODE con acciones transaccionales"/>
            <wp:cNvGraphicFramePr>
              <a:graphicFrameLocks noChangeAspect="1"/>
            </wp:cNvGraphicFramePr>
            <a:graphic>
              <a:graphicData uri="http://schemas.openxmlformats.org/drawingml/2006/picture">
                <pic:pic>
                  <pic:nvPicPr>
                    <pic:cNvPr id="0" name="gate07a-ba-user-business-analysis.png"/>
                    <pic:cNvPicPr/>
                  </pic:nvPicPr>
                  <pic:blipFill>
                    <a:blip r:embed="rId11"/>
                    <a:stretch>
                      <a:fillRect/>
                    </a:stretch>
                  </pic:blipFill>
                  <pic:spPr>
                    <a:xfrm>
                      <a:off x="0" y="0"/>
                      <a:ext cx="6080760" cy="3800475"/>
                    </a:xfrm>
                    <a:prstGeom prst="rect"/>
                  </pic:spPr>
                </pic:pic>
              </a:graphicData>
            </a:graphic>
          </wp:inline>
        </w:drawing>
      </w:r>
    </w:p>
    <w:p>
      <w:pPr>
        <w:keepNext w:val="0"/>
        <w:spacing w:after="160"/>
        <w:jc w:val="center"/>
      </w:pPr>
      <w:r>
        <w:rPr>
          <w:rFonts w:ascii="Aptos" w:hAnsi="Aptos" w:eastAsia="Aptos"/>
          <w:b w:val="0"/>
          <w:i/>
          <w:color w:val="53616B"/>
          <w:sz w:val="18"/>
        </w:rPr>
        <w:t>Business Analysis en USER MODE con acciones transaccionales</w:t>
      </w:r>
    </w:p>
    <w:p>
      <w:pPr>
        <w:jc w:val="center"/>
      </w:pPr>
      <w:r>
        <w:drawing>
          <wp:inline xmlns:a="http://schemas.openxmlformats.org/drawingml/2006/main" xmlns:pic="http://schemas.openxmlformats.org/drawingml/2006/picture">
            <wp:extent cx="6080760" cy="3800475"/>
            <wp:docPr id="3" name="Picture 3" descr="Business Analysis en ADMIN MODE con editor estructurado"/>
            <wp:cNvGraphicFramePr>
              <a:graphicFrameLocks noChangeAspect="1"/>
            </wp:cNvGraphicFramePr>
            <a:graphic>
              <a:graphicData uri="http://schemas.openxmlformats.org/drawingml/2006/picture">
                <pic:pic>
                  <pic:nvPicPr>
                    <pic:cNvPr id="0" name="gate07a-ba-admin-configuration.png"/>
                    <pic:cNvPicPr/>
                  </pic:nvPicPr>
                  <pic:blipFill>
                    <a:blip r:embed="rId12"/>
                    <a:stretch>
                      <a:fillRect/>
                    </a:stretch>
                  </pic:blipFill>
                  <pic:spPr>
                    <a:xfrm>
                      <a:off x="0" y="0"/>
                      <a:ext cx="6080760" cy="3800475"/>
                    </a:xfrm>
                    <a:prstGeom prst="rect"/>
                  </pic:spPr>
                </pic:pic>
              </a:graphicData>
            </a:graphic>
          </wp:inline>
        </w:drawing>
      </w:r>
    </w:p>
    <w:p>
      <w:pPr>
        <w:keepNext w:val="0"/>
        <w:spacing w:after="160"/>
        <w:jc w:val="center"/>
      </w:pPr>
      <w:r>
        <w:rPr>
          <w:rFonts w:ascii="Aptos" w:hAnsi="Aptos" w:eastAsia="Aptos"/>
          <w:b w:val="0"/>
          <w:i/>
          <w:color w:val="53616B"/>
          <w:sz w:val="18"/>
        </w:rPr>
        <w:t>Business Analysis en ADMIN MODE con editor estructurado</w:t>
      </w:r>
    </w:p>
    <w:p>
      <w:pPr>
        <w:pStyle w:val="Heading1"/>
        <w:keepNext/>
      </w:pPr>
      <w:r>
        <w:t>10 Métricas de código bundle y rendimiento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439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Métrica</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Antes</w:t>
            </w:r>
          </w:p>
        </w:tc>
        <w:tc>
          <w:tcPr>
            <w:tcW w:type="dxa" w:w="165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Después</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Delta</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source files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215</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219</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strategic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155</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156</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strategic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44764</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46395</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1631</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app Python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209</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209</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strategic broad files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133</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strategic broad LOC</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61779</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64318</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2539</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App.tsx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8164</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8172</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applicationNavigation.ts LOC</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614</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-173</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strategicNavigationBlueprint.ts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823</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902</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79</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Bundle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Bundle bytes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7309830</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7352530</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42700</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Canonical strategic routes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API paths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681</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681</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operations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bl>
    <w:p>
      <w:pPr>
        <w:spacing w:after="80"/>
      </w:pPr>
    </w:p>
    <w:p>
      <w:pPr>
        <w:spacing w:after="120" w:line="269" w:lineRule="auto"/>
      </w:pPr>
      <w:r>
        <w:rPr>
          <w:rFonts w:ascii="Aptos" w:hAnsi="Aptos" w:eastAsia="Aptos"/>
          <w:b w:val="0"/>
          <w:color w:val="1F2933"/>
          <w:sz w:val="22"/>
        </w:rPr>
        <w:t>Los conteos frontend antes corresponden a la medición inicial del hardening. El alcance backend broad usa todos los módulos estratégicos excepto creación e inicialización física o de proyecto y Workspace Context; su baseline se recalculó sobre 9cb0969 para que la comparación sea reproducible.</w:t>
      </w:r>
    </w:p>
    <w:p>
      <w:pPr>
        <w:pStyle w:val="Heading2"/>
        <w:keepNext/>
      </w:pPr>
      <w:r>
        <w:t>Rendimiento de navegador</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381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Superficie</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Antes</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Después</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Delta</w:t>
            </w:r>
          </w:p>
        </w:tc>
      </w:tr>
      <w:tr>
        <w:trPr>
          <w:cantSplit/>
        </w:trPr>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Navegación estratégica</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195.4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93.7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-101.7 ms</w:t>
            </w:r>
          </w:p>
        </w:tc>
      </w:tr>
      <w:tr>
        <w:trPr>
          <w:cantSplit/>
        </w:trPr>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Landing Enterprise Strategy</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1099.3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751.3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-348.0 ms</w:t>
            </w:r>
          </w:p>
        </w:tc>
      </w:tr>
      <w:tr>
        <w:trPr>
          <w:cantSplit/>
        </w:trPr>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Primera página Business Analysis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11688.4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3688.0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-8000.4 ms</w:t>
            </w:r>
          </w:p>
        </w:tc>
      </w:tr>
      <w:tr>
        <w:trPr>
          <w:cantSplit/>
        </w:trPr>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Vista de evidencia Gate07J</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12724.1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3840.4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-8883.7 ms</w:t>
            </w:r>
          </w:p>
        </w:tc>
      </w:tr>
    </w:tbl>
    <w:p>
      <w:pPr>
        <w:spacing w:after="80"/>
      </w:pPr>
    </w:p>
    <w:p>
      <w:pPr>
        <w:spacing w:after="120" w:line="269" w:lineRule="auto"/>
      </w:pPr>
      <w:r>
        <w:rPr>
          <w:rFonts w:ascii="Aptos" w:hAnsi="Aptos" w:eastAsia="Aptos"/>
          <w:b w:val="0"/>
          <w:color w:val="1F2933"/>
          <w:sz w:val="22"/>
        </w:rPr>
        <w:t>Las mediciones usan Chromium headless a 1440 por 900 sobre el mismo localhost. Son tiempos de extremo a extremo y pueden incluir caché y respuesta API; se usan para detectar regresión material, no como benchmark de producción.</w:t>
      </w:r>
    </w:p>
    <w:p>
      <w:pPr>
        <w:pStyle w:val="Heading1"/>
        <w:keepNext/>
      </w:pPr>
      <w:r>
        <w:t>11 Riesgos residuales y decisión de migración</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33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Riesgo</w:t>
            </w:r>
          </w:p>
        </w:tc>
        <w:tc>
          <w:tcPr>
            <w:tcW w:type="dxa" w:w="144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c>
          <w:tcPr>
            <w:tcW w:type="dxa" w:w="482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Tratamiento</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Ocho fallas globales heredadas</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Mantener backlog separado; no son nuevas ni Gate07A BA</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Nueve advertencias ESLint en visor BIM</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No bloquean el umbral actual; planear refactor de efectos y tipos</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Crecimiento del bundle de menos de uno por ciento</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Vigilar chunk principal y mantener lazy load del motor IFC</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Índice BA adicional</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No crear hasta demostrar necesidad con plan PostgreSQL y volumen real</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 entre blueprint y outlet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Pruebas de registro clasificación y resolución canónica</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Acceso ADMIN directo</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Guarda frontend más permiso backend y E2E de usuario no configurador</w:t>
            </w:r>
          </w:p>
        </w:tc>
      </w:tr>
    </w:tbl>
    <w:p>
      <w:pPr>
        <w:spacing w:after="80"/>
      </w:pPr>
    </w:p>
    <w:p>
      <w:pPr>
        <w:pStyle w:val="Heading2"/>
        <w:keepNext/>
      </w:pPr>
      <w:r>
        <w:t>Decisión de migración</w:t>
      </w:r>
    </w:p>
    <w:p>
      <w:pPr>
        <w:spacing w:after="120" w:line="269" w:lineRule="auto"/>
      </w:pPr>
      <w:r>
        <w:rPr>
          <w:rFonts w:ascii="Aptos" w:hAnsi="Aptos" w:eastAsia="Aptos"/>
          <w:b w:val="0"/>
          <w:color w:val="1F2933"/>
          <w:sz w:val="22"/>
        </w:rPr>
        <w:t>NO NEW MIGRATION. La línea Alembic conserva 20260910_0059 como head. El gate PostgreSQL ejecutó upgrade downgrade upgrade en una base efímera y aprobó. Cualquier índice futuro debe ser aditivo reversible y sucesor de 0059.</w:t>
      </w:r>
    </w:p>
    <w:p>
      <w:pPr>
        <w:pStyle w:val="Heading1"/>
        <w:keepNext/>
      </w:pPr>
      <w:r>
        <w:t>12 Estado de release y siguiente incremento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66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Decisión</w:t>
            </w:r>
          </w:p>
        </w:tc>
        <w:tc>
          <w:tcPr>
            <w:tcW w:type="dxa" w:w="122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c>
          <w:tcPr>
            <w:tcW w:type="dxa" w:w="576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Señal</w:t>
            </w:r>
          </w:p>
        </w:tc>
      </w:tr>
      <w:tr>
        <w:trPr>
          <w:cantSplit/>
        </w:trPr>
        <w:tc>
          <w:tcPr>
            <w:tcW w:type="dxa" w:w="266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Hardening ADMIN USER</w:t>
            </w:r>
          </w:p>
        </w:tc>
        <w:tc>
          <w:tcPr>
            <w:tcW w:type="dxa" w:w="1224"/>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76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STRATEGIC_MACROPROCESS_ADMIN_USER_AND_CODE_HARDENING_VALIDATED</w:t>
            </w:r>
          </w:p>
        </w:tc>
      </w:tr>
      <w:tr>
        <w:trPr>
          <w:cantSplit/>
        </w:trPr>
        <w:tc>
          <w:tcPr>
            <w:tcW w:type="dxa" w:w="266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Limpieza y optimización</w:t>
            </w:r>
          </w:p>
        </w:tc>
        <w:tc>
          <w:tcPr>
            <w:tcW w:type="dxa" w:w="1224"/>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76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STRATEGIC_MACROPROCESS_CLEAN_SEPARATED_AND_OPTIMIZED</w:t>
            </w:r>
          </w:p>
        </w:tc>
      </w:tr>
      <w:tr>
        <w:trPr>
          <w:cantSplit/>
        </w:trPr>
        <w:tc>
          <w:tcPr>
            <w:tcW w:type="dxa" w:w="266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Gate07A Business Analysis</w:t>
            </w:r>
          </w:p>
        </w:tc>
        <w:tc>
          <w:tcPr>
            <w:tcW w:type="dxa" w:w="1224"/>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76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GATE07A_BA_BUSINESS_ANALYSIS_RELEASE_VALIDATED</w:t>
            </w:r>
          </w:p>
        </w:tc>
      </w:tr>
    </w:tbl>
    <w:p>
      <w:pPr>
        <w:spacing w:after="80"/>
      </w:pPr>
    </w:p>
    <w:p>
      <w:pPr>
        <w:pStyle w:val="Heading2"/>
        <w:keepNext/>
      </w:pPr>
      <w:r>
        <w:t>Siguiente incremento</w:t>
      </w:r>
    </w:p>
    <w:p>
      <w:pPr>
        <w:spacing w:after="120" w:line="269" w:lineRule="auto"/>
      </w:pPr>
      <w:r>
        <w:rPr>
          <w:rFonts w:ascii="Aptos" w:hAnsi="Aptos" w:eastAsia="Aptos"/>
          <w:b w:val="0"/>
          <w:color w:val="1F2933"/>
          <w:sz w:val="22"/>
        </w:rPr>
        <w:t>NEXT = ENHANCE_GATE07M_BC_WITH_FIVE_CASE_MODEL. Este informe no autoriza ni inicia ese incremento. Debe comenzar únicamente con una solicitud explícita y conservar las fronteras ADMIN USER y los contratos históricos ya validados.</w:t>
      </w:r>
    </w:p>
    <w:p>
      <w:pPr>
        <w:pStyle w:val="Heading1"/>
        <w:keepNext/>
      </w:pPr>
      <w:r>
        <w:t>Anexo A Trazabilidad de los 47 entregables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547"/>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N</w:t>
            </w:r>
          </w:p>
        </w:tc>
        <w:tc>
          <w:tcPr>
            <w:tcW w:type="dxa" w:w="309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Entregable</w:t>
            </w:r>
          </w:p>
        </w:tc>
        <w:tc>
          <w:tcPr>
            <w:tcW w:type="dxa" w:w="381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Resultado</w:t>
            </w:r>
          </w:p>
        </w:tc>
        <w:tc>
          <w:tcPr>
            <w:tcW w:type="dxa" w:w="2189"/>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Evidencia</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Executive summary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Resumen y decisión en la sección 1</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Este informe</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Actual repository baseline</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609 casos baseline y métricas iniciales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baseline-pytest.xml</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Working tree protection statement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reset ni descarte de cambios previos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2</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 USER responsibility ADR</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ADR aceptado y actualizado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docs/64-adr-strategic-admin-user-code-hardening.md</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module inventory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Fases 0 a 7 inventariadas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4</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USER ADMIN READ ONLY SHARED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128 rutas clasificadas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admin-user-control-matrix.csv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Contamination findings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Nueve hallazgos concretos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5</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Contamination corrections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Nueve correcciones cerradas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5</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Direct route authorization results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Guarda unitaria y E2E</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StrategicViewOutlet tests y Playwright</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permission separation results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24 familias revisadas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api-compatibility-matrix.csv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Status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READ ONLY SHARED sin mutación</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control matrix fase 0</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Objectives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Propiedad ADMIN y consumo USER</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control matrix fase 0</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USER lifecycle y ADMIN policy separados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modules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Fases 4 y 5 preservadas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4</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FEL BC Funding FIN Risk Permit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Proveedores separados y Gate07J intacto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4 y 8</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Gate07J Gate07K Gate07L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Preparación decisión y post FID sin activación</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4 y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 inventory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28 elementos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Dead code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Clasificación y evidencia de uso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Deprecated flow matrix</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Duplicados retirados con reemplazo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Duplicate flow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App y navegación consolidados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Alternate route protection analysis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Rutas operacionales preservadas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route-compatibility-matrix.csv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Historical compatibility analysis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Snapshots y revisiones preservados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 compatibility matrix</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27 familias KEEP</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route-compatibility-matrix.csv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compatibility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24 familias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api-compatibility-matrix.csv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Removed files and symbols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Cero archivos de producto y duplicados demostrados retirados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6</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Refactored files and symbols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Outlet blueprint guardas BA y tests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Navigation cleanup</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Blueprint como fuente única</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6</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cleanup</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Validación seed cursor y temporales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7 y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 queue pagination index decision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Cursor acotado sin índice nuevo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 ADMIN editor hardening decision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Formulario estructurado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 rating validation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Servidor valida escala y pesos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Seed concurrency assessment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Ocho invocaciones idempotentes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Pruebas focales BA</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backend differential test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Cero fallas nuevas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baseline-differential.md</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 pytest environment correction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Sin PermissionError ni WinError 5</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Before after code metrics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Tabla de métricas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10</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Bundle performance comparison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Tabla de bundle y cuatro tiempos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10</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test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Global focal y PostgreSQL</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test report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Static y Vitest</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USER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Navegación lifecycle y ausencia de config</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playwright-strategic.json</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ADMIN report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Editor policy y ausencia de transacciones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playwright-strategic.json</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Governance Model regression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Cuatro modelos preservados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Historical regression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Lecturas y snapshots preservados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Migration decision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migración sucesora</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11</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Updated architecture docs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ADR y cuatro matrices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 y docs/validation</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Final technical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Documento Word renderizado y revisado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Este informe</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Gate07A BA release state</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12</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Recommendation for next increment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Five Case Model solo por prompt explícito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12</w:t>
            </w:r>
          </w:p>
        </w:tc>
      </w:tr>
    </w:tbl>
    <w:p>
      <w:pPr>
        <w:spacing w:after="80"/>
      </w:pPr>
    </w:p>
    <w:p>
      <w:pPr>
        <w:pStyle w:val="Heading1"/>
        <w:keepNext/>
      </w:pPr>
      <w:r>
        <w:t>Anexo B Fallas heredadas de la suite actual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57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N</w:t>
            </w:r>
          </w:p>
        </w:tc>
        <w:tc>
          <w:tcPr>
            <w:tcW w:type="dxa" w:w="748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Test</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Clasificación</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tests.test_enterprise_structure::test_configuration_drafts_validate_publish_and_remain_immutable</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tests.test_investment_decision_gate07k::test_investment_selection_go_is_not_fid_and_has_no_project_activation</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tests.test_investment_decision_gate07k::test_pyp_ffa_go_is_single_fid_and_duplicate_decide_is_idempotent</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tests.test_investment_decision_gate07k::test_alternate_outcomes_are_closed_without_fid[HOLD-extra0-INVESTMENT_SELECTION_HELD]</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tests.test_investment_decision_gate07k::test_alternate_outcomes_are_closed_without_fid[RECYCLE-extra1-INVESTMENT_SELECTION_RECYCLE_REQUIRED]</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tests.test_investment_decision_gate07k::test_alternate_outcomes_are_closed_without_fid[KILL-extra2-INVESTMENT_SELECTION_KILLED]</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tests.test_investment_decision_gate07k::test_ffa_segregation_of_duties_and_stale_policy_block_decision</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tests.test_investment_decision_gate07k::test_committee_quorum_and_voting_rule_govern_decision</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bl>
    <w:p>
      <w:pPr>
        <w:spacing w:after="80"/>
      </w:pPr>
    </w:p>
    <w:p>
      <w:pPr>
        <w:spacing w:after="120" w:line="269" w:lineRule="auto"/>
      </w:pPr>
      <w:r>
        <w:rPr>
          <w:rFonts w:ascii="Aptos" w:hAnsi="Aptos" w:eastAsia="Aptos"/>
          <w:b w:val="0"/>
          <w:color w:val="1F2933"/>
          <w:sz w:val="22"/>
        </w:rPr>
        <w:t>Estas fallas siguen abiertas en el repositorio general y no deben presentarse como corregidas. El diferencial demuestra que el hardening no agregó fallas y que los dos casos exclusivos de PostgreSQL ahora se ejecutan en el entorno correcto.</w:t>
      </w:r>
    </w:p>
    <w:p>
      <w:pPr>
        <w:pStyle w:val="Heading1"/>
        <w:keepNext/>
      </w:pPr>
      <w:r>
        <w:t>Anexo C Evidencia versionable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612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Artefacto</w:t>
            </w:r>
          </w:p>
        </w:tc>
        <w:tc>
          <w:tcPr>
            <w:tcW w:type="dxa" w:w="35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Propósito</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docs/64-adr-strategic-admin-user-code-hardening.md</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Decisión de arquitectura y criterios de cierre</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docs/validation/strategic-hardening/admin-user-control-matrix.csv</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128 controles con modo clasificación permiso y endpoint</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docs/validation/strategic-hardening/code-cleanup-matrix.csv</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Uso histórico acción motivo y pruebas de cada candidato</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docs/validation/strategic-hardening/route-compatibility-matrix.csv</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KEEP REDIRECT ALIAS REMOVE y evidencia de deep links</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docs/validation/strategic-hardening/api-compatibility-matrix.csv</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Familias USER ADMIN y decisión contractual</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docs/validation/strategic-hardening/baseline-differential.md</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Cruce exacto de 609 y 626 casos</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outputs/.qa/strategic-hardening/postgres-gates-clean.xml</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Seis gates PostgreSQL en una corrida limpia</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outputs/.qa/strategic-hardening/frontend-vitest-current.json</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Suite frontend completa</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outputs/.qa/strategic-hardening/playwright-strategic.json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E2E USER ADMIN deep route y BA</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outputs/.qa/strategic-hardening/performance-before.json</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Rendimiento anterior</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outputs/.qa/strategic-hardening/performance-after.json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Rendimiento posterior</w:t>
            </w:r>
          </w:p>
        </w:tc>
      </w:tr>
    </w:tbl>
    <w:p>
      <w:pPr>
        <w:spacing w:after="80"/>
      </w:pPr>
    </w:p>
    <w:p>
      <w:pPr>
        <w:pStyle w:val="Heading1"/>
        <w:keepNext/>
      </w:pPr>
      <w:r>
        <w:t>Conclusión</w:t>
      </w:r>
    </w:p>
    <w:p>
      <w:pPr>
        <w:spacing w:after="120" w:line="269" w:lineRule="auto"/>
      </w:pPr>
      <w:r>
        <w:rPr>
          <w:rFonts w:ascii="Aptos" w:hAnsi="Aptos" w:eastAsia="Aptos"/>
          <w:b w:val="0"/>
          <w:color w:val="1F2933"/>
          <w:sz w:val="22"/>
        </w:rPr>
        <w:t>El macroproceso estratégico queda separado por responsabilidad y optimizado sin retirar contratos ni reinterpretar historia. La evidencia confirma el hardening y permite continuar únicamente con el siguiente incremento autorizado.</w:t>
      </w:r>
    </w:p>
    <w:sectPr w:rsidR="00FC693F" w:rsidRPr="0006063C" w:rsidSect="00034616">
      <w:footerReference w:type="default" r:id="rId9"/>
      <w:pgSz w:w="12240" w:h="15840"/>
      <w:pgMar w:top="1037"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3616B"/>
        <w:sz w:val="17"/>
      </w:rPr>
      <w:t xml:space="preserve">P&amp;Pmis Construction AI   Informe técnico   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hardening del macroproceso estratégico</dc:title>
  <dc:subject>Separación ADMIN USER optimización de código y validación de release</dc:subject>
  <dc:creator>P&amp;Pmis Construction AI</dc:creator>
  <cp:keywords>ADMIN USER strategic hardening Business Analysis Gate07A</cp:keywords>
  <dc:description>generated by python-docx</dc:description>
  <cp:lastModifiedBy/>
  <cp:revision>1</cp:revision>
  <dcterms:created xsi:type="dcterms:W3CDTF">2013-12-23T23:15:00Z</dcterms:created>
  <dcterms:modified xsi:type="dcterms:W3CDTF">2013-12-23T23:15:00Z</dcterms:modified>
  <cp:category/>
</cp:coreProperties>
</file>