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731520" cy="658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58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Title"/>
        <w:spacing w:after="160"/>
      </w:pPr>
      <w:r>
        <w:t>Informe técnico</w:t>
      </w:r>
    </w:p>
    <w:p>
      <w:pPr>
        <w:spacing w:after="440"/>
      </w:pPr>
      <w:r>
        <w:rPr>
          <w:rFonts w:ascii="Aptos" w:hAnsi="Aptos" w:eastAsia="Aptos"/>
          <w:b/>
          <w:color w:val="087F80"/>
          <w:sz w:val="40"/>
        </w:rPr>
        <w:t>Frontend Strategic Workflow Navigation V2</w:t>
      </w:r>
    </w:p>
    <w:p>
      <w:pPr>
        <w:spacing w:after="120" w:line="259" w:lineRule="auto"/>
      </w:pPr>
      <w:r>
        <w:rPr>
          <w:b/>
        </w:rPr>
        <w:t>P&amp;Pmis Construction AI</w:t>
      </w:r>
      <w:r/>
    </w:p>
    <w:p>
      <w:pPr>
        <w:spacing w:after="120" w:line="259" w:lineRule="auto"/>
      </w:pPr>
      <w:r>
        <w:t>Repositorio: pypmis-ia-sas</w:t>
      </w:r>
    </w:p>
    <w:p>
      <w:pPr>
        <w:spacing w:after="120" w:line="259" w:lineRule="auto"/>
      </w:pPr>
      <w:r>
        <w:t>Rama: main</w:t>
      </w:r>
    </w:p>
    <w:p>
      <w:pPr>
        <w:spacing w:after="120" w:line="259" w:lineRule="auto"/>
      </w:pPr>
      <w:r>
        <w:t>Línea base: 9cb0969</w:t>
      </w:r>
    </w:p>
    <w:p>
      <w:pPr>
        <w:spacing w:after="120" w:line="259" w:lineRule="auto"/>
      </w:pPr>
      <w:r>
        <w:t>Fecha de cierre: 10 de septiembre de 2026</w:t>
      </w:r>
    </w:p>
    <w:p>
      <w:pPr>
        <w:spacing w:after="520"/>
      </w:pPr>
    </w:p>
    <w:p>
      <w:pPr>
        <w:spacing w:after="200" w:line="276" w:lineRule="auto"/>
      </w:pPr>
      <w:r>
        <w:rPr>
          <w:rFonts w:ascii="Aptos" w:hAnsi="Aptos" w:eastAsia="Aptos"/>
          <w:b w:val="0"/>
          <w:color w:val="17222B"/>
          <w:sz w:val="24"/>
        </w:rPr>
        <w:t>Se implementó una navegación estratégica gobernada que separa la Fundación Empresarial de las transacciones y ordena las fases 1–7 según el flujo de negocio. La solución reutiliza servicios, rutas, permisos y pantallas existentes; no introduce cambios de backend ni migraciones.</w:t>
      </w:r>
    </w:p>
    <w:p>
      <w:pPr>
        <w:spacing w:before="280"/>
      </w:pPr>
      <w:r>
        <w:rPr>
          <w:rFonts w:ascii="Aptos" w:hAnsi="Aptos" w:eastAsia="Aptos"/>
          <w:b/>
          <w:color w:val="12212B"/>
          <w:sz w:val="22"/>
        </w:rPr>
        <w:t xml:space="preserve">Conclusión principal: </w:t>
      </w:r>
      <w:r>
        <w:rPr>
          <w:rFonts w:ascii="Aptos" w:hAnsi="Aptos" w:eastAsia="Aptos"/>
          <w:b w:val="0"/>
          <w:color w:val="17222B"/>
          <w:sz w:val="22"/>
        </w:rPr>
        <w:t>el frontend queda alineado con la Fundación Empresarial, la secuencia estratégica, las ramas paralelas de escenarios y la convergencia de evidencia previa a la decisión de inversión.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Number"/>
        <w:spacing w:after="60"/>
      </w:pPr>
      <w:r>
        <w:t>Resumen ejecutivo y alcance</w:t>
      </w:r>
    </w:p>
    <w:p>
      <w:pPr>
        <w:pStyle w:val="ListNumber"/>
        <w:spacing w:after="60"/>
      </w:pPr>
      <w:r>
        <w:t>Diagnóstico de la navegación anterior</w:t>
      </w:r>
    </w:p>
    <w:p>
      <w:pPr>
        <w:pStyle w:val="ListNumber"/>
        <w:spacing w:after="60"/>
      </w:pPr>
      <w:r>
        <w:t>Arquitectura final Phase 0 / Phase 1+</w:t>
      </w:r>
    </w:p>
    <w:p>
      <w:pPr>
        <w:pStyle w:val="ListNumber"/>
        <w:spacing w:after="60"/>
      </w:pPr>
      <w:r>
        <w:t>Jerarquías USER MODE y ADMIN MODE</w:t>
      </w:r>
    </w:p>
    <w:p>
      <w:pPr>
        <w:pStyle w:val="ListNumber"/>
        <w:spacing w:after="60"/>
      </w:pPr>
      <w:r>
        <w:t>Blueprint, rutas, permisos y contexto</w:t>
      </w:r>
    </w:p>
    <w:p>
      <w:pPr>
        <w:pStyle w:val="ListNumber"/>
        <w:spacing w:after="60"/>
      </w:pPr>
      <w:r>
        <w:t>Implementación y archivos</w:t>
      </w:r>
    </w:p>
    <w:p>
      <w:pPr>
        <w:pStyle w:val="ListNumber"/>
        <w:spacing w:after="60"/>
      </w:pPr>
      <w:r>
        <w:t>Verificación y evidencias</w:t>
      </w:r>
    </w:p>
    <w:p>
      <w:pPr>
        <w:pStyle w:val="ListNumber"/>
        <w:spacing w:after="60"/>
      </w:pPr>
      <w:r>
        <w:t>Matriz de aceptación</w:t>
      </w:r>
    </w:p>
    <w:p>
      <w:pPr>
        <w:pStyle w:val="ListNumber"/>
        <w:spacing w:after="60"/>
      </w:pPr>
      <w:r>
        <w:t>Comparación visual antes/después</w:t>
      </w:r>
    </w:p>
    <w:p>
      <w:pPr>
        <w:pStyle w:val="ListNumber"/>
        <w:spacing w:after="60"/>
      </w:pPr>
      <w:r>
        <w:t>Conclusiones y señal de cierre</w:t>
      </w:r>
    </w:p>
    <w:p>
      <w:pPr>
        <w:pStyle w:val="Heading1"/>
        <w:keepNext/>
      </w:pPr>
      <w:r>
        <w:t>1. Resumen ejecutivo y alcance</w:t>
      </w:r>
    </w:p>
    <w:p>
      <w:pPr>
        <w:spacing w:after="120" w:line="259" w:lineRule="auto"/>
      </w:pPr>
      <w:r>
        <w:t>El objetivo fue reorganizar Enterprise Strategy Manager para expresar la lógica empresarial real sin reimplementar capacidades ya entregadas. La Fundación Empresarial se presenta como Fase 0 y prerrequisito; Idea &amp; Demand se presenta como Fase 1 y primer punto transaccional. Las fases posteriores respetan propuesta, gate estratégico, planeación, escenarios, definición y gobierno de inversión.</w:t>
      </w:r>
    </w:p>
    <w:p>
      <w:pPr>
        <w:pStyle w:val="ListBullet"/>
        <w:spacing w:after="60"/>
      </w:pPr>
      <w:r>
        <w:t>Una fuente de verdad tipada genera las jerarquías USER y ADMIN.</w:t>
      </w:r>
    </w:p>
    <w:p>
      <w:pPr>
        <w:pStyle w:val="ListBullet"/>
        <w:spacing w:after="60"/>
      </w:pPr>
      <w:r>
        <w:t>Budget Planning y Resource Planning aparecen como ramas paralelas que convergen en una recomendación.</w:t>
      </w:r>
    </w:p>
    <w:p>
      <w:pPr>
        <w:pStyle w:val="ListBullet"/>
        <w:spacing w:after="60"/>
      </w:pPr>
      <w:r>
        <w:t>FEL, Business Case, Funding, FIN, Risk y Permit aparecen como aportantes de evidencia hacia Gate07J.</w:t>
      </w:r>
    </w:p>
    <w:p>
      <w:pPr>
        <w:pStyle w:val="ListBullet"/>
        <w:spacing w:after="60"/>
      </w:pPr>
      <w:r>
        <w:t>Los enlaces profundos y breadcrumbs se derivan del mismo blueprint.</w:t>
      </w:r>
    </w:p>
    <w:p>
      <w:pPr>
        <w:pStyle w:val="ListBullet"/>
        <w:spacing w:after="60"/>
      </w:pPr>
      <w:r>
        <w:t>Los modos CAPITAL_OWNER, CONTRACTOR_DELIVERY, DIRECT_INTERNAL y legacy conservan sus rutas aplicables.</w:t>
      </w:r>
    </w:p>
    <w:p>
      <w:pPr>
        <w:pStyle w:val="ListBullet"/>
        <w:spacing w:after="60"/>
      </w:pPr>
      <w:r>
        <w:t>La creación alternativa de proyectos se conserva en Project Workspace Governance, fuera del flujo universal de Ideas.</w:t>
      </w:r>
    </w:p>
    <w:p>
      <w:pPr>
        <w:pStyle w:val="Heading2"/>
        <w:keepNext/>
      </w:pPr>
      <w:r>
        <w:t>Límites respetados</w:t>
      </w:r>
    </w:p>
    <w:p>
      <w:pPr>
        <w:spacing w:after="120" w:line="259" w:lineRule="auto"/>
      </w:pPr>
      <w:r>
        <w:t>El cambio es frontend. No se agregaron estados de negocio, políticas de autorización, endpoints, tablas, migraciones ni automatismos de publicación o activación. La elegibilidad y las mutaciones siguen siendo autoridad del backend existente.</w:t>
      </w:r>
    </w:p>
    <w:p>
      <w:r>
        <w:br w:type="page"/>
      </w:r>
    </w:p>
    <w:p>
      <w:pPr>
        <w:pStyle w:val="Heading1"/>
        <w:keepNext/>
      </w:pPr>
      <w:r>
        <w:t>2. Diagnóstico de la navegación anterior</w:t>
      </w:r>
    </w:p>
    <w:p>
      <w:pPr>
        <w:spacing w:after="120" w:line="259" w:lineRule="auto"/>
      </w:pPr>
      <w:r>
        <w:t>La línea base agrupaba capacidades por evolución técnica y no por secuencia de negocio. El resultado era funcional, pero dificultaba reconocer los prerrequisitos, el orden de decisiones y las convergencias.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10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Situación anterior</w:t>
            </w:r>
          </w:p>
        </w:tc>
        <w:tc>
          <w:tcPr>
            <w:tcW w:type="dxa" w:w="374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Riesgo de interpretación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USER</w:t>
            </w:r>
          </w:p>
        </w:tc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Enterprise Structure aparecía después de Idea y Strategic Gate.</w:t>
            </w:r>
          </w:p>
        </w:tc>
        <w:tc>
          <w:tcPr>
            <w:tcW w:type="dxa" w:w="374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Podía sugerir que el contexto empresarial se define después de iniciar la Idea.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</w:t>
            </w:r>
          </w:p>
        </w:tc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Intake, Evaluation, Analysis, Budget, Resources, Convergence y Gate Prep compartían un módulo amplio.</w:t>
            </w:r>
          </w:p>
        </w:tc>
        <w:tc>
          <w:tcPr>
            <w:tcW w:type="dxa" w:w="374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era visible la secuencia ni el paralelismo de escenarios.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Evidence</w:t>
            </w:r>
          </w:p>
        </w:tc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FEL, BC, Funding, FIN, Risk y Permit eran módulos separados.</w:t>
            </w:r>
          </w:p>
        </w:tc>
        <w:tc>
          <w:tcPr>
            <w:tcW w:type="dxa" w:w="374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La contribución conjunta a Gate07J quedaba implícita.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ADMIN</w:t>
            </w:r>
          </w:p>
        </w:tc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Enterprise Strategy Manager era una lista plana y Enterprise Structure vivía aparte.</w:t>
            </w:r>
          </w:p>
        </w:tc>
        <w:tc>
          <w:tcPr>
            <w:tcW w:type="dxa" w:w="374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se distinguía Foundation de configuración transaccional.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FID</w:t>
            </w:r>
          </w:p>
        </w:tc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Las capacidades de decisión y post-FID coexistían sin una fase explícita.</w:t>
            </w:r>
          </w:p>
        </w:tc>
        <w:tc>
          <w:tcPr>
            <w:tcW w:type="dxa" w:w="374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Podía confundirse FID con activación automática del proyecto.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Inventario funcional reutilizado</w:t>
      </w:r>
    </w:p>
    <w:p>
      <w:pPr>
        <w:spacing w:after="120" w:line="259" w:lineRule="auto"/>
      </w:pPr>
      <w:r>
        <w:t>Se conservaron Idea Lifecycle, Project Proposal, Strategic Gate, Portfolio Intake, Evaluation, Analysis, Investor Map, Scorecard, Budget, Resources, Convergence, FEL, Business Case, Funding, Economic &amp; Financial Model, Risk, Permit, Gate Preparation, FID y Post-FID. También se reutilizaron Enterprise Explorer, Enterprise Structure y Workspace Context.</w:t>
      </w:r>
    </w:p>
    <w:p>
      <w:pPr>
        <w:pStyle w:val="Heading1"/>
        <w:keepNext/>
      </w:pPr>
      <w:r>
        <w:t>3. Arquitectura final Phase 0 / Phase 1+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952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561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Semántica y capacidades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0</w:t>
            </w:r>
          </w:p>
        </w:tc>
        <w:tc>
          <w:tcPr>
            <w:tcW w:type="dxa" w:w="29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Enterprise Foundation</w:t>
            </w:r>
          </w:p>
        </w:tc>
        <w:tc>
          <w:tcPr>
            <w:tcW w:type="dxa" w:w="561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Foundation / prerequisite. EWS, Explorer, Workspace Context, Strategic Objectives y estado de Fundación.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</w:t>
            </w:r>
          </w:p>
        </w:tc>
        <w:tc>
          <w:tcPr>
            <w:tcW w:type="dxa" w:w="29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Idea &amp; Demand</w:t>
            </w:r>
          </w:p>
        </w:tc>
        <w:tc>
          <w:tcPr>
            <w:tcW w:type="dxa" w:w="561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Inicio del flujo estratégico transaccional. Idea Lifecycle.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</w:t>
            </w:r>
          </w:p>
        </w:tc>
        <w:tc>
          <w:tcPr>
            <w:tcW w:type="dxa" w:w="29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Project Proposal</w:t>
            </w:r>
          </w:p>
        </w:tc>
        <w:tc>
          <w:tcPr>
            <w:tcW w:type="dxa" w:w="561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Transformación de una Idea aceptada en propuesta gobernada.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</w:t>
            </w:r>
          </w:p>
        </w:tc>
        <w:tc>
          <w:tcPr>
            <w:tcW w:type="dxa" w:w="29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Strategic Gate</w:t>
            </w:r>
          </w:p>
        </w:tc>
        <w:tc>
          <w:tcPr>
            <w:tcW w:type="dxa" w:w="561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Decisión previa a la entrada al Portafolio.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4</w:t>
            </w:r>
          </w:p>
        </w:tc>
        <w:tc>
          <w:tcPr>
            <w:tcW w:type="dxa" w:w="29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 Planning</w:t>
            </w:r>
          </w:p>
        </w:tc>
        <w:tc>
          <w:tcPr>
            <w:tcW w:type="dxa" w:w="561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Intake &amp; Planning, Evaluation &amp; Prioritization, Analysis, Investor Map y Scorecard.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5</w:t>
            </w:r>
          </w:p>
        </w:tc>
        <w:tc>
          <w:tcPr>
            <w:tcW w:type="dxa" w:w="29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 Scenario Planning</w:t>
            </w:r>
          </w:p>
        </w:tc>
        <w:tc>
          <w:tcPr>
            <w:tcW w:type="dxa" w:w="561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Budget y Resources en paralelo; convergencia y recomendación.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6</w:t>
            </w:r>
          </w:p>
        </w:tc>
        <w:tc>
          <w:tcPr>
            <w:tcW w:type="dxa" w:w="29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Project Definition &amp; Investment Case</w:t>
            </w:r>
          </w:p>
        </w:tc>
        <w:tc>
          <w:tcPr>
            <w:tcW w:type="dxa" w:w="561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FEL, BC, Funding, FIN, Risk y Permit como evidencia concurrente.</w:t>
            </w:r>
          </w:p>
        </w:tc>
      </w:tr>
      <w:tr>
        <w:trPr>
          <w:trHeight w:hRule="atLeast"/>
          <w:cantSplit/>
        </w:trPr>
        <w:tc>
          <w:tcPr>
            <w:tcW w:type="dxa" w:w="7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7</w:t>
            </w:r>
          </w:p>
        </w:tc>
        <w:tc>
          <w:tcPr>
            <w:tcW w:type="dxa" w:w="29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Investment Governance</w:t>
            </w:r>
          </w:p>
        </w:tc>
        <w:tc>
          <w:tcPr>
            <w:tcW w:type="dxa" w:w="561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Evidence Policy (ADMIN), Gate Preparation, FID y Post-FID en orden de decisión.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Reglas empresariales visibles</w:t>
      </w:r>
    </w:p>
    <w:p>
      <w:pPr>
        <w:pStyle w:val="ListBullet"/>
        <w:spacing w:after="60"/>
      </w:pPr>
      <w:r>
        <w:t>EWS existe antes de la Idea y no se repite por cada Idea.</w:t>
      </w:r>
    </w:p>
    <w:p>
      <w:pPr>
        <w:pStyle w:val="ListBullet"/>
        <w:spacing w:after="60"/>
      </w:pPr>
      <w:r>
        <w:t>La selección de un owning Workspace autorizado precede la creación de la Idea.</w:t>
      </w:r>
    </w:p>
    <w:p>
      <w:pPr>
        <w:pStyle w:val="ListBullet"/>
        <w:spacing w:after="60"/>
      </w:pPr>
      <w:r>
        <w:t>Strategic Objectives se reutiliza como dependencia de preparación; no se duplica un catálogo.</w:t>
      </w:r>
    </w:p>
    <w:p>
      <w:pPr>
        <w:pStyle w:val="ListBullet"/>
        <w:spacing w:after="60"/>
      </w:pPr>
      <w:r>
        <w:t>Business Case se marca como evidencia longitudinal, aunque tenga un acceso principal en Fase 6.</w:t>
      </w:r>
    </w:p>
    <w:p>
      <w:pPr>
        <w:pStyle w:val="ListBullet"/>
        <w:spacing w:after="60"/>
      </w:pPr>
      <w:r>
        <w:t>Funding conserva capacidad y asignaciones; FIN conserva el modelamiento económico-financiero.</w:t>
      </w:r>
    </w:p>
    <w:p>
      <w:pPr>
        <w:pStyle w:val="ListBullet"/>
        <w:spacing w:after="60"/>
      </w:pPr>
      <w:r>
        <w:t>FID no activa el proyecto automáticamente; Post-FID gobierna el handoff y la elegibilidad posterior.</w:t>
      </w:r>
    </w:p>
    <w:p>
      <w:pPr>
        <w:pStyle w:val="Heading1"/>
        <w:keepNext/>
      </w:pPr>
      <w:r>
        <w:t>4. Jerarquías USER MODE y ADMIN MODE</w:t>
      </w:r>
    </w:p>
    <w:p>
      <w:pPr>
        <w:pStyle w:val="Heading2"/>
        <w:keepNext/>
      </w:pPr>
      <w:r>
        <w:t>USER MODE</w:t>
      </w:r>
    </w:p>
    <w:p>
      <w:pPr>
        <w:spacing w:after="120" w:line="259" w:lineRule="auto"/>
      </w:pPr>
      <w:r>
        <w:t>La cinta lateral muestra Enterprise Strategy Manager como macroproceso y ocho fases desplegables. Cada fase conserva sus pantallas existentes y expone guía contextual en la landing principal.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008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8352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Accesos USER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0</w:t>
            </w:r>
          </w:p>
        </w:tc>
        <w:tc>
          <w:tcPr>
            <w:tcW w:type="dxa" w:w="83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Foundation Status; Enterprise Explorer; Workspace Context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</w:t>
            </w:r>
          </w:p>
        </w:tc>
        <w:tc>
          <w:tcPr>
            <w:tcW w:type="dxa" w:w="83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Idea Lifecycle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</w:t>
            </w:r>
          </w:p>
        </w:tc>
        <w:tc>
          <w:tcPr>
            <w:tcW w:type="dxa" w:w="83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Project Proposals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</w:t>
            </w:r>
          </w:p>
        </w:tc>
        <w:tc>
          <w:tcPr>
            <w:tcW w:type="dxa" w:w="83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Strategic Gate Decision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 Intake &amp; Planning; Evaluation &amp; Prioritization; Portfolio Analysis → Investor Map / Portfolio Scorecard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5</w:t>
            </w:r>
          </w:p>
        </w:tc>
        <w:tc>
          <w:tcPr>
            <w:tcW w:type="dxa" w:w="83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Budget Planning &amp; Scenarios; Resource Planning &amp; Scenarios; Scenario Convergence &amp; Recommendation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6</w:t>
            </w:r>
          </w:p>
        </w:tc>
        <w:tc>
          <w:tcPr>
            <w:tcW w:type="dxa" w:w="835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Project Definition / FEL; Business Case Manager; Funds &amp; Funding Readiness; Economic &amp; Financial Model; Risk Readiness; Permit Readiness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7</w:t>
            </w:r>
          </w:p>
        </w:tc>
        <w:tc>
          <w:tcPr>
            <w:tcW w:type="dxa" w:w="835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Investment Gate Preparation; Investment Decision / FID; Post-FID Project Governance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ADMIN MODE</w:t>
      </w:r>
    </w:p>
    <w:p>
      <w:pPr>
        <w:spacing w:after="120" w:line="259" w:lineRule="auto"/>
      </w:pPr>
      <w:r>
        <w:t>ADMIN replica las fases para evitar una taxonomía paralela. La diferencia es operacional: configura y gobierna fuentes ya existentes. Investment Decision Evidence Policy precede a Gate Preparation en Fase 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65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770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Configuración ADMIN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 0</w:t>
            </w:r>
          </w:p>
        </w:tc>
        <w:tc>
          <w:tcPr>
            <w:tcW w:type="dxa" w:w="77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Foundation Configuration / Preview; Enterprise Structure &amp; Workspace Manager; Workspace Types; Composition Rules; Strategic Objectives; Workspace Defaults &amp; Inheritance; Module Catalog &amp; Activation; Workspace Navigation Profiles.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Fases 1–6</w:t>
            </w:r>
          </w:p>
        </w:tc>
        <w:tc>
          <w:tcPr>
            <w:tcW w:type="dxa" w:w="77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Configuraciones equivalentes de Idea, Proposal, Strategic Gate, Portfolio y aportantes de evidencia.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 7</w:t>
            </w:r>
          </w:p>
        </w:tc>
        <w:tc>
          <w:tcPr>
            <w:tcW w:type="dxa" w:w="77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Investment Decision Evidence Policy → Investment Gate Preparation → Investment Decision / FID → Post-FID Project Governance.</w:t>
            </w:r>
          </w:p>
        </w:tc>
      </w:tr>
      <w:tr>
        <w:trPr>
          <w:trHeight w:hRule="atLeast"/>
          <w:cantSplit/>
        </w:trPr>
        <w:tc>
          <w:tcPr>
            <w:tcW w:type="dxa" w:w="16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Plataforma</w:t>
            </w:r>
          </w:p>
        </w:tc>
        <w:tc>
          <w:tcPr>
            <w:tcW w:type="dxa" w:w="77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Organization, Security y configuración compartida permanecen en Platform Administration.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Blueprint, rutas, permisos y contexto</w:t>
      </w:r>
    </w:p>
    <w:p>
      <w:pPr>
        <w:pStyle w:val="Heading2"/>
        <w:keepNext/>
      </w:pPr>
      <w:r>
        <w:t>Fuente única de navegación</w:t>
      </w:r>
    </w:p>
    <w:p>
      <w:pPr>
        <w:spacing w:after="120" w:line="259" w:lineRule="auto"/>
      </w:pPr>
      <w:r>
        <w:t>strategicNavigationBlueprint.ts declara id, label, description, phase, order, route, mode, permission, workspaceTypes, governanceModels, children, isFoundation, predecessorIds, parallelGroup y convergesInto. applicationNavigation.ts deriva la cinta, mientras App.tsx se limita a resolver rutas y renderizar ramas recursivas.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Metadato</w:t>
            </w:r>
          </w:p>
        </w:tc>
        <w:tc>
          <w:tcPr>
            <w:tcW w:type="dxa" w:w="6768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Uso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phase / order</w:t>
            </w:r>
          </w:p>
        </w:tc>
        <w:tc>
          <w:tcPr>
            <w:tcW w:type="dxa" w:w="676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 de negocio determinista en USER, ADMIN y Workspace Navigator.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predecessorIds</w:t>
            </w:r>
          </w:p>
        </w:tc>
        <w:tc>
          <w:tcPr>
            <w:tcW w:type="dxa" w:w="676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Dependencias visibles sin introducir un motor de workflow.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parallelGroup</w:t>
            </w:r>
          </w:p>
        </w:tc>
        <w:tc>
          <w:tcPr>
            <w:tcW w:type="dxa" w:w="676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Identifica Budget/Resources y los aportantes de evidencia concurrentes.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convergesInto</w:t>
            </w:r>
          </w:p>
        </w:tc>
        <w:tc>
          <w:tcPr>
            <w:tcW w:type="dxa" w:w="676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Expresa convergencia a Recommendation o Gate07J.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route</w:t>
            </w:r>
          </w:p>
        </w:tc>
        <w:tc>
          <w:tcPr>
            <w:tcW w:type="dxa" w:w="676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Enlaces profundos estables y navegación directa.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permission</w:t>
            </w:r>
          </w:p>
        </w:tc>
        <w:tc>
          <w:tcPr>
            <w:tcW w:type="dxa" w:w="676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Conserva intención de permisos existentes; el backend sigue siendo autoridad.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workspaceTypes / governanceModels</w:t>
            </w:r>
          </w:p>
        </w:tc>
        <w:tc>
          <w:tcPr>
            <w:tcW w:type="dxa" w:w="676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Evita forzar el camino CAPITAL_OWNER sobre rutas alternativas.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Rutas preservadas y ampliadas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309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482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Comportamiento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USER</w:t>
            </w:r>
          </w:p>
        </w:tc>
        <w:tc>
          <w:tcPr>
            <w:tcW w:type="dxa" w:w="309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/app/strategy/&lt;view&gt;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Resuelve cada view existente sin cambiar su clave interna.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ADMIN</w:t>
            </w:r>
          </w:p>
        </w:tc>
        <w:tc>
          <w:tcPr>
            <w:tcW w:type="dxa" w:w="309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/app/admin/strategy/&lt;view&gt;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Abre la configuración estratégica equivalente.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Base</w:t>
            </w:r>
          </w:p>
        </w:tc>
        <w:tc>
          <w:tcPr>
            <w:tcW w:type="dxa" w:w="309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/app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Permanece válido y conserva Dashboard.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Control</w:t>
            </w:r>
          </w:p>
        </w:tc>
        <w:tc>
          <w:tcPr>
            <w:tcW w:type="dxa" w:w="309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/app/schedule-control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Permanece válido.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Breadcrumb</w:t>
            </w:r>
          </w:p>
        </w:tc>
        <w:tc>
          <w:tcPr>
            <w:tcW w:type="dxa" w:w="309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→ phase → capability → view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Se genera desde la misma fuente de verdad.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Fundación y autorización</w:t>
      </w:r>
    </w:p>
    <w:p>
      <w:pPr>
        <w:spacing w:after="120" w:line="259" w:lineRule="auto"/>
      </w:pPr>
      <w:r>
        <w:t>La landing consulta únicamente servicios existentes de Enterprise Structure e Idea options. Presenta cuatro señales: estructura publicada, owning Workspace elegible, Strategic Objectives e Idea configuration. Start Strategic Workflow aparece solo cuando las cuatro señales son devueltas. La UI no inventa elegibilidad, no crea Workspaces y no publica configuraciones.</w:t>
      </w:r>
    </w:p>
    <w:p>
      <w:pPr>
        <w:pStyle w:val="Heading2"/>
        <w:keepNext/>
      </w:pPr>
      <w:r>
        <w:t>Aplicabilidad por Governance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698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CAPITAL_OWNER</w:t>
            </w:r>
          </w:p>
        </w:tc>
        <w:tc>
          <w:tcPr>
            <w:tcW w:type="dxa" w:w="698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Ruta estratégica completa, sujeta a workspaceTypes y permisos existentes.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CONTRACTOR_DELIVERY</w:t>
            </w:r>
          </w:p>
        </w:tc>
        <w:tc>
          <w:tcPr>
            <w:tcW w:type="dxa" w:w="698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se fuerza a fases owner-only; se conserva la creación alternativa de Project.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DIRECT_INTERNAL</w:t>
            </w:r>
          </w:p>
        </w:tc>
        <w:tc>
          <w:tcPr>
            <w:tcW w:type="dxa" w:w="698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Mantiene su ruta aplicable y no hereda restricciones owner-only sin señal backend.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Legacy / unclassified</w:t>
            </w:r>
          </w:p>
        </w:tc>
        <w:tc>
          <w:tcPr>
            <w:tcW w:type="dxa" w:w="698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Se conserva compatibilidad y orden estable; no se inventan clasificaciones.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Implementación y archivos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10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25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Responsabilidad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features/enterprise-strategy/navigation/strategicNavigationBlueprint.ts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USER/ADMIN, metadatos, filtros, breadcrumbs, rutas, Workspace Navigator y macroproceso derivado.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features/enterprise-strategy/EnterpriseStrategyLanding.tsx</w:t>
            </w:r>
          </w:p>
        </w:tc>
        <w:tc>
          <w:tcPr>
            <w:tcW w:type="dxa" w:w="52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Landing de Fundación, secuencia, ramas y convergencia; reutiliza APIs existentes.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features/enterprise-strategy/enterpriseStrategy.css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Diseño responsive desktop/tablet/mobile.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navigation/applicationNavigation.ts</w:t>
            </w:r>
          </w:p>
        </w:tc>
        <w:tc>
          <w:tcPr>
            <w:tcW w:type="dxa" w:w="52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Integra el macroproceso derivado y preserva macroprocesos no estratégicos.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App.tsx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Render recursivo, deep links, breadcrumbs y selección de vistas existentes.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WorkspaceOperationalPage.tsx</w:t>
            </w:r>
          </w:p>
        </w:tc>
        <w:tc>
          <w:tcPr>
            <w:tcW w:type="dxa" w:w="52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Ordena entradas backend sin modificar estado, razón, permiso ni ruta.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PortfolioAnalysisWorkspace.tsx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Permite abrir Investor Map y Scorecard como vistas hijas.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AdminEnterpriseStructurePage.tsx</w:t>
            </w:r>
          </w:p>
        </w:tc>
        <w:tc>
          <w:tcPr>
            <w:tcW w:type="dxa" w:w="52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Permite entrada directa a la pestaña estratégica existente.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BimIfcModelViewer.tsx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Corrección accesible mínima: anuncia el bloqueo por cache backend para IFC sobredimensionado.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scripts/capture-strategic-navigation.mjs</w:t>
            </w:r>
          </w:p>
        </w:tc>
        <w:tc>
          <w:tcPr>
            <w:tcW w:type="dxa" w:w="525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Captura reproducible de evidencia USER/ADMIN.</w:t>
            </w:r>
          </w:p>
        </w:tc>
      </w:tr>
      <w:tr>
        <w:trPr>
          <w:trHeight w:hRule="atLeast"/>
          <w:cantSplit/>
        </w:trPr>
        <w:tc>
          <w:tcPr>
            <w:tcW w:type="dxa" w:w="41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docs/frontend-strategic-workflow-navigation-v2.md</w:t>
            </w:r>
          </w:p>
        </w:tc>
        <w:tc>
          <w:tcPr>
            <w:tcW w:type="dxa" w:w="525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Documentación técnica actualizada.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Control de duplicidad</w:t>
      </w:r>
    </w:p>
    <w:p>
      <w:pPr>
        <w:spacing w:after="120" w:line="259" w:lineRule="auto"/>
      </w:pPr>
      <w:r>
        <w:t>No se copiaron pantallas ni servicios. Las capacidades nuevas son de composición: blueprint, landing, rutas, breadcrumb y agrupación visual. Las páginas de Idea, Proposal, Portfolio, FEL, BC, Funding, FIN, Risk, Permit, FID y Post-FID siguen siendo las implementaciones desarrolladas en entregas anteriores.</w:t>
      </w:r>
    </w:p>
    <w:p>
      <w:pPr>
        <w:pStyle w:val="Heading1"/>
        <w:keepNext/>
      </w:pPr>
      <w:r>
        <w:t>7. Verificación y evidencias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Verificación</w:t>
            </w:r>
          </w:p>
        </w:tc>
        <w:tc>
          <w:tcPr>
            <w:tcW w:type="dxa" w:w="1080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590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Evidencia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TypeScript</w:t>
            </w:r>
          </w:p>
        </w:tc>
        <w:tc>
          <w:tcPr>
            <w:tcW w:type="dxa" w:w="10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tsc --noEmit; 0 errores.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Lint</w:t>
            </w:r>
          </w:p>
        </w:tc>
        <w:tc>
          <w:tcPr>
            <w:tcW w:type="dxa" w:w="10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0 errores. 13 warnings históricos en BIM/FIN; 0 warnings nuevos de Enterprise Strategy.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Build</w:t>
            </w:r>
          </w:p>
        </w:tc>
        <w:tc>
          <w:tcPr>
            <w:tcW w:type="dxa" w:w="10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Vite 8.0.12; 2.439 módulos transformados.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Pruebas focalizadas</w:t>
            </w:r>
          </w:p>
        </w:tc>
        <w:tc>
          <w:tcPr>
            <w:tcW w:type="dxa" w:w="10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19/19: blueprint, landing y caracterización Enterprise Structure.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AppShell regression</w:t>
            </w:r>
          </w:p>
        </w:tc>
        <w:tc>
          <w:tcPr>
            <w:tcW w:type="dxa" w:w="10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Flujo completo de navegación principal y Project Workspace Governance.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BIM regression</w:t>
            </w:r>
          </w:p>
        </w:tc>
        <w:tc>
          <w:tcPr>
            <w:tcW w:type="dxa" w:w="10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Estado accesible de cache backend para IFC &gt;100 MB.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Browser USER/ADMIN</w:t>
            </w:r>
          </w:p>
        </w:tc>
        <w:tc>
          <w:tcPr>
            <w:tcW w:type="dxa" w:w="10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2/2 Playwright Chromium contra Docker localhost:5173.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Responsive</w:t>
            </w:r>
          </w:p>
        </w:tc>
        <w:tc>
          <w:tcPr>
            <w:tcW w:type="dxa" w:w="10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Viewports 1440, 820 y 390 px conservan orden y contenido.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Console</w:t>
            </w:r>
          </w:p>
        </w:tc>
        <w:tc>
          <w:tcPr>
            <w:tcW w:type="dxa" w:w="10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Sin page errors en el recorrido E2E estratégico.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Infraestructura local</w:t>
            </w:r>
          </w:p>
        </w:tc>
        <w:tc>
          <w:tcPr>
            <w:tcW w:type="dxa" w:w="10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PASS</w:t>
            </w:r>
          </w:p>
        </w:tc>
        <w:tc>
          <w:tcPr>
            <w:tcW w:type="dxa" w:w="59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Durante E2E: frontend 5173, API 8000, PostgreSQL, Redis, worker y beat activos.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Cobertura funcional comprobada</w:t>
      </w:r>
    </w:p>
    <w:p>
      <w:pPr>
        <w:pStyle w:val="ListBullet"/>
        <w:spacing w:after="60"/>
      </w:pPr>
      <w:r>
        <w:t>Orden de las ocho fases en USER y ADMIN.</w:t>
      </w:r>
    </w:p>
    <w:p>
      <w:pPr>
        <w:pStyle w:val="ListBullet"/>
        <w:spacing w:after="60"/>
      </w:pPr>
      <w:r>
        <w:t>Foundation / prerequisite y Start of strategic workflow visibles.</w:t>
      </w:r>
    </w:p>
    <w:p>
      <w:pPr>
        <w:pStyle w:val="ListBullet"/>
        <w:spacing w:after="60"/>
      </w:pPr>
      <w:r>
        <w:t>Deep link a Portfolio Scorecard y breadcrumb completo.</w:t>
      </w:r>
    </w:p>
    <w:p>
      <w:pPr>
        <w:pStyle w:val="ListBullet"/>
        <w:spacing w:after="60"/>
      </w:pPr>
      <w:r>
        <w:t>Budget/Resources como ramas paralelas y Scenario Convergence como destino.</w:t>
      </w:r>
    </w:p>
    <w:p>
      <w:pPr>
        <w:pStyle w:val="ListBullet"/>
        <w:spacing w:after="60"/>
      </w:pPr>
      <w:r>
        <w:t>Seis aportantes de evidencia convergiendo en Investment Gate Preparation.</w:t>
      </w:r>
    </w:p>
    <w:p>
      <w:pPr>
        <w:pStyle w:val="ListBullet"/>
        <w:spacing w:after="60"/>
      </w:pPr>
      <w:r>
        <w:t>Evidence Policy antes de Gate Preparation en ADMIN.</w:t>
      </w:r>
    </w:p>
    <w:p>
      <w:pPr>
        <w:pStyle w:val="ListBullet"/>
        <w:spacing w:after="60"/>
      </w:pPr>
      <w:r>
        <w:t>ARIA en botones, grupos, regiones, expansión, selección y estado BIM.</w:t>
      </w:r>
    </w:p>
    <w:p>
      <w:pPr>
        <w:pStyle w:val="Heading1"/>
        <w:keepNext/>
      </w:pPr>
      <w:r>
        <w:t>8. Matriz de aceptación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008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2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Evidencia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Phase 0 Enterprise Foundation explicit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 0 visible en ambos modos.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Foundation marked as prerequisite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Etiqueta Foundation / prerequisite.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Idea &amp; Demand marked as workflow start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Etiqueta Start of strategic workflow.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EWS before Idea conceptually clear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Landing y orden lateral.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EWS not repeated per Idea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Fundación separada del flujo transaccional.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Owning Workspace selection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Workspace Context reutilizado.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Strategic Objectives reused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Catálogo y tab existentes.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USER sequence follows business flow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y E2E.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ADMIN sequence mirrors business flow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y E2E.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Idea before Proposal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Fases 1 y 2.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Proposal before Strategic Gate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Fases 2 y 3.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Strategic Gate before Portfolio Intake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Fases 3 y 4.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Portfolio Intake before Evaluation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 de hijos en Fase 4.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Evaluation before Analysis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 de hijos en Fase 4.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Budget/Resources parallel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parallelGroup scenario-planning.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Convergence after scenario branches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convergesInto recommendation.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FEL / BC / Funding / FIN / Risk / Permit feed Gate07J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Grupo de evidencia y landing.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Business Case longitudinal nature visible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Metadato y descripción longitudinal.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Investment Gate before FID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 de Fase 7.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FID before Post-FID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Orden de Fase 7.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automatic Project Activation implied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Activación excluida del FID.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CAPITAL_OWNER route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Mapa de Governance Model.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CONTRACTOR_DELIVERY route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Project Workspace Governance alternativo.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DIRECT_INTERNAL route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Filtro de aplicabilidad no owner-only.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Single navigation blueprint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Archivo estratégico único.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App.tsx monolithic expansion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y landing encapsulados en feature.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Routes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Claves existentes y rutas base conservadas.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Permissions preserved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Metadato existente; backend autoritativo.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backend business change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Diff limitado a frontend, docs, pruebas y reporte.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No schema migration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Sin archivos de migración.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Browser USER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Browser ADMIN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Responsive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820 px y 390 px.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Accessibility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ARIA y estado accesible.</w:t>
            </w:r>
          </w:p>
        </w:tc>
      </w:tr>
      <w:tr>
        <w:trPr>
          <w:trHeight w:hRule="atLeast"/>
          <w:cantSplit/>
        </w:trPr>
        <w:tc>
          <w:tcPr>
            <w:tcW w:type="dxa" w:w="3528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Regression</w:t>
            </w:r>
          </w:p>
        </w:tc>
        <w:tc>
          <w:tcPr>
            <w:tcW w:type="dxa" w:w="1008"/>
            <w:shd w:fill="EAF5F4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7"/>
              </w:rPr>
              <w:t>PASS</w:t>
            </w:r>
          </w:p>
        </w:tc>
        <w:tc>
          <w:tcPr>
            <w:tcW w:type="dxa" w:w="482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Suite focalizada, AppShell, BIM y E2E.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Mapa de los 39 entregables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504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4680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440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736"/>
            <w:shd w:fill="12212B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Evidencia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Inventario de navegación actual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Jerarquía USER actual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Jerarquía ADMIN actual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4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Inconsistencias de orden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5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Arquitectura final Phase 0 / Phase 1+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6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Jerarquía USER objetivo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7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Jerarquía ADMIN objetivo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8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Explicación del prerrequisito EWS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9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Comportamiento de owning Workspace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10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Dependencia de Strategic Objective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11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Mapa de Governance Model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12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Blueprint único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13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Metadatos de workflow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14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Metadatos de ramas paralelas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15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Metadatos de convergencia de evidencia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16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Especificación de breadcrumb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17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Rediseño de landing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18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Presentación de readiness de Fundación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19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Descripciones empresariales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20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Guía de siguiente paso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21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Guía de dependencias ADMIN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22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Matriz de rutas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23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Matriz de permisos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24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Navegación por contexto Workspace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25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Refactor implementado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26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Pruebas de caracterización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Vitest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27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Pruebas unitarias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Vitest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28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Pruebas de integración frontend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Vitest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29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Browser E2E USER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30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Browser E2E ADMIN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31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 EWS prerequisite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32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 Budget/Resource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33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Prueba de convergencia de evidencia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34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Regresión Governance Model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Código y documentación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35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Responsive/accesibilidad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36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Informe console/network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Playwright Chromium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37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Capturas antes/después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docs/validation/strategic-navigation-v2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38</w:t>
            </w:r>
          </w:p>
        </w:tc>
        <w:tc>
          <w:tcPr>
            <w:tcW w:type="dxa" w:w="468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Documentación de navegación</w:t>
            </w:r>
          </w:p>
        </w:tc>
        <w:tc>
          <w:tcPr>
            <w:tcW w:type="dxa" w:w="1440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3F6F7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docs/frontend-strategic-workflow-navigation-v2.md</w:t>
            </w:r>
          </w:p>
        </w:tc>
      </w:tr>
      <w:tr>
        <w:trPr>
          <w:trHeight w:hRule="atLeast"/>
          <w:cantSplit/>
        </w:trPr>
        <w:tc>
          <w:tcPr>
            <w:tcW w:type="dxa" w:w="504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39</w:t>
            </w:r>
          </w:p>
        </w:tc>
        <w:tc>
          <w:tcPr>
            <w:tcW w:type="dxa" w:w="468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Informe técnico final</w:t>
            </w:r>
          </w:p>
        </w:tc>
        <w:tc>
          <w:tcPr>
            <w:tcW w:type="dxa" w:w="1440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ENTREGADO</w:t>
            </w:r>
          </w:p>
        </w:tc>
        <w:tc>
          <w:tcPr>
            <w:tcW w:type="dxa" w:w="2736"/>
            <w:shd w:fill="FFFFFF"/>
            <w:tcBorders>
              <w:top w:val="single" w:sz="5" w:color="D9E1E5"/>
              <w:left w:val="single" w:sz="5" w:color="D9E1E5"/>
              <w:bottom w:val="single" w:sz="5" w:color="D9E1E5"/>
              <w:right w:val="single" w:sz="5" w:color="D9E1E5"/>
              <w:insideH w:val="single" w:sz="5" w:color="D9E1E5"/>
              <w:insideV w:val="single" w:sz="5" w:color="D9E1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22B"/>
                <w:sz w:val="17"/>
              </w:rPr>
              <w:t>Informe_Tecnico_Navegacion_Estrategica_Frontend_V2_2026-09-10.docx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9.1 USER MODE — 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81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mode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66874"/>
          <w:sz w:val="17"/>
        </w:rPr>
        <w:t>Línea base: módulos estratégicos agrupados por evolución técnica y no por fases.</w:t>
      </w:r>
    </w:p>
    <w:p>
      <w:r>
        <w:br w:type="page"/>
      </w:r>
    </w:p>
    <w:p>
      <w:pPr>
        <w:pStyle w:val="Heading1"/>
        <w:keepNext/>
      </w:pPr>
      <w:r>
        <w:t>9.2 USER MODE — después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70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mode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66874"/>
          <w:sz w:val="17"/>
        </w:rPr>
        <w:t>Resultado: Fundación separada, fases 1–7, ramas paralelas y convergencia de evidencia.</w:t>
      </w:r>
    </w:p>
    <w:p>
      <w:r>
        <w:br w:type="page"/>
      </w:r>
    </w:p>
    <w:p>
      <w:pPr>
        <w:pStyle w:val="Heading1"/>
        <w:keepNext/>
      </w:pPr>
      <w:r>
        <w:t>9.3 ADMIN MODE — 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57429" cy="7543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ode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7429" cy="754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66874"/>
          <w:sz w:val="17"/>
        </w:rPr>
        <w:t>Línea base: lista plana de configuraciones estratégicas.</w:t>
      </w:r>
    </w:p>
    <w:p>
      <w:r>
        <w:br w:type="page"/>
      </w:r>
    </w:p>
    <w:p>
      <w:pPr>
        <w:pStyle w:val="Heading1"/>
        <w:keepNext/>
      </w:pPr>
      <w:r>
        <w:t>9.4 ADMIN MODE — después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64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ode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66874"/>
          <w:sz w:val="17"/>
        </w:rPr>
        <w:t>Resultado: configuración espejo por fases y Evidence Policy antes de Gate Preparation.</w:t>
      </w:r>
    </w:p>
    <w:p>
      <w:r>
        <w:br w:type="page"/>
      </w:r>
    </w:p>
    <w:p>
      <w:pPr>
        <w:pStyle w:val="Heading1"/>
        <w:keepNext/>
      </w:pPr>
      <w:r>
        <w:t>10. Conclusiones y señal de cierre</w:t>
      </w:r>
    </w:p>
    <w:p>
      <w:pPr>
        <w:spacing w:after="120" w:line="259" w:lineRule="auto"/>
      </w:pPr>
      <w:r>
        <w:t>La solución expresa el flujo estratégico desde la Fundación Empresarial hasta el gobierno post-FID con una jerarquía única, tipada y reutilizable. El usuario puede entender qué es prerrequisito, qué inicia una transacción, qué actividades son paralelas y dónde convergen las decisiones. ADMIN configura la misma arquitectura sin introducir otra taxonomía.</w:t>
      </w:r>
    </w:p>
    <w:p>
      <w:pPr>
        <w:spacing w:after="120" w:line="259" w:lineRule="auto"/>
      </w:pPr>
      <w:r>
        <w:t>El alcance se detiene en la navegación estratégica solicitada. No se inició la implementación de macroprocesos operacionales. Durante la validación de navegador, frontend y API respondieron en localhost:5173 y localhost:8000; su disponibilidad posterior depende de Docker Desktop.</w:t>
      </w:r>
    </w:p>
    <w:p>
      <w:pPr>
        <w:pStyle w:val="Heading2"/>
        <w:keepNext/>
      </w:pPr>
      <w:r>
        <w:t>Señales de validación</w:t>
      </w:r>
    </w:p>
    <w:p>
      <w:pPr>
        <w:jc w:val="center"/>
      </w:pPr>
      <w:r>
        <w:rPr>
          <w:rFonts w:ascii="Consolas" w:hAnsi="Consolas" w:eastAsia="Consolas"/>
          <w:b/>
          <w:color w:val="087F80"/>
          <w:sz w:val="24"/>
        </w:rPr>
        <w:t>FRONTEND_STRATEGIC_WORKFLOW_NAVIGATION_V2_VALIDATED</w:t>
      </w:r>
    </w:p>
    <w:p>
      <w:pPr>
        <w:jc w:val="center"/>
      </w:pPr>
      <w:r>
        <w:rPr>
          <w:rFonts w:ascii="Consolas" w:hAnsi="Consolas" w:eastAsia="Consolas"/>
          <w:b/>
          <w:color w:val="12212B"/>
          <w:sz w:val="22"/>
        </w:rPr>
        <w:t>STRATEGIC_FRONTEND_ALIGNED_TO_FOUNDATION_AND_BUSINESS_WORKFLOW</w:t>
      </w:r>
    </w:p>
    <w:p>
      <w:pPr>
        <w:pStyle w:val="Heading2"/>
        <w:keepNext/>
      </w:pPr>
      <w:r>
        <w:t>Recomendación de continuidad</w:t>
      </w:r>
    </w:p>
    <w:p>
      <w:pPr>
        <w:spacing w:after="120" w:line="259" w:lineRule="auto"/>
      </w:pPr>
      <w:r>
        <w:t>El siguiente incremento debe partir de esta jerarquía y del blueprint; no debe duplicar rutas ni reconstruir permisos. Antes de incorporar macroprocesos operacionales se recomienda estabilizar los trece warnings históricos de React Hooks identificados por lint, sin alterar este cierre funcional.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66874"/>
        <w:sz w:val="16"/>
      </w:rPr>
      <w:t xml:space="preserve">Navegación estratégica frontend V2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566874"/>
        <w:sz w:val="16"/>
      </w:rPr>
      <w:t>P&amp;Pmis Construction AI  | 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1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7F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Frontend Strategic Workflow Navigation V2</dc:title>
  <dc:subject>P&amp;Pmis Construction AI</dc:subject>
  <dc:creator>Codex</dc:creator>
  <cp:keywords/>
  <dc:description>Implementación y validación técnica del PROMPT V2.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